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F172A"/>
          <w:sz w:val="44"/>
        </w:rPr>
        <w:t>INFORME DE INGENIERÍA — FASE 2</w:t>
      </w:r>
    </w:p>
    <w:p>
      <w:pPr>
        <w:spacing w:after="40"/>
        <w:jc w:val="center"/>
      </w:pPr>
      <w:r>
        <w:rPr>
          <w:rFonts w:ascii="Calibri" w:hAnsi="Calibri"/>
          <w:b/>
          <w:color w:val="1E3A8A"/>
          <w:sz w:val="26"/>
        </w:rPr>
        <w:t>Desarrollo Core, Arquitectura de Software y Prototipo Funcional Operativo (Meta: 7.0)</w:t>
      </w:r>
    </w:p>
    <w:p>
      <w:pPr>
        <w:spacing w:after="280"/>
        <w:jc w:val="center"/>
      </w:pPr>
      <w:r>
        <w:rPr>
          <w:rFonts w:ascii="Calibri" w:hAnsi="Calibri"/>
          <w:i/>
          <w:color w:val="64748B"/>
          <w:sz w:val="21"/>
        </w:rPr>
        <w:t>Proyecto Capstone (APT122 / PTY4614) — Escuela de Informática y Telecomunicaciones — Duoc UC Sede La Florida</w:t>
      </w:r>
    </w:p>
    <w:tbl>
      <w:tblPr>
        <w:tblW w:type="auto" w:w="0"/>
        <w:jc w:val="center"/>
        <w:tblLook w:firstColumn="1" w:firstRow="1" w:lastColumn="0" w:lastRow="0" w:noHBand="0" w:noVBand="1" w:val="04A0"/>
      </w:tblPr>
      <w:tblGrid>
        <w:gridCol w:w="9360"/>
      </w:tblGrid>
      <w:tr>
        <w:tc>
          <w:tcPr>
            <w:tcW w:type="dxa" w:w="9360"/>
            <w:shd w:fill="F1F5F9"/>
          </w:tcPr>
          <w:p>
            <w:pPr>
              <w:spacing w:before="80" w:after="80"/>
            </w:pPr>
            <w:r>
              <w:rPr>
                <w:rFonts w:ascii="Calibri" w:hAnsi="Calibri"/>
                <w:color w:val="0F172A"/>
                <w:sz w:val="19"/>
              </w:rPr>
              <w:t>DATOS DEL PROYECTO Y CONTROL DE ENTREGA:</w:t>
              <w:br/>
              <w:t>• Estudiante: Benjamín Abraham Navarrete Hernández | RUT: 21.252.605-3</w:t>
              <w:br/>
              <w:t>• Carrera: Ingeniería en Informática / Análisis Programador | Sede: La Florida</w:t>
              <w:br/>
              <w:t>• Rol: Super Administrador, Desarrollador Fullstack Líder y Arquitecto de Software</w:t>
              <w:br/>
              <w:t>• Docente Guía: Diego Garcés M. | Hito: Avance Fase 2 (Semana 9 - 20% Ponderación)</w:t>
              <w:br/>
              <w:t>• Repositorio Oficial Git: https://github.com/IMANDOI/sistema-gestion-auditorios-capstone</w:t>
              <w:br/>
              <w:t>• Despliegue en Producción Cloud: https://sistema-gestion-auditorios-capstone.vercel.app</w:t>
              <w:br/>
              <w:t>• Entorno Local: http://localhost:3000 (Next.js 15 / React 19 / SQLite / Prisma v6)</w:t>
              <w:br/>
              <w:t>• Estado de Compilación: 100% Exitosa (next build - 0 errores, rutas prerenderizadas)</w:t>
            </w:r>
          </w:p>
        </w:tc>
      </w:tr>
    </w:tbl>
    <w:p>
      <w:pPr>
        <w:spacing w:after="200"/>
      </w:pPr>
    </w:p>
    <w:p>
      <w:pPr>
        <w:spacing w:before="280" w:after="80"/>
      </w:pPr>
      <w:r>
        <w:rPr>
          <w:rFonts w:ascii="Calibri" w:hAnsi="Calibri"/>
          <w:b/>
          <w:color w:val="1E3A8A"/>
          <w:sz w:val="28"/>
        </w:rPr>
        <w:t>RESUMEN EJECUTIVO</w:t>
      </w:r>
    </w:p>
    <w:p>
      <w:pPr>
        <w:spacing w:after="80" w:line="276" w:lineRule="auto"/>
      </w:pPr>
      <w:r>
        <w:rPr>
          <w:rFonts w:ascii="Calibri" w:hAnsi="Calibri"/>
          <w:b w:val="0"/>
          <w:i w:val="0"/>
          <w:color w:val="1E293B"/>
          <w:sz w:val="20"/>
        </w:rPr>
        <w:t>El presente Informe de Ingeniería de Avance de Fase 2 formaliza y consolida la transición completa desde los requerimientos, especificaciones y diagramas conceptuales aprobados en la Fase 1, hacia la construcción material, programación del código fuente, persistencia de datos relacional y despliegue del prototipo funcional operativo del Sistema Autónomo de Gestión Operativa de Auditorios y Optimización de Soporte TI.</w:t>
      </w:r>
    </w:p>
    <w:p>
      <w:pPr>
        <w:spacing w:after="80" w:line="276" w:lineRule="auto"/>
      </w:pPr>
      <w:r>
        <w:rPr>
          <w:rFonts w:ascii="Calibri" w:hAnsi="Calibri"/>
          <w:b w:val="0"/>
          <w:i w:val="0"/>
          <w:color w:val="1E293B"/>
          <w:sz w:val="20"/>
        </w:rPr>
        <w:t>La problemática abordada responde a una ineficiencia logística severa y verificable en la administración de espacios de alta demanda institucional: la dispersión de reservas en planillas de cálculo aisladas, el solapamiento de horarios, la falta de registro del tiempo efectivo de dedicación del personal técnico audiovisual (pérdida de hasta 60 minutos en esperas pasivas por evento), la inasistencia docente no avisada (No-Shows) y la desarticulación operativa con cuadrillas auxiliares de Aseo y Guardia.</w:t>
      </w:r>
    </w:p>
    <w:p>
      <w:pPr>
        <w:spacing w:after="80" w:line="276" w:lineRule="auto"/>
      </w:pPr>
      <w:r>
        <w:rPr>
          <w:rFonts w:ascii="Calibri" w:hAnsi="Calibri"/>
          <w:b w:val="0"/>
          <w:i w:val="0"/>
          <w:color w:val="1E293B"/>
          <w:sz w:val="20"/>
        </w:rPr>
        <w:t>Durante la Fase 2 se construyó una arquitectura Fullstack moderna desacoplada en cinco portales especializados por perfil (/login, /docente, /tecnico, /encargado y /admin), desarrollada bajo Next.js 15 (App Router, React 19) con Server Actions seguras y tipado estricto en TypeScript 5.7. Se incorporó trazabilidad QR con cámara inteligente y auto-apagado de hardware, cómputo automatizado de horas dedicadas de soporte TI (Delta T), Gestor de Cuentas RBAC con doble verificación de 4 ojos, Bitácora Forense Individual por usuario, motor RPA de 4 bots autónomos, Plan de Respuesta a Incidentes (IRP bajo NIST SP 800-61), Dashboard de Salud con MTTR y dualidad de persistencia en SQLite y Neon Cloud PostgreSQL. El prototipo superó la compilación de producción (next build) con 0 errores y 15 casos de prueba bajo ISO/IEC 25010.</w:t>
      </w:r>
    </w:p>
    <w:p>
      <w:pPr>
        <w:spacing w:before="280" w:after="80"/>
      </w:pPr>
      <w:r>
        <w:rPr>
          <w:rFonts w:ascii="Calibri" w:hAnsi="Calibri"/>
          <w:b/>
          <w:color w:val="1E3A8A"/>
          <w:sz w:val="28"/>
        </w:rPr>
        <w:t>PARTE I: METADATOS, ANTECEDENTES Y ESTADO DE TRANSICIÓN (FASE 1 A FASE 2)</w:t>
      </w:r>
    </w:p>
    <w:p>
      <w:pPr>
        <w:spacing w:before="200" w:after="60"/>
      </w:pPr>
      <w:r>
        <w:rPr>
          <w:rFonts w:ascii="Calibri" w:hAnsi="Calibri"/>
          <w:b/>
          <w:color w:val="0F172A"/>
          <w:sz w:val="23"/>
        </w:rPr>
        <w:t>1.1. Antecedentes del Postulante e Independencia Institucional</w:t>
      </w:r>
    </w:p>
    <w:p>
      <w:pPr>
        <w:spacing w:after="80" w:line="276" w:lineRule="auto"/>
      </w:pPr>
      <w:r>
        <w:rPr>
          <w:rFonts w:ascii="Calibri" w:hAnsi="Calibri"/>
          <w:b w:val="0"/>
          <w:i w:val="0"/>
          <w:color w:val="1E293B"/>
          <w:sz w:val="20"/>
        </w:rPr>
        <w:t>El proyecto es desarrollado por el estudiante Benjamín Abraham Navarrete Hernández (RUT 21.252.605-3) en Duoc UC Sede La Florida. Se concibe como una solución genérica, parametrizable y transferible (White-Label) aplicable a cualquier institución o recinto de alta concurrencia.</w:t>
      </w:r>
    </w:p>
    <w:p>
      <w:pPr>
        <w:spacing w:before="200" w:after="60"/>
      </w:pPr>
      <w:r>
        <w:rPr>
          <w:rFonts w:ascii="Calibri" w:hAnsi="Calibri"/>
          <w:b/>
          <w:color w:val="0F172A"/>
          <w:sz w:val="23"/>
        </w:rPr>
        <w:t>1.2. Alcance del Producto Mínimo Viable (MVP) Operativo</w:t>
      </w:r>
    </w:p>
    <w:p>
      <w:pPr>
        <w:spacing w:after="80" w:line="276" w:lineRule="auto"/>
      </w:pPr>
      <w:r>
        <w:rPr>
          <w:rFonts w:ascii="Calibri" w:hAnsi="Calibri"/>
          <w:b w:val="0"/>
          <w:i w:val="0"/>
          <w:color w:val="1E293B"/>
          <w:sz w:val="20"/>
        </w:rPr>
        <w:t>El MVP construido integra 5 portales: Portal de Acceso Unificado (/login), Portal Docente (/docente) con solicitud y Pase QR 2D real scannable, Portal Soporte TI (/tecnico) con escáner de cámara inteligente, auto-cierre de hardware, cómputo Delta T de horas TI y reporte de incidencias en sala, Portal Encargada (/encargado) con aprobación/rechazo fundado, y Portal Administrador General (/admin) con centro de mando de 6 submódulos.</w:t>
      </w:r>
    </w:p>
    <w:p>
      <w:pPr>
        <w:spacing w:before="200" w:after="60"/>
      </w:pPr>
      <w:r>
        <w:rPr>
          <w:rFonts w:ascii="Calibri" w:hAnsi="Calibri"/>
          <w:b/>
          <w:color w:val="0F172A"/>
          <w:sz w:val="23"/>
        </w:rPr>
        <w:t>1.3. Matriz Comparativa de Ingeniería: Fase 1 vs. Fase 2</w:t>
      </w:r>
    </w:p>
    <w:p>
      <w:pPr>
        <w:spacing w:after="80" w:line="276" w:lineRule="auto"/>
      </w:pPr>
      <w:r>
        <w:rPr>
          <w:rFonts w:ascii="Calibri" w:hAnsi="Calibri"/>
          <w:b w:val="0"/>
          <w:i w:val="0"/>
          <w:color w:val="1E293B"/>
          <w:sz w:val="20"/>
        </w:rPr>
        <w:t>• Enfoque: De especificaciones teóricas (Fase 1) a software 100% programado y operativo (Fase 2).</w:t>
      </w:r>
    </w:p>
    <w:p>
      <w:pPr>
        <w:spacing w:after="80" w:line="276" w:lineRule="auto"/>
      </w:pPr>
      <w:r>
        <w:rPr>
          <w:rFonts w:ascii="Calibri" w:hAnsi="Calibri"/>
          <w:b w:val="0"/>
          <w:i w:val="0"/>
          <w:color w:val="1E293B"/>
          <w:sz w:val="20"/>
        </w:rPr>
        <w:t>• Requerimientos: 25 RF y 10 RS implementados en Server Actions y componentes React 19.</w:t>
      </w:r>
    </w:p>
    <w:p>
      <w:pPr>
        <w:spacing w:after="80" w:line="276" w:lineRule="auto"/>
      </w:pPr>
      <w:r>
        <w:rPr>
          <w:rFonts w:ascii="Calibri" w:hAnsi="Calibri"/>
          <w:b w:val="0"/>
          <w:i w:val="0"/>
          <w:color w:val="1E293B"/>
          <w:sz w:val="20"/>
        </w:rPr>
        <w:t>• Persistencia: De bosquejos a 10 entidades en Prisma ORM con integridad referencial en SQLite y Neon PostgreSQL.</w:t>
      </w:r>
    </w:p>
    <w:p>
      <w:pPr>
        <w:spacing w:after="80" w:line="276" w:lineRule="auto"/>
      </w:pPr>
      <w:r>
        <w:rPr>
          <w:rFonts w:ascii="Calibri" w:hAnsi="Calibri"/>
          <w:b w:val="0"/>
          <w:i w:val="0"/>
          <w:color w:val="1E293B"/>
          <w:sz w:val="20"/>
        </w:rPr>
        <w:t>• Interfaces: De mockups Figma a 5 portales web operativos en Tailwind CSS bajo normas WCAG 2.1 AA.</w:t>
      </w:r>
    </w:p>
    <w:p>
      <w:pPr>
        <w:spacing w:after="80" w:line="276" w:lineRule="auto"/>
      </w:pPr>
      <w:r>
        <w:rPr>
          <w:rFonts w:ascii="Calibri" w:hAnsi="Calibri"/>
          <w:b w:val="0"/>
          <w:i w:val="0"/>
          <w:color w:val="1E293B"/>
          <w:sz w:val="20"/>
        </w:rPr>
        <w:t>• Compilación: Build de producción exitoso con 0 errores y rutas prerenderizadas estáticamente.</w:t>
      </w:r>
    </w:p>
    <w:p>
      <w:pPr>
        <w:spacing w:before="280" w:after="80"/>
      </w:pPr>
      <w:r>
        <w:rPr>
          <w:rFonts w:ascii="Calibri" w:hAnsi="Calibri"/>
          <w:b/>
          <w:color w:val="1E3A8A"/>
          <w:sz w:val="28"/>
        </w:rPr>
        <w:t>PARTE II: PROPUESTA DE AJUSTES Y RETROALIMENTACIÓN DOCENTE (INDICADOR 1 - 10%)</w:t>
      </w:r>
    </w:p>
    <w:p>
      <w:pPr>
        <w:spacing w:before="200" w:after="60"/>
      </w:pPr>
      <w:r>
        <w:rPr>
          <w:rFonts w:ascii="Calibri" w:hAnsi="Calibri"/>
          <w:b/>
          <w:color w:val="0F172A"/>
          <w:sz w:val="23"/>
        </w:rPr>
        <w:t>2.1. Dificultades Técnicas y Acciones Correctivas</w:t>
      </w:r>
    </w:p>
    <w:p>
      <w:pPr>
        <w:spacing w:after="80" w:line="276" w:lineRule="auto"/>
      </w:pPr>
      <w:r>
        <w:rPr>
          <w:rFonts w:ascii="Calibri" w:hAnsi="Calibri"/>
          <w:b w:val="0"/>
          <w:i w:val="0"/>
          <w:color w:val="1E293B"/>
          <w:sz w:val="20"/>
        </w:rPr>
        <w:t>1. Riesgo Humano en Reprogramación: Se creó un modal interactivo con advertencia ámbar y una casilla obligatoria de confirmación de seguridad inhabilitante ('Sí, confirmo bajo mi rol de Administrador que estoy seguro de realizar este cambio de horario') firmada en la auditoría como HORARIO_MODIFICADO_ADMIN.</w:t>
      </w:r>
    </w:p>
    <w:p>
      <w:pPr>
        <w:spacing w:after="80" w:line="276" w:lineRule="auto"/>
      </w:pPr>
      <w:r>
        <w:rPr>
          <w:rFonts w:ascii="Calibri" w:hAnsi="Calibri"/>
          <w:b w:val="0"/>
          <w:i w:val="0"/>
          <w:color w:val="1E293B"/>
          <w:sz w:val="20"/>
        </w:rPr>
        <w:t>2. Falta de Visibilidad de Hardware Averiado: Se construyó el componente MaintenanceDashboard.tsx con cálculo de MTTR, downtime acumulado, gráficos analíticos y constancia técnica obligatoria para reactivar implementos.</w:t>
      </w:r>
    </w:p>
    <w:p>
      <w:pPr>
        <w:spacing w:after="80" w:line="276" w:lineRule="auto"/>
      </w:pPr>
      <w:r>
        <w:rPr>
          <w:rFonts w:ascii="Calibri" w:hAnsi="Calibri"/>
          <w:b w:val="0"/>
          <w:i w:val="0"/>
          <w:color w:val="1E293B"/>
          <w:sz w:val="20"/>
        </w:rPr>
        <w:t>3. Fatiga Visual y Sobrecarga Cognitiva: Se desacoplaron totalmente las vistas por rol con paleta luminosa de alto contraste (WCAG 2.1 AA) y botones táctiles &gt; 52px en smartphones.</w:t>
      </w:r>
    </w:p>
    <w:p>
      <w:pPr>
        <w:spacing w:after="80" w:line="276" w:lineRule="auto"/>
      </w:pPr>
      <w:r>
        <w:rPr>
          <w:rFonts w:ascii="Calibri" w:hAnsi="Calibri"/>
          <w:b w:val="0"/>
          <w:i w:val="0"/>
          <w:color w:val="1E293B"/>
          <w:sz w:val="20"/>
        </w:rPr>
        <w:t>4. Tolerancia ante Caídas de Internet: Se implementó la persistencia dual (SQLite local offline para contingencia en el campus y Neon Cloud PostgreSQL para disponibilidad global).</w:t>
      </w:r>
    </w:p>
    <w:p>
      <w:pPr>
        <w:spacing w:before="200" w:after="60"/>
      </w:pPr>
      <w:r>
        <w:rPr>
          <w:rFonts w:ascii="Calibri" w:hAnsi="Calibri"/>
          <w:b/>
          <w:color w:val="0F172A"/>
          <w:sz w:val="23"/>
        </w:rPr>
        <w:t>2.2. Incorporación de la Retroalimentación del Docente Guía</w:t>
      </w:r>
    </w:p>
    <w:p>
      <w:pPr>
        <w:spacing w:after="80" w:line="276" w:lineRule="auto"/>
      </w:pPr>
      <w:r>
        <w:rPr>
          <w:rFonts w:ascii="Calibri" w:hAnsi="Calibri"/>
          <w:b w:val="0"/>
          <w:i w:val="0"/>
          <w:color w:val="1E293B"/>
          <w:sz w:val="20"/>
        </w:rPr>
        <w:t>Se atendieron estrictamente todas las observaciones del profesor Diego Garcés: reemplazo de ciberseguridad cosmética por seguridad defensiva real en el backend (bcrypt salt 10, Zod, cookies HttpOnly, bitácora forense), penalización automática de No-Shows sobre el priorityScore del docente, integración de cuadrillas de Aseo y Guardia, y formalización de los módulos RPA e IRP.</w:t>
      </w:r>
    </w:p>
    <w:p>
      <w:pPr>
        <w:spacing w:before="280" w:after="80"/>
      </w:pPr>
      <w:r>
        <w:rPr>
          <w:rFonts w:ascii="Calibri" w:hAnsi="Calibri"/>
          <w:b/>
          <w:color w:val="1E3A8A"/>
          <w:sz w:val="28"/>
        </w:rPr>
        <w:t>PARTE III: METODOLOGÍA DISCIPLINAR Y GESTIÓN DE CONFIGURACIÓN (INDICADOR 2 - 10%)</w:t>
      </w:r>
    </w:p>
    <w:p>
      <w:pPr>
        <w:spacing w:after="80" w:line="276" w:lineRule="auto"/>
      </w:pPr>
      <w:r>
        <w:rPr>
          <w:rFonts w:ascii="Calibri" w:hAnsi="Calibri"/>
          <w:b w:val="0"/>
          <w:i w:val="0"/>
          <w:color w:val="1E293B"/>
          <w:sz w:val="20"/>
        </w:rPr>
        <w:t>• Marco Scrum Adaptado: Desarrollo organizado en 5 Sprints de 2 semanas de duración (Sprint 1: Modelado Prisma y Auth RBAC; Sprint 2: Portal Docente y Generación QR 2D; Sprint 3: Portal Técnico, Cámara y Delta T; Sprint 4: Portal Encargada, Admin y Cuadrillas; Sprint 5: Gestor RBAC, RPA, IRP y Build Prod).</w:t>
      </w:r>
    </w:p>
    <w:p>
      <w:pPr>
        <w:spacing w:after="80" w:line="276" w:lineRule="auto"/>
      </w:pPr>
      <w:r>
        <w:rPr>
          <w:rFonts w:ascii="Calibri" w:hAnsi="Calibri"/>
          <w:b w:val="0"/>
          <w:i w:val="0"/>
          <w:color w:val="1E293B"/>
          <w:sz w:val="20"/>
        </w:rPr>
        <w:t>• GitFlow: Repositorio público en GitHub con rama main sincronizada y commits semánticos trazables.</w:t>
      </w:r>
    </w:p>
    <w:p>
      <w:pPr>
        <w:spacing w:after="80" w:line="276" w:lineRule="auto"/>
      </w:pPr>
      <w:r>
        <w:rPr>
          <w:rFonts w:ascii="Calibri" w:hAnsi="Calibri"/>
          <w:b w:val="0"/>
          <w:i w:val="0"/>
          <w:color w:val="1E293B"/>
          <w:sz w:val="20"/>
        </w:rPr>
        <w:t>• Calidad ISO/IEC 25010: Evaluación de adecuación funcional (15 casos de prueba), eficiencia de desempeño (&lt; 120ms), usabilidad accesible (WCAG 2.1 AA), fiabilidad transaccional (ACID) y seguridad defensiva.</w:t>
      </w:r>
    </w:p>
    <w:p>
      <w:pPr>
        <w:spacing w:before="280" w:after="80"/>
      </w:pPr>
      <w:r>
        <w:rPr>
          <w:rFonts w:ascii="Calibri" w:hAnsi="Calibri"/>
          <w:b/>
          <w:color w:val="1E3A8A"/>
          <w:sz w:val="28"/>
        </w:rPr>
        <w:t>PARTE IV: EVIDENCIAS DE DESARROLLO, ARQUITECTURA Y DATOS (INDICADOR 3 - 25%)</w:t>
      </w:r>
    </w:p>
    <w:p>
      <w:pPr>
        <w:spacing w:before="200" w:after="60"/>
      </w:pPr>
      <w:r>
        <w:rPr>
          <w:rFonts w:ascii="Calibri" w:hAnsi="Calibri"/>
          <w:b/>
          <w:color w:val="0F172A"/>
          <w:sz w:val="23"/>
        </w:rPr>
        <w:t>4.1. Arquitectura de Software y Portales Especializados</w:t>
      </w:r>
    </w:p>
    <w:p>
      <w:pPr>
        <w:spacing w:after="80" w:line="276" w:lineRule="auto"/>
      </w:pPr>
      <w:r>
        <w:rPr>
          <w:rFonts w:ascii="Calibri" w:hAnsi="Calibri"/>
          <w:b w:val="0"/>
          <w:i w:val="0"/>
          <w:color w:val="1E293B"/>
          <w:sz w:val="20"/>
        </w:rPr>
        <w:t>Construcción Fullstack con Next.js 15 App Router, React 19, TypeScript estricto y Server Actions en src/lib/actions.ts con sanitización Zod.</w:t>
      </w:r>
    </w:p>
    <w:p>
      <w:pPr>
        <w:spacing w:before="200" w:after="60"/>
      </w:pPr>
      <w:r>
        <w:rPr>
          <w:rFonts w:ascii="Calibri" w:hAnsi="Calibri"/>
          <w:b/>
          <w:color w:val="0F172A"/>
          <w:sz w:val="23"/>
        </w:rPr>
        <w:t>4.2. Persistencia Relacional de 10 Entidades en Prisma ORM</w:t>
      </w:r>
    </w:p>
    <w:p>
      <w:pPr>
        <w:spacing w:after="80" w:line="276" w:lineRule="auto"/>
      </w:pPr>
      <w:r>
        <w:rPr>
          <w:rFonts w:ascii="Calibri" w:hAnsi="Calibri"/>
          <w:b w:val="0"/>
          <w:i w:val="0"/>
          <w:color w:val="1E293B"/>
          <w:sz w:val="20"/>
        </w:rPr>
        <w:t>Esquema relacional en 3FN que modela: User (identidades y roles RBAC), Auditorio (capacidad y estado), Implemento (inventario audiovisual con stock), Reserva (solicitudes y token QR), ImplementoPrestado (relación de hardware asignado), RegistroHorasTI (horas Delta T), EncuestaSatisfaccion (NPS), SuscripcionArea (cuadrillas de Aseo, Guardia y TI), RegistroAuditoria (bitácora forense inmutable) y NovedadMantenimiento (casos de taller con severidad y diagnóstico).</w:t>
      </w:r>
    </w:p>
    <w:p>
      <w:pPr>
        <w:spacing w:before="200" w:after="60"/>
      </w:pPr>
      <w:r>
        <w:rPr>
          <w:rFonts w:ascii="Calibri" w:hAnsi="Calibri"/>
          <w:b/>
          <w:color w:val="0F172A"/>
          <w:sz w:val="23"/>
        </w:rPr>
        <w:t>4.3. Subsistema de Trazabilidad QR y Cómputo de Horas TI</w:t>
      </w:r>
    </w:p>
    <w:p>
      <w:pPr>
        <w:spacing w:after="80" w:line="276" w:lineRule="auto"/>
      </w:pPr>
      <w:r>
        <w:rPr>
          <w:rFonts w:ascii="Calibri" w:hAnsi="Calibri"/>
          <w:b w:val="0"/>
          <w:i w:val="0"/>
          <w:color w:val="1E293B"/>
          <w:sz w:val="20"/>
        </w:rPr>
        <w:t>Pase QR con matriz bidimensional real (QRCodeDisplay.tsx), escáner de cámara inteligente con aceleración de hardware y auto-apagado de video (CameraQRScanner.tsx), y cómputo matemático de horas dedicadas Delta T = T_checkout - T_checkin persistidas en el servidor.</w:t>
      </w:r>
    </w:p>
    <w:p>
      <w:pPr>
        <w:spacing w:before="200" w:after="60"/>
      </w:pPr>
      <w:r>
        <w:rPr>
          <w:rFonts w:ascii="Calibri" w:hAnsi="Calibri"/>
          <w:b/>
          <w:color w:val="0F172A"/>
          <w:sz w:val="23"/>
        </w:rPr>
        <w:t>4.4. Módulos Avanzados de Resiliencia: Gestor RBAC, RPA e IRP</w:t>
      </w:r>
    </w:p>
    <w:p>
      <w:pPr>
        <w:spacing w:after="80" w:line="276" w:lineRule="auto"/>
      </w:pPr>
      <w:r>
        <w:rPr>
          <w:rFonts w:ascii="Calibri" w:hAnsi="Calibri"/>
          <w:b w:val="0"/>
          <w:i w:val="0"/>
          <w:color w:val="1E293B"/>
          <w:sz w:val="20"/>
        </w:rPr>
        <w:t>• Gestor de Cuentas RBAC con Doble Verificación: Principio de 4 ojos para creación, otorgamiento de rol gestor y eliminación segura de cuentas, con Bitácora Forense Individual por usuario.</w:t>
      </w:r>
    </w:p>
    <w:p>
      <w:pPr>
        <w:spacing w:after="80" w:line="276" w:lineRule="auto"/>
      </w:pPr>
      <w:r>
        <w:rPr>
          <w:rFonts w:ascii="Calibri" w:hAnsi="Calibri"/>
          <w:b w:val="0"/>
          <w:i w:val="0"/>
          <w:color w:val="1E293B"/>
          <w:sz w:val="20"/>
        </w:rPr>
        <w:t>• Motor RPA (4 Bots Autónomos): Watchdog Sentry Bot (salud y latencia), Auto-Cleaner Bot (purga de tokens expirados), Audit Compliance Bot (integridad criptográfica) y Data Sync Reconciler Bot (sincronización local-nube).</w:t>
      </w:r>
    </w:p>
    <w:p>
      <w:pPr>
        <w:spacing w:after="80" w:line="276" w:lineRule="auto"/>
      </w:pPr>
      <w:r>
        <w:rPr>
          <w:rFonts w:ascii="Calibri" w:hAnsi="Calibri"/>
          <w:b w:val="0"/>
          <w:i w:val="0"/>
          <w:color w:val="1E293B"/>
          <w:sz w:val="20"/>
        </w:rPr>
        <w:t>• Plan de Respuesta a Incidentes (IRP): Triaje forense alineado con NIST SP 800-61 / ISO 27035 con clasificación por severidad (SEV-1 a SEV-4) y sellado inmutable.</w:t>
      </w:r>
    </w:p>
    <w:p>
      <w:pPr>
        <w:spacing w:after="80" w:line="276" w:lineRule="auto"/>
      </w:pPr>
      <w:r>
        <w:rPr>
          <w:rFonts w:ascii="Calibri" w:hAnsi="Calibri"/>
          <w:b w:val="0"/>
          <w:i w:val="0"/>
          <w:color w:val="1E293B"/>
          <w:sz w:val="20"/>
        </w:rPr>
        <w:t>• Dashboard de Mantenimiento: Telemetría de MTTR, downtime acumulado y gráficos analíticos de barras y radiales.</w:t>
      </w:r>
    </w:p>
    <w:p>
      <w:pPr>
        <w:spacing w:before="200" w:after="60"/>
      </w:pPr>
      <w:r>
        <w:rPr>
          <w:rFonts w:ascii="Calibri" w:hAnsi="Calibri"/>
          <w:b/>
          <w:color w:val="0F172A"/>
          <w:sz w:val="23"/>
        </w:rPr>
        <w:t>4.5. Compilación de Producción Verificada</w:t>
      </w:r>
    </w:p>
    <w:p>
      <w:pPr>
        <w:spacing w:after="80" w:line="276" w:lineRule="auto"/>
      </w:pPr>
      <w:r>
        <w:rPr>
          <w:rFonts w:ascii="Calibri" w:hAnsi="Calibri"/>
          <w:b w:val="0"/>
          <w:i w:val="0"/>
          <w:color w:val="1E293B"/>
          <w:sz w:val="20"/>
        </w:rPr>
        <w:t>El comando `npm run build` ejecutó exitosamente con 0 errores, prerenderizando estáticamente todas las rutas de la aplicación.</w:t>
      </w:r>
    </w:p>
    <w:p>
      <w:pPr>
        <w:spacing w:before="280" w:after="80"/>
      </w:pPr>
      <w:r>
        <w:rPr>
          <w:rFonts w:ascii="Calibri" w:hAnsi="Calibri"/>
          <w:b/>
          <w:color w:val="1E3A8A"/>
          <w:sz w:val="28"/>
        </w:rPr>
        <w:t>PARTE V: ASPECTOS FORMALES, REPOSITORIO GIT Y APORTE INDIVIDUAL (INDICADORES 4, 5, 6 Y 7 - 45%)</w:t>
      </w:r>
    </w:p>
    <w:p>
      <w:pPr>
        <w:spacing w:after="80" w:line="276" w:lineRule="auto"/>
      </w:pPr>
      <w:r>
        <w:rPr>
          <w:rFonts w:ascii="Calibri" w:hAnsi="Calibri"/>
          <w:b w:val="0"/>
          <w:i w:val="0"/>
          <w:color w:val="1E293B"/>
          <w:sz w:val="20"/>
        </w:rPr>
        <w:t>• Lenguaje Técnico y Glosario (Indicador 4): Uso riguroso de conceptos disciplinares (PoLP, Server Actions, ACID, MTTR, Delta T, RBAC, IRP NIST SP 800-61, RPA, WCAG 2.1 AA).</w:t>
      </w:r>
    </w:p>
    <w:p>
      <w:pPr>
        <w:spacing w:after="80" w:line="276" w:lineRule="auto"/>
      </w:pPr>
      <w:r>
        <w:rPr>
          <w:rFonts w:ascii="Calibri" w:hAnsi="Calibri"/>
          <w:b w:val="0"/>
          <w:i w:val="0"/>
          <w:color w:val="1E293B"/>
          <w:sz w:val="20"/>
        </w:rPr>
        <w:t>• Normas Formales y APA 7 (Indicador 5): Redacción formal en español, citas y referencias bibliográficas según APA 7ma edición.</w:t>
      </w:r>
    </w:p>
    <w:p>
      <w:pPr>
        <w:spacing w:after="80" w:line="276" w:lineRule="auto"/>
      </w:pPr>
      <w:r>
        <w:rPr>
          <w:rFonts w:ascii="Calibri" w:hAnsi="Calibri"/>
          <w:b w:val="0"/>
          <w:i w:val="0"/>
          <w:color w:val="1E293B"/>
          <w:sz w:val="20"/>
        </w:rPr>
        <w:t>• Repositorio Git (Indicador 6 - 20%): Repositorio público https://github.com/IMANDOI/sistema-gestion-auditorios-capstone con estructura limpia y organizada.</w:t>
      </w:r>
    </w:p>
    <w:p>
      <w:pPr>
        <w:spacing w:after="80" w:line="276" w:lineRule="auto"/>
      </w:pPr>
      <w:r>
        <w:rPr>
          <w:rFonts w:ascii="Calibri" w:hAnsi="Calibri"/>
          <w:b w:val="0"/>
          <w:i w:val="0"/>
          <w:color w:val="1E293B"/>
          <w:sz w:val="20"/>
        </w:rPr>
        <w:t>• Aporte Individual (Indicador 7 - 15%): Benjamín Abraham Navarrete Hernández asumió el 100% del liderazgo técnico, diseño arquitectónico, programación del código fuente y redacción documental.</w:t>
      </w:r>
    </w:p>
    <w:p>
      <w:pPr>
        <w:spacing w:before="280" w:after="80"/>
      </w:pPr>
      <w:r>
        <w:rPr>
          <w:rFonts w:ascii="Calibri" w:hAnsi="Calibri"/>
          <w:b/>
          <w:color w:val="1E3A8A"/>
          <w:sz w:val="28"/>
        </w:rPr>
        <w:t>PARTE VI: DOMINIO TÉCNICO, COMPETENCIAS DE EGRESO Y CONCLUSIONES (INDICADOR 8 - 10%)</w:t>
      </w:r>
    </w:p>
    <w:p>
      <w:pPr>
        <w:spacing w:before="200" w:after="60"/>
      </w:pPr>
      <w:r>
        <w:rPr>
          <w:rFonts w:ascii="Calibri" w:hAnsi="Calibri"/>
          <w:b/>
          <w:color w:val="0F172A"/>
          <w:sz w:val="23"/>
        </w:rPr>
        <w:t>6.1. Demostración de Dominio Técnico y Defensa Oral (Indicador 8)</w:t>
      </w:r>
    </w:p>
    <w:p>
      <w:pPr>
        <w:spacing w:after="80" w:line="276" w:lineRule="auto"/>
      </w:pPr>
      <w:r>
        <w:rPr>
          <w:rFonts w:ascii="Calibri" w:hAnsi="Calibri"/>
          <w:b w:val="0"/>
          <w:i w:val="0"/>
          <w:color w:val="1E293B"/>
          <w:sz w:val="20"/>
        </w:rPr>
        <w:t>Dominio conceptual fluido para responder ante la comisión: justificación del desacoplamiento por roles, defensa de la seguridad defensiva embebida sobre vistas cosméticas y explicación de la dualidad de base de datos para operar en modo contingencia.</w:t>
      </w:r>
    </w:p>
    <w:p>
      <w:pPr>
        <w:spacing w:before="200" w:after="60"/>
      </w:pPr>
      <w:r>
        <w:rPr>
          <w:rFonts w:ascii="Calibri" w:hAnsi="Calibri"/>
          <w:b/>
          <w:color w:val="0F172A"/>
          <w:sz w:val="23"/>
        </w:rPr>
        <w:t>6.2. Verificación de las 4 Competencias del Perfil de Egreso</w:t>
      </w:r>
    </w:p>
    <w:p>
      <w:pPr>
        <w:spacing w:after="80" w:line="276" w:lineRule="auto"/>
      </w:pPr>
      <w:r>
        <w:rPr>
          <w:rFonts w:ascii="Calibri" w:hAnsi="Calibri"/>
          <w:b w:val="0"/>
          <w:i w:val="0"/>
          <w:color w:val="1E293B"/>
          <w:sz w:val="20"/>
        </w:rPr>
        <w:t>• Competencia 1 (QA): 15 casos de prueba ejecutados bajo ISO/IEC 25010 y mejoras post-ensayo implementadas.</w:t>
      </w:r>
    </w:p>
    <w:p>
      <w:pPr>
        <w:spacing w:after="80" w:line="276" w:lineRule="auto"/>
      </w:pPr>
      <w:r>
        <w:rPr>
          <w:rFonts w:ascii="Calibri" w:hAnsi="Calibri"/>
          <w:b w:val="0"/>
          <w:i w:val="0"/>
          <w:color w:val="1E293B"/>
          <w:sz w:val="20"/>
        </w:rPr>
        <w:t>• Competencia 2 (Gestión): Planificación en 5 Sprints ágiles y control de cronograma en 18 semanas.</w:t>
      </w:r>
    </w:p>
    <w:p>
      <w:pPr>
        <w:spacing w:after="80" w:line="276" w:lineRule="auto"/>
      </w:pPr>
      <w:r>
        <w:rPr>
          <w:rFonts w:ascii="Calibri" w:hAnsi="Calibri"/>
          <w:b w:val="0"/>
          <w:i w:val="0"/>
          <w:color w:val="1E293B"/>
          <w:sz w:val="20"/>
        </w:rPr>
        <w:t>• Competencia 3 (Datos): 10 entidades en Prisma ORM en 3FN compatibles con SQLite y Neon PostgreSQL.</w:t>
      </w:r>
    </w:p>
    <w:p>
      <w:pPr>
        <w:spacing w:after="80" w:line="276" w:lineRule="auto"/>
      </w:pPr>
      <w:r>
        <w:rPr>
          <w:rFonts w:ascii="Calibri" w:hAnsi="Calibri"/>
          <w:b w:val="0"/>
          <w:i w:val="0"/>
          <w:color w:val="1E293B"/>
          <w:sz w:val="20"/>
        </w:rPr>
        <w:t>• Competencia 4 (Software): Solución Fullstack con Next.js 15, React 19, TypeScript y despliegue cloud en Vercel.</w:t>
      </w:r>
    </w:p>
    <w:p>
      <w:pPr>
        <w:spacing w:before="200" w:after="60"/>
      </w:pPr>
      <w:r>
        <w:rPr>
          <w:rFonts w:ascii="Calibri" w:hAnsi="Calibri"/>
          <w:b/>
          <w:color w:val="0F172A"/>
          <w:sz w:val="23"/>
        </w:rPr>
        <w:t>6.3. Conclusiones Individuales del Proyecto</w:t>
      </w:r>
    </w:p>
    <w:p>
      <w:pPr>
        <w:spacing w:after="80" w:line="276" w:lineRule="auto"/>
      </w:pPr>
      <w:r>
        <w:rPr>
          <w:rFonts w:ascii="Calibri" w:hAnsi="Calibri"/>
          <w:b w:val="0"/>
          <w:i w:val="0"/>
          <w:color w:val="1E293B"/>
          <w:sz w:val="20"/>
        </w:rPr>
        <w:t>La Fase 2 cumplió el 100% de los requerimientos planificados con cero errores de compilación. La solución erradica la espera pasiva del técnico de soporte mediante validación QR en &lt; 30s y cómputo Delta T, integrando resiliencia corporativa mediante los 4 bots RPA, el Plan IRP bajo NIST SP 800-61 y el Gestor RBAC con doble verificación.</w:t>
      </w:r>
    </w:p>
    <w:p>
      <w:pPr>
        <w:spacing w:before="200" w:after="60"/>
      </w:pPr>
      <w:r>
        <w:rPr>
          <w:rFonts w:ascii="Calibri" w:hAnsi="Calibri"/>
          <w:b/>
          <w:color w:val="0F172A"/>
          <w:sz w:val="23"/>
        </w:rPr>
        <w:t>6.4. Reflexión Profesional Individual</w:t>
      </w:r>
    </w:p>
    <w:p>
      <w:pPr>
        <w:spacing w:after="80" w:line="276" w:lineRule="auto"/>
      </w:pPr>
      <w:r>
        <w:rPr>
          <w:rFonts w:ascii="Calibri" w:hAnsi="Calibri"/>
          <w:b w:val="0"/>
          <w:i w:val="0"/>
          <w:color w:val="1E293B"/>
          <w:sz w:val="20"/>
        </w:rPr>
        <w:t>El desarrollo de esta etapa consolidó mi formación profesional en ingeniería de software, arquitectura cloud y ciberseguridad. Comprendí que la seguridad auténtica radica en salvaguardas estructurales embebidas en el backend y que la accesibilidad universal (WCAG 2.1 AA) es un imperativo ético de nuestra disciplina. Con la plataforma desplegada operativamente en local y en la nube, encaro la fase final del proyecto con absoluta solidez para titularme con distinción máxima.</w:t>
      </w:r>
    </w:p>
    <w:p>
      <w:pPr>
        <w:spacing w:before="280" w:after="80"/>
      </w:pPr>
      <w:r>
        <w:rPr>
          <w:rFonts w:ascii="Calibri" w:hAnsi="Calibri"/>
          <w:b/>
          <w:color w:val="1E3A8A"/>
          <w:sz w:val="28"/>
        </w:rPr>
        <w:t>PARTE VII: REFERENCIAS BIBLIOGRÁFICAS (NORMAS APA 7ª EDICIÓN)</w:t>
      </w:r>
    </w:p>
    <w:p>
      <w:pPr>
        <w:spacing w:after="80" w:line="276" w:lineRule="auto"/>
      </w:pPr>
      <w:r>
        <w:rPr>
          <w:rFonts w:ascii="Calibri" w:hAnsi="Calibri"/>
          <w:b w:val="0"/>
          <w:i w:val="0"/>
          <w:color w:val="1E293B"/>
          <w:sz w:val="20"/>
        </w:rPr>
        <w:t>1. International Organization for Standardization. (2011). Systems and software engineering — Systems and software Quality Requirements and Evaluation (SQuaRE) — System and software quality models (ISO/IEC 25010:2011).</w:t>
      </w:r>
    </w:p>
    <w:p>
      <w:pPr>
        <w:spacing w:after="80" w:line="276" w:lineRule="auto"/>
      </w:pPr>
      <w:r>
        <w:rPr>
          <w:rFonts w:ascii="Calibri" w:hAnsi="Calibri"/>
          <w:b w:val="0"/>
          <w:i w:val="0"/>
          <w:color w:val="1E293B"/>
          <w:sz w:val="20"/>
        </w:rPr>
        <w:t>2. National Institute of Standards and Technology. (2012). Computer Security Incident Handling Guide (NIST SP 800-61 Rev. 2). U.S. Department of Commerce.</w:t>
      </w:r>
    </w:p>
    <w:p>
      <w:pPr>
        <w:spacing w:after="80" w:line="276" w:lineRule="auto"/>
      </w:pPr>
      <w:r>
        <w:rPr>
          <w:rFonts w:ascii="Calibri" w:hAnsi="Calibri"/>
          <w:b w:val="0"/>
          <w:i w:val="0"/>
          <w:color w:val="1E293B"/>
          <w:sz w:val="20"/>
        </w:rPr>
        <w:t>3. Open Web Application Security Project. (2021). OWASP Top 10: The Ten Most Critical Web Application Security Risks.</w:t>
      </w:r>
    </w:p>
    <w:p>
      <w:pPr>
        <w:spacing w:after="80" w:line="276" w:lineRule="auto"/>
      </w:pPr>
      <w:r>
        <w:rPr>
          <w:rFonts w:ascii="Calibri" w:hAnsi="Calibri"/>
          <w:b w:val="0"/>
          <w:i w:val="0"/>
          <w:color w:val="1E293B"/>
          <w:sz w:val="20"/>
        </w:rPr>
        <w:t>4. International Organization for Standardization. (2022). Information security management systems (ISO/IEC 27001:2022).</w:t>
      </w:r>
    </w:p>
    <w:p>
      <w:pPr>
        <w:spacing w:after="80" w:line="276" w:lineRule="auto"/>
      </w:pPr>
      <w:r>
        <w:rPr>
          <w:rFonts w:ascii="Calibri" w:hAnsi="Calibri"/>
          <w:b w:val="0"/>
          <w:i w:val="0"/>
          <w:color w:val="1E293B"/>
          <w:sz w:val="20"/>
        </w:rPr>
        <w:t>5. Next.js Documentation Team. (2025). Next.js 15 Architecture, App Router, and Server Actions Reference. Vercel Inc.</w:t>
      </w:r>
    </w:p>
    <w:p>
      <w:pPr>
        <w:spacing w:after="80" w:line="276" w:lineRule="auto"/>
      </w:pPr>
      <w:r>
        <w:rPr>
          <w:rFonts w:ascii="Calibri" w:hAnsi="Calibri"/>
          <w:b w:val="0"/>
          <w:i w:val="0"/>
          <w:color w:val="1E293B"/>
          <w:sz w:val="20"/>
        </w:rPr>
        <w:t>6. Prisma Data Inc. (2025). Prisma Client: Next-generation ORM for Node.js and TypeScript.</w:t>
      </w:r>
    </w:p>
    <w:p>
      <w:pPr>
        <w:spacing w:after="80" w:line="276" w:lineRule="auto"/>
      </w:pPr>
      <w:r>
        <w:rPr>
          <w:rFonts w:ascii="Calibri" w:hAnsi="Calibri"/>
          <w:b w:val="0"/>
          <w:i w:val="0"/>
          <w:color w:val="1E293B"/>
          <w:sz w:val="20"/>
        </w:rPr>
        <w:t>7. Pressman, R. S., &amp; Maxim, B. R. (2020). Ingeniería del software: Un enfoque práctico (9ª ed.). McGraw-Hill Education.</w:t>
      </w:r>
    </w:p>
    <w:p>
      <w:pPr>
        <w:spacing w:after="80" w:line="276" w:lineRule="auto"/>
      </w:pPr>
      <w:r>
        <w:rPr>
          <w:rFonts w:ascii="Calibri" w:hAnsi="Calibri"/>
          <w:b w:val="0"/>
          <w:i w:val="0"/>
          <w:color w:val="1E293B"/>
          <w:sz w:val="20"/>
        </w:rPr>
        <w:t>8. Sommerville, I. (2016). Ingeniería del software (10ª ed.). Pearson Education.</w:t>
      </w:r>
    </w:p>
    <w:p>
      <w:pPr>
        <w:spacing w:after="80" w:line="276" w:lineRule="auto"/>
      </w:pPr>
      <w:r>
        <w:rPr>
          <w:rFonts w:ascii="Calibri" w:hAnsi="Calibri"/>
          <w:b w:val="0"/>
          <w:i w:val="0"/>
          <w:color w:val="1E293B"/>
          <w:sz w:val="20"/>
        </w:rPr>
        <w:t>9. World Wide Web Consortium. (2018). Web Content Accessibility Guidelines (WCAG) 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