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36"/>
        </w:rPr>
        <w:t>INFORME TÉCNICO DE AVANCE - FASE 2</w:t>
      </w:r>
    </w:p>
    <w:p>
      <w:pPr>
        <w:jc w:val="center"/>
      </w:pPr>
      <w:r>
        <w:rPr>
          <w:rFonts w:ascii="Arial" w:hAnsi="Arial"/>
          <w:i/>
          <w:color w:val="2563EB"/>
          <w:sz w:val="24"/>
        </w:rPr>
        <w:t>Desarrollo Core, Arquitectura de Software y Prototipo Operativo (Meta: 7.0)</w:t>
        <w:br/>
        <w:t>Proyecto Capstone APT122 / PTY4614 — Duoc UC</w:t>
      </w:r>
    </w:p>
    <w:tbl>
      <w:tblPr>
        <w:tblW w:type="auto" w:w="0"/>
        <w:jc w:val="center"/>
        <w:tblLook w:firstColumn="1" w:firstRow="1" w:lastColumn="0" w:lastRow="0" w:noHBand="0" w:noVBand="1" w:val="04A0"/>
      </w:tblPr>
      <w:tblGrid>
        <w:gridCol w:w="4680"/>
        <w:gridCol w:w="4680"/>
      </w:tblGrid>
      <w:tr>
        <w:tc>
          <w:tcPr>
            <w:tcW w:type="dxa" w:w="4680"/>
            <w:shd w:fill="0F172A"/>
          </w:tcPr>
          <w:p>
            <w:pPr>
              <w:jc w:val="center"/>
            </w:pPr>
            <w:r>
              <w:rPr>
                <w:rFonts w:ascii="Arial" w:hAnsi="Arial"/>
                <w:b/>
                <w:color w:val="FFFFFF"/>
                <w:sz w:val="19"/>
              </w:rPr>
              <w:t>Campo Institucional</w:t>
            </w:r>
          </w:p>
        </w:tc>
        <w:tc>
          <w:tcPr>
            <w:tcW w:type="dxa" w:w="4680"/>
            <w:shd w:fill="0F172A"/>
          </w:tcPr>
          <w:p>
            <w:pPr>
              <w:jc w:val="center"/>
            </w:pPr>
            <w:r>
              <w:rPr>
                <w:rFonts w:ascii="Arial" w:hAnsi="Arial"/>
                <w:b/>
                <w:color w:val="FFFFFF"/>
                <w:sz w:val="19"/>
              </w:rPr>
              <w:t>Detalle de Registro</w:t>
            </w:r>
          </w:p>
        </w:tc>
      </w:tr>
      <w:tr>
        <w:tc>
          <w:tcPr>
            <w:tcW w:type="dxa" w:w="4680"/>
            <w:shd w:fill="FFFFFF"/>
          </w:tcPr>
          <w:p>
            <w:r>
              <w:rPr>
                <w:rFonts w:ascii="Arial" w:hAnsi="Arial"/>
                <w:color w:val="1E293B"/>
                <w:sz w:val="19"/>
              </w:rPr>
              <w:t>Institución</w:t>
            </w:r>
          </w:p>
        </w:tc>
        <w:tc>
          <w:tcPr>
            <w:tcW w:type="dxa" w:w="4680"/>
            <w:shd w:fill="FFFFFF"/>
          </w:tcPr>
          <w:p>
            <w:r>
              <w:rPr>
                <w:rFonts w:ascii="Arial" w:hAnsi="Arial"/>
                <w:color w:val="1E293B"/>
                <w:sz w:val="19"/>
              </w:rPr>
              <w:t>Duoc UC — Escuela de Informática y Telecomunicaciones</w:t>
            </w:r>
          </w:p>
        </w:tc>
      </w:tr>
      <w:tr>
        <w:tc>
          <w:tcPr>
            <w:tcW w:type="dxa" w:w="4680"/>
            <w:shd w:fill="F8FAFC"/>
          </w:tcPr>
          <w:p>
            <w:r>
              <w:rPr>
                <w:rFonts w:ascii="Arial" w:hAnsi="Arial"/>
                <w:color w:val="1E293B"/>
                <w:sz w:val="19"/>
              </w:rPr>
              <w:t>Asignatura</w:t>
            </w:r>
          </w:p>
        </w:tc>
        <w:tc>
          <w:tcPr>
            <w:tcW w:type="dxa" w:w="4680"/>
            <w:shd w:fill="F8FAFC"/>
          </w:tcPr>
          <w:p>
            <w:r>
              <w:rPr>
                <w:rFonts w:ascii="Arial" w:hAnsi="Arial"/>
                <w:color w:val="1E293B"/>
                <w:sz w:val="19"/>
              </w:rPr>
              <w:t>Proyecto Capstone (APT122 / PTY4614) — Hito Semana 9</w:t>
            </w:r>
          </w:p>
        </w:tc>
      </w:tr>
      <w:tr>
        <w:tc>
          <w:tcPr>
            <w:tcW w:type="dxa" w:w="4680"/>
            <w:shd w:fill="FFFFFF"/>
          </w:tcPr>
          <w:p>
            <w:r>
              <w:rPr>
                <w:rFonts w:ascii="Arial" w:hAnsi="Arial"/>
                <w:color w:val="1E293B"/>
                <w:sz w:val="19"/>
              </w:rPr>
              <w:t>Proyecto</w:t>
            </w:r>
          </w:p>
        </w:tc>
        <w:tc>
          <w:tcPr>
            <w:tcW w:type="dxa" w:w="4680"/>
            <w:shd w:fill="FFFFFF"/>
          </w:tcPr>
          <w:p>
            <w:r>
              <w:rPr>
                <w:rFonts w:ascii="Arial" w:hAnsi="Arial"/>
                <w:color w:val="1E293B"/>
                <w:sz w:val="19"/>
              </w:rPr>
              <w:t>Sistema Autónomo de Gestión Operativa de Auditorios y Optimización de Soporte TI</w:t>
            </w:r>
          </w:p>
        </w:tc>
      </w:tr>
      <w:tr>
        <w:tc>
          <w:tcPr>
            <w:tcW w:type="dxa" w:w="4680"/>
            <w:shd w:fill="F8FAFC"/>
          </w:tcPr>
          <w:p>
            <w:r>
              <w:rPr>
                <w:rFonts w:ascii="Arial" w:hAnsi="Arial"/>
                <w:color w:val="1E293B"/>
                <w:sz w:val="19"/>
              </w:rPr>
              <w:t>Fase Evaluada</w:t>
            </w:r>
          </w:p>
        </w:tc>
        <w:tc>
          <w:tcPr>
            <w:tcW w:type="dxa" w:w="4680"/>
            <w:shd w:fill="F8FAFC"/>
          </w:tcPr>
          <w:p>
            <w:r>
              <w:rPr>
                <w:rFonts w:ascii="Arial" w:hAnsi="Arial"/>
                <w:color w:val="1E293B"/>
                <w:sz w:val="19"/>
              </w:rPr>
              <w:t>Fase 2: Construcción de Software, Prototipo Funcional y Evidencias (20%)</w:t>
            </w:r>
          </w:p>
        </w:tc>
      </w:tr>
      <w:tr>
        <w:tc>
          <w:tcPr>
            <w:tcW w:type="dxa" w:w="4680"/>
            <w:shd w:fill="FFFFFF"/>
          </w:tcPr>
          <w:p>
            <w:r>
              <w:rPr>
                <w:rFonts w:ascii="Arial" w:hAnsi="Arial"/>
                <w:color w:val="1E293B"/>
                <w:sz w:val="19"/>
              </w:rPr>
              <w:t>Estudiante / Rol</w:t>
            </w:r>
          </w:p>
        </w:tc>
        <w:tc>
          <w:tcPr>
            <w:tcW w:type="dxa" w:w="4680"/>
            <w:shd w:fill="FFFFFF"/>
          </w:tcPr>
          <w:p>
            <w:r>
              <w:rPr>
                <w:rFonts w:ascii="Arial" w:hAnsi="Arial"/>
                <w:color w:val="1E293B"/>
                <w:sz w:val="19"/>
              </w:rPr>
              <w:t>Benjamín Navarrete (Super Administrador &amp; Arquitecto Fullstack Líder)</w:t>
            </w:r>
          </w:p>
        </w:tc>
      </w:tr>
      <w:tr>
        <w:tc>
          <w:tcPr>
            <w:tcW w:type="dxa" w:w="4680"/>
            <w:shd w:fill="F8FAFC"/>
          </w:tcPr>
          <w:p>
            <w:r>
              <w:rPr>
                <w:rFonts w:ascii="Arial" w:hAnsi="Arial"/>
                <w:color w:val="1E293B"/>
                <w:sz w:val="19"/>
              </w:rPr>
              <w:t>Correo Personal / Admin</w:t>
            </w:r>
          </w:p>
        </w:tc>
        <w:tc>
          <w:tcPr>
            <w:tcW w:type="dxa" w:w="4680"/>
            <w:shd w:fill="F8FAFC"/>
          </w:tcPr>
          <w:p>
            <w:r>
              <w:rPr>
                <w:rFonts w:ascii="Arial" w:hAnsi="Arial"/>
                <w:color w:val="1E293B"/>
                <w:sz w:val="19"/>
              </w:rPr>
              <w:t>benjamin54144752123@gmail.com</w:t>
            </w:r>
          </w:p>
        </w:tc>
      </w:tr>
      <w:tr>
        <w:tc>
          <w:tcPr>
            <w:tcW w:type="dxa" w:w="4680"/>
            <w:shd w:fill="FFFFFF"/>
          </w:tcPr>
          <w:p>
            <w:r>
              <w:rPr>
                <w:rFonts w:ascii="Arial" w:hAnsi="Arial"/>
                <w:color w:val="1E293B"/>
                <w:sz w:val="19"/>
              </w:rPr>
              <w:t>Profesor Guía</w:t>
            </w:r>
          </w:p>
        </w:tc>
        <w:tc>
          <w:tcPr>
            <w:tcW w:type="dxa" w:w="4680"/>
            <w:shd w:fill="FFFFFF"/>
          </w:tcPr>
          <w:p>
            <w:r>
              <w:rPr>
                <w:rFonts w:ascii="Arial" w:hAnsi="Arial"/>
                <w:color w:val="1E293B"/>
                <w:sz w:val="19"/>
              </w:rPr>
              <w:t>Diego Garcés M.</w:t>
            </w:r>
          </w:p>
        </w:tc>
      </w:tr>
      <w:tr>
        <w:tc>
          <w:tcPr>
            <w:tcW w:type="dxa" w:w="4680"/>
            <w:shd w:fill="F8FAFC"/>
          </w:tcPr>
          <w:p>
            <w:r>
              <w:rPr>
                <w:rFonts w:ascii="Arial" w:hAnsi="Arial"/>
                <w:color w:val="1E293B"/>
                <w:sz w:val="19"/>
              </w:rPr>
              <w:t>Fecha de Emisión</w:t>
            </w:r>
          </w:p>
        </w:tc>
        <w:tc>
          <w:tcPr>
            <w:tcW w:type="dxa" w:w="4680"/>
            <w:shd w:fill="F8FAFC"/>
          </w:tcPr>
          <w:p>
            <w:r>
              <w:rPr>
                <w:rFonts w:ascii="Arial" w:hAnsi="Arial"/>
                <w:color w:val="1E293B"/>
                <w:sz w:val="19"/>
              </w:rPr>
              <w:t>Octubre 2026</w:t>
            </w:r>
          </w:p>
        </w:tc>
      </w:tr>
      <w:tr>
        <w:tc>
          <w:tcPr>
            <w:tcW w:type="dxa" w:w="4680"/>
            <w:shd w:fill="FFFFFF"/>
          </w:tcPr>
          <w:p>
            <w:r>
              <w:rPr>
                <w:rFonts w:ascii="Arial" w:hAnsi="Arial"/>
                <w:color w:val="1E293B"/>
                <w:sz w:val="19"/>
              </w:rPr>
              <w:t>Repositorio Oficial</w:t>
            </w:r>
          </w:p>
        </w:tc>
        <w:tc>
          <w:tcPr>
            <w:tcW w:type="dxa" w:w="4680"/>
            <w:shd w:fill="FFFFFF"/>
          </w:tcPr>
          <w:p>
            <w:r>
              <w:rPr>
                <w:rFonts w:ascii="Arial" w:hAnsi="Arial"/>
                <w:color w:val="1E293B"/>
                <w:sz w:val="19"/>
              </w:rPr>
              <w:t>https://github.com/IMANDOI/sistema-gestion-auditorios-capstone</w:t>
            </w:r>
          </w:p>
        </w:tc>
      </w:tr>
      <w:tr>
        <w:tc>
          <w:tcPr>
            <w:tcW w:type="dxa" w:w="4680"/>
            <w:shd w:fill="F8FAFC"/>
          </w:tcPr>
          <w:p>
            <w:r>
              <w:rPr>
                <w:rFonts w:ascii="Arial" w:hAnsi="Arial"/>
                <w:color w:val="1E293B"/>
                <w:sz w:val="19"/>
              </w:rPr>
              <w:t>Entorno Local</w:t>
            </w:r>
          </w:p>
        </w:tc>
        <w:tc>
          <w:tcPr>
            <w:tcW w:type="dxa" w:w="4680"/>
            <w:shd w:fill="F8FAFC"/>
          </w:tcPr>
          <w:p>
            <w:r>
              <w:rPr>
                <w:rFonts w:ascii="Arial" w:hAnsi="Arial"/>
                <w:color w:val="1E293B"/>
                <w:sz w:val="19"/>
              </w:rPr>
              <w:t>http://localhost:3000 (Next.js 15.1.6 / React 19 / SQLite / Prisma)</w:t>
            </w:r>
          </w:p>
        </w:tc>
      </w:tr>
      <w:tr>
        <w:tc>
          <w:tcPr>
            <w:tcW w:type="dxa" w:w="4680"/>
            <w:shd w:fill="FFFFFF"/>
          </w:tcPr>
          <w:p>
            <w:r>
              <w:rPr>
                <w:rFonts w:ascii="Arial" w:hAnsi="Arial"/>
                <w:color w:val="1E293B"/>
                <w:sz w:val="19"/>
              </w:rPr>
              <w:t>Estado de Build</w:t>
            </w:r>
          </w:p>
        </w:tc>
        <w:tc>
          <w:tcPr>
            <w:tcW w:type="dxa" w:w="4680"/>
            <w:shd w:fill="FFFFFF"/>
          </w:tcPr>
          <w:p>
            <w:r>
              <w:rPr>
                <w:rFonts w:ascii="Arial" w:hAnsi="Arial"/>
                <w:color w:val="1E293B"/>
                <w:sz w:val="19"/>
              </w:rPr>
              <w:t>100% Exitosa ('next build' superado con 0 errores de compilación)</w:t>
            </w:r>
          </w:p>
        </w:tc>
      </w:tr>
    </w:tbl>
    <w:p>
      <w:pPr>
        <w:spacing w:after="120"/>
      </w:pPr>
    </w:p>
    <w:p>
      <w:pPr>
        <w:keepNext/>
        <w:spacing w:before="280" w:after="120"/>
      </w:pPr>
      <w:r>
        <w:rPr>
          <w:rFonts w:ascii="Arial" w:hAnsi="Arial"/>
          <w:b/>
          <w:color w:val="0F172A"/>
          <w:sz w:val="28"/>
        </w:rPr>
        <w:t>1. ABSTRACT BILINGÜE (SPANISH &amp; ENGLISH)</w:t>
      </w:r>
    </w:p>
    <w:p>
      <w:pPr>
        <w:keepNext/>
        <w:spacing w:before="200" w:after="80"/>
      </w:pPr>
      <w:r>
        <w:rPr>
          <w:rFonts w:ascii="Arial" w:hAnsi="Arial"/>
          <w:b/>
          <w:color w:val="2563EB"/>
          <w:sz w:val="24"/>
        </w:rPr>
        <w:t>Resumen (Español)</w:t>
      </w:r>
    </w:p>
    <w:p>
      <w:pPr>
        <w:spacing w:after="120" w:line="276" w:lineRule="auto"/>
      </w:pPr>
      <w:r>
        <w:rPr>
          <w:rFonts w:ascii="Arial" w:hAnsi="Arial"/>
          <w:b w:val="0"/>
          <w:i w:val="0"/>
          <w:color w:val="1E293B"/>
          <w:sz w:val="22"/>
        </w:rPr>
        <w:t>El presente Informe de Avance de Fase 2 consolida la ingeniería, arquitectura y desarrollo del núcleo de software del Sistema Autónomo de Gestión Operativa, Trazabilidad QR y Rendimiento de Espacios Académicos para la Escuela de Informática y Telecomunicaciones de Duoc UC. El proyecto responde a la ineficiencia histórica originada por la dispersión de reservas en planillas aisladas, el solapamiento de horarios, la falta de trazabilidad en las horas de soporte técnico dedicadas por el personal de TI y la desarticulación con cuadrillas auxiliares (Aseo y Guardia). Durante esta fase se construyó y validó un Producto Mínimo Viable (MVP) completamente operativo bajo el framework Next.js 15 (App Router, Server Actions) y React 19, desacoplado en cuatro portales modulares por rol (/docente, /tecnico, /encargado, /admin) y un portal unificado de autenticación (/login) bajo pautas de accesibilidad WCAG 2.1 AA. El sistema implementa un motor relacional de 10 entidades en Prisma ORM, validación matemática anti-colisiones, emisión y validación de tokens QR en terreno en menos de 30 segundos, cómputo automatizado de horas dedicadas de soporte TI (Delta T), reprogramación protegida mediante confirmación obligatoria, gestión CRUD de cuadrillas de apoyo y un Dashboard de Salud Operacional con gráficos analíticos y cálculo en tiempo real de MTTR y horas de downtime. El prototipo superó con éxito la compilación de producción con cero errores y quince casos de prueba bajo ISO/IEC 25010.</w:t>
      </w:r>
    </w:p>
    <w:p>
      <w:pPr>
        <w:keepNext/>
        <w:spacing w:before="200" w:after="80"/>
      </w:pPr>
      <w:r>
        <w:rPr>
          <w:rFonts w:ascii="Arial" w:hAnsi="Arial"/>
          <w:b/>
          <w:color w:val="2563EB"/>
          <w:sz w:val="24"/>
        </w:rPr>
        <w:t>Abstract (English)</w:t>
      </w:r>
    </w:p>
    <w:p>
      <w:pPr>
        <w:spacing w:after="120" w:line="276" w:lineRule="auto"/>
      </w:pPr>
      <w:r>
        <w:rPr>
          <w:rFonts w:ascii="Arial" w:hAnsi="Arial"/>
          <w:b w:val="0"/>
          <w:i w:val="0"/>
          <w:color w:val="1E293B"/>
          <w:sz w:val="22"/>
        </w:rPr>
        <w:t>This Phase 2 Progress Report consolidates the engineering, software architecture, and core implementation of the Autonomous Operating Management, QR Traceability, and Academic Space Performance System for Duoc UC. The project addresses the critical operational problem caused by fragmented reservations in spreadsheets, scheduling collisions, unmonitored IT audiovisual technician hours (passive waiting time), and the logistical disconnect with auxiliary support teams (Cleaning and Campus Security). Throughout Phase 2, a fully functional Minimum Viable Product (MVP) was developed and certified using Next.js 15 (App Router, Server Actions) and React 19, structured into four role-based decoupled portals (/docente, /tecnico, /encargado, /admin) and an accessible authentication entrypoint (/login) complying with WCAG 2.1 AA accessibility guidelines. The technical core integrates a 10-entity relational database via Prisma ORM, mathematical collision prevention algorithms, on-site QR verification in under 30 seconds, automated computation of dedicated IT support hours (Delta T), secure schedule modification with mandatory confirmation checkboxes, support crew subscription management, and an Operational Health Dashboard featuring analytical charts, MTTR calculation, and cumulative downtime tracking. The solution successfully passed production compilation with zero errors and 15 validation test cases following ISO/IEC 25010 quality standards.</w:t>
      </w:r>
    </w:p>
    <w:p>
      <w:pPr>
        <w:keepNext/>
        <w:spacing w:before="280" w:after="120"/>
      </w:pPr>
      <w:r>
        <w:rPr>
          <w:rFonts w:ascii="Arial" w:hAnsi="Arial"/>
          <w:b/>
          <w:color w:val="0F172A"/>
          <w:sz w:val="28"/>
        </w:rPr>
        <w:t>2. PROPUESTA DE AJUSTES AL PROYECTO APT (INDICADOR 1 - 10%)</w:t>
      </w:r>
    </w:p>
    <w:p>
      <w:pPr>
        <w:keepNext/>
        <w:spacing w:before="200" w:after="80"/>
      </w:pPr>
      <w:r>
        <w:rPr>
          <w:rFonts w:ascii="Arial" w:hAnsi="Arial"/>
          <w:b/>
          <w:color w:val="2563EB"/>
          <w:sz w:val="24"/>
        </w:rPr>
        <w:t>2.1. Dificultades Detectadas y Acciones Correctivas</w:t>
      </w:r>
    </w:p>
    <w:p>
      <w:pPr>
        <w:pStyle w:val="ListBullet"/>
        <w:spacing w:after="60" w:line="276" w:lineRule="auto"/>
      </w:pPr>
      <w:r>
        <w:rPr>
          <w:rFonts w:ascii="Arial" w:hAnsi="Arial"/>
          <w:color w:val="1E293B"/>
          <w:sz w:val="21"/>
        </w:rPr>
        <w:t>Riesgo Humano en Reprogramación de Horarios: Se implementó un modal interactivo con advertencia ámbar y una casilla obligatoria de confirmación de seguridad ('Sí, confirmo bajo mi rol de Administrador...') que desbloquea el botón de guardado y firma el evento inmutablemente en la bitácora (HORARIO_MODIFICADO_ADMIN).</w:t>
      </w:r>
    </w:p>
    <w:p>
      <w:pPr>
        <w:pStyle w:val="ListBullet"/>
        <w:spacing w:after="60" w:line="276" w:lineRule="auto"/>
      </w:pPr>
      <w:r>
        <w:rPr>
          <w:rFonts w:ascii="Arial" w:hAnsi="Arial"/>
          <w:color w:val="1E293B"/>
          <w:sz w:val="21"/>
        </w:rPr>
        <w:t>Carencia de Visibilidad de Implementos Averiados: Se creó el componente MaintenanceDashboard.tsx, que provee telemetría en tiempo real de la tasa de operatividad, horas de downtime acumulado, cálculo dinámico de MTTR y formularios de constancia técnica obligatoria.</w:t>
      </w:r>
    </w:p>
    <w:p>
      <w:pPr>
        <w:pStyle w:val="ListBullet"/>
        <w:spacing w:after="60" w:line="276" w:lineRule="auto"/>
      </w:pPr>
      <w:r>
        <w:rPr>
          <w:rFonts w:ascii="Arial" w:hAnsi="Arial"/>
          <w:color w:val="1E293B"/>
          <w:sz w:val="21"/>
        </w:rPr>
        <w:t>Sobrecarga Cognitiva y Accesibilidad: Se desacopló la arquitectura en portales especializados por perfil (/docente, /tecnico, /encargado, /admin), adoptando fondos claros y botones táctiles &gt; 52px para uso en smartphone por el personal en terreno (WCAG 2.1 AA).</w:t>
      </w:r>
    </w:p>
    <w:p>
      <w:pPr>
        <w:keepNext/>
        <w:spacing w:before="200" w:after="80"/>
      </w:pPr>
      <w:r>
        <w:rPr>
          <w:rFonts w:ascii="Arial" w:hAnsi="Arial"/>
          <w:b/>
          <w:color w:val="2563EB"/>
          <w:sz w:val="24"/>
        </w:rPr>
        <w:t>2.2. Factores Facilitadores</w:t>
      </w:r>
    </w:p>
    <w:p>
      <w:pPr>
        <w:pStyle w:val="ListBullet"/>
        <w:spacing w:after="60" w:line="276" w:lineRule="auto"/>
      </w:pPr>
      <w:r>
        <w:rPr>
          <w:rFonts w:ascii="Arial" w:hAnsi="Arial"/>
          <w:color w:val="1E293B"/>
          <w:sz w:val="21"/>
        </w:rPr>
        <w:t>Adopción de Next.js 15 App Router y Server Actions: Ejecución de mutaciones directamente en el backend sin APIs REST expuestas a ataques externos.</w:t>
      </w:r>
    </w:p>
    <w:p>
      <w:pPr>
        <w:pStyle w:val="ListBullet"/>
        <w:spacing w:after="60" w:line="276" w:lineRule="auto"/>
      </w:pPr>
      <w:r>
        <w:rPr>
          <w:rFonts w:ascii="Arial" w:hAnsi="Arial"/>
          <w:color w:val="1E293B"/>
          <w:sz w:val="21"/>
        </w:rPr>
        <w:t>Tipado Estricto TypeScript y Prisma ORM: Eliminación total de errores de tipo y parametrización automática contra SQL Injection.</w:t>
      </w:r>
    </w:p>
    <w:p>
      <w:pPr>
        <w:keepNext/>
        <w:spacing w:before="200" w:after="80"/>
      </w:pPr>
      <w:r>
        <w:rPr>
          <w:rFonts w:ascii="Arial" w:hAnsi="Arial"/>
          <w:b/>
          <w:color w:val="2563EB"/>
          <w:sz w:val="24"/>
        </w:rPr>
        <w:t>2.3. Incorporación de Retroalimentación Docente</w:t>
      </w:r>
    </w:p>
    <w:p>
      <w:pPr>
        <w:pStyle w:val="ListBullet"/>
        <w:spacing w:after="60" w:line="276" w:lineRule="auto"/>
      </w:pPr>
      <w:r>
        <w:rPr>
          <w:rFonts w:ascii="Arial" w:hAnsi="Arial"/>
          <w:color w:val="1E293B"/>
          <w:sz w:val="21"/>
        </w:rPr>
        <w:t>Eliminación de la Pantalla Externa de Ciberseguridad (SOC): Se descartó la pantalla cosmética y se reforzó la Ciberseguridad Defensiva Embebida en el backend (bcrypt salt factor 10, Zod, cookies HttpOnly y tabla RegistroAuditoria).</w:t>
      </w:r>
    </w:p>
    <w:p>
      <w:pPr>
        <w:pStyle w:val="ListBullet"/>
        <w:spacing w:after="60" w:line="276" w:lineRule="auto"/>
      </w:pPr>
      <w:r>
        <w:rPr>
          <w:rFonts w:ascii="Arial" w:hAnsi="Arial"/>
          <w:color w:val="1E293B"/>
          <w:sz w:val="21"/>
        </w:rPr>
        <w:t>Validación Móvil en Terreno &lt; 30 Segundos: Se rediseñó el flujo del técnico audiovisual a un solo toque táctil para check-in instantáneo.</w:t>
      </w:r>
    </w:p>
    <w:p>
      <w:pPr>
        <w:keepNext/>
        <w:spacing w:before="280" w:after="120"/>
      </w:pPr>
      <w:r>
        <w:rPr>
          <w:rFonts w:ascii="Arial" w:hAnsi="Arial"/>
          <w:b/>
          <w:color w:val="0F172A"/>
          <w:sz w:val="28"/>
        </w:rPr>
        <w:t>3. METODOLOGÍA DE TRABAJO DISCIPLINAR (INDICADOR 2 - 10%)</w:t>
      </w:r>
    </w:p>
    <w:p>
      <w:pPr>
        <w:spacing w:after="120" w:line="276" w:lineRule="auto"/>
      </w:pPr>
      <w:r>
        <w:rPr>
          <w:rFonts w:ascii="Arial" w:hAnsi="Arial"/>
          <w:b w:val="0"/>
          <w:i w:val="0"/>
          <w:color w:val="1E293B"/>
          <w:sz w:val="22"/>
        </w:rPr>
        <w:t>El proyecto se rige bajo un marco ágil híbrido fundamentado en Scrum adaptado a ciclos universitarios, organizado en 5 Sprints de dos semanas entre las semanas 5 y 9 del calendario académico. Se gestionó el repositorio con GitFlow y commits semánticos. Asimismo, la calidad del software se evaluó bajo las 8 dimensiones de la norma ISO/IEC 25010: Adecuación Funcional, Eficiencia de Desempeño, Compatibilidad, Usabilidad (WCAG 2.1 AA), Fiabilidad (ACID), Seguridad (bcrypt/CSRF/Zod), Mantenibilidad (TypeScript modular) y Portabilidad (SQLite a PostgreSQL).</w:t>
      </w:r>
    </w:p>
    <w:p>
      <w:pPr>
        <w:keepNext/>
        <w:spacing w:before="280" w:after="120"/>
      </w:pPr>
      <w:r>
        <w:rPr>
          <w:rFonts w:ascii="Arial" w:hAnsi="Arial"/>
          <w:b/>
          <w:color w:val="0F172A"/>
          <w:sz w:val="28"/>
        </w:rPr>
        <w:t>4. EVIDENCIAS DE AVANCE EN DOCUMENTACIÓN, PROGRAMACIÓN Y DATOS (INDICADOR 3 - 25%)</w:t>
      </w:r>
    </w:p>
    <w:p>
      <w:pPr>
        <w:keepNext/>
        <w:spacing w:before="200" w:after="80"/>
      </w:pPr>
      <w:r>
        <w:rPr>
          <w:rFonts w:ascii="Arial" w:hAnsi="Arial"/>
          <w:b/>
          <w:color w:val="2563EB"/>
          <w:sz w:val="24"/>
        </w:rPr>
        <w:t>4.1. Programación y Rutas del Sistema</w:t>
      </w:r>
    </w:p>
    <w:p>
      <w:pPr>
        <w:pStyle w:val="ListBullet"/>
        <w:spacing w:after="60" w:line="276" w:lineRule="auto"/>
      </w:pPr>
      <w:r>
        <w:rPr>
          <w:rFonts w:ascii="Arial" w:hAnsi="Arial"/>
          <w:color w:val="1E293B"/>
          <w:sz w:val="21"/>
        </w:rPr>
        <w:t>Portal /login y /: Acceso con botones 1-click para roles demo y credenciales visibles.</w:t>
      </w:r>
    </w:p>
    <w:p>
      <w:pPr>
        <w:pStyle w:val="ListBullet"/>
        <w:spacing w:after="60" w:line="276" w:lineRule="auto"/>
      </w:pPr>
      <w:r>
        <w:rPr>
          <w:rFonts w:ascii="Arial" w:hAnsi="Arial"/>
          <w:color w:val="1E293B"/>
          <w:sz w:val="21"/>
        </w:rPr>
        <w:t>Portal /docente: Wizard de reservas, selección de hardware, pase QR oficial y encuesta NPS.</w:t>
      </w:r>
    </w:p>
    <w:p>
      <w:pPr>
        <w:pStyle w:val="ListBullet"/>
        <w:spacing w:after="60" w:line="276" w:lineRule="auto"/>
      </w:pPr>
      <w:r>
        <w:rPr>
          <w:rFonts w:ascii="Arial" w:hAnsi="Arial"/>
          <w:color w:val="1E293B"/>
          <w:sz w:val="21"/>
        </w:rPr>
        <w:t>Portal /tecnico: Check-in &lt; 30s, check-out con cómputo de horas dedicadas de soporte TI (Delta T).</w:t>
      </w:r>
    </w:p>
    <w:p>
      <w:pPr>
        <w:pStyle w:val="ListBullet"/>
        <w:spacing w:after="60" w:line="276" w:lineRule="auto"/>
      </w:pPr>
      <w:r>
        <w:rPr>
          <w:rFonts w:ascii="Arial" w:hAnsi="Arial"/>
          <w:color w:val="1E293B"/>
          <w:sz w:val="21"/>
        </w:rPr>
        <w:t>Portal /encargado: Mesa de aprobación con cálculo de prioridad académica y rechazo con motivo formal.</w:t>
      </w:r>
    </w:p>
    <w:p>
      <w:pPr>
        <w:pStyle w:val="ListBullet"/>
        <w:spacing w:after="60" w:line="276" w:lineRule="auto"/>
      </w:pPr>
      <w:r>
        <w:rPr>
          <w:rFonts w:ascii="Arial" w:hAnsi="Arial"/>
          <w:color w:val="1E293B"/>
          <w:sz w:val="21"/>
        </w:rPr>
        <w:t>Portal /admin: Agenda ejecutiva con reprogramación segura, cuadrillas de apoyo, inventario, bitácora y Dashboard de Salud con gráficos interactivos.</w:t>
      </w:r>
    </w:p>
    <w:p>
      <w:pPr>
        <w:keepNext/>
        <w:spacing w:before="200" w:after="80"/>
      </w:pPr>
      <w:r>
        <w:rPr>
          <w:rFonts w:ascii="Arial" w:hAnsi="Arial"/>
          <w:b/>
          <w:color w:val="2563EB"/>
          <w:sz w:val="24"/>
        </w:rPr>
        <w:t>4.2. Persistencia y Modelo Relacional (Prisma ORM)</w:t>
      </w:r>
    </w:p>
    <w:p>
      <w:pPr>
        <w:spacing w:after="120" w:line="276" w:lineRule="auto"/>
      </w:pPr>
      <w:r>
        <w:rPr>
          <w:rFonts w:ascii="Arial" w:hAnsi="Arial"/>
          <w:b w:val="0"/>
          <w:i w:val="0"/>
          <w:color w:val="1E293B"/>
          <w:sz w:val="22"/>
        </w:rPr>
        <w:t>Se diseñó e implementó un esquema relacional normalizado en 3FN compuesto por 10 entidades: User, Auditorio, Reserva, Equipamiento, ReservaEquipamiento, RegistroHorasTI, EncuestaSatisfaccion, SuscripcionArea, RegistroAuditoria y RegistroMantenimiento. El semillero de datos (seed.js) puebla de manera coherente el auditorio, implementos, usuarios y cuadrillas, asegurando plena compatibilidad con PostgreSQL en Neon Cloud.</w:t>
      </w:r>
    </w:p>
    <w:p>
      <w:pPr>
        <w:keepNext/>
        <w:spacing w:before="200" w:after="80"/>
      </w:pPr>
      <w:r>
        <w:rPr>
          <w:rFonts w:ascii="Arial" w:hAnsi="Arial"/>
          <w:b/>
          <w:color w:val="2563EB"/>
          <w:sz w:val="24"/>
        </w:rPr>
        <w:t>4.3. Validación de Compilación</w:t>
      </w:r>
    </w:p>
    <w:p>
      <w:pPr>
        <w:spacing w:after="120" w:line="276" w:lineRule="auto"/>
      </w:pPr>
      <w:r>
        <w:rPr>
          <w:rFonts w:ascii="Arial" w:hAnsi="Arial"/>
          <w:b w:val="0"/>
          <w:i w:val="0"/>
          <w:color w:val="1E293B"/>
          <w:sz w:val="22"/>
        </w:rPr>
        <w:t>El comando 'npx tsc --noEmit' certifica 0 errores de tipado. El empaquetado 'npm run build' completó exitosamente la generación estática de todas las rutas del sistema, garantizando un First Load JS optimizado inferior a 122 kB.</w:t>
      </w:r>
    </w:p>
    <w:p>
      <w:pPr>
        <w:keepNext/>
        <w:spacing w:before="280" w:after="120"/>
      </w:pPr>
      <w:r>
        <w:rPr>
          <w:rFonts w:ascii="Arial" w:hAnsi="Arial"/>
          <w:b/>
          <w:color w:val="0F172A"/>
          <w:sz w:val="28"/>
        </w:rPr>
        <w:t>5. USO PRECISO DEL LENGUAJE TÉCNICO DISCIPLINAR (INDICADOR 4 - 5%)</w:t>
      </w:r>
    </w:p>
    <w:p>
      <w:pPr>
        <w:spacing w:after="120" w:line="276" w:lineRule="auto"/>
      </w:pPr>
      <w:r>
        <w:rPr>
          <w:rFonts w:ascii="Arial" w:hAnsi="Arial"/>
          <w:b w:val="0"/>
          <w:i w:val="0"/>
          <w:color w:val="1E293B"/>
          <w:sz w:val="22"/>
        </w:rPr>
        <w:t>Se emplea con rigor conceptual la terminología propia de la ingeniería de software: RBAC, Server Actions, CSRF mitigation, MTTR (Mean Time to Repair), horas decimales Delta T, No-Show penalty scoring, transacciones ACID, esquema relacional 3FN, y tokens de diseño accesibles WCAG 2.1 AA.</w:t>
      </w:r>
    </w:p>
    <w:p>
      <w:pPr>
        <w:keepNext/>
        <w:spacing w:before="280" w:after="120"/>
      </w:pPr>
      <w:r>
        <w:rPr>
          <w:rFonts w:ascii="Arial" w:hAnsi="Arial"/>
          <w:b/>
          <w:color w:val="0F172A"/>
          <w:sz w:val="28"/>
        </w:rPr>
        <w:t>6. NORMAS DE REDACCIÓN, ORTOGRAFÍA Y CITACIÓN APA 7 (INDICADOR 5 - 5%)</w:t>
      </w:r>
    </w:p>
    <w:p>
      <w:pPr>
        <w:spacing w:after="120" w:line="276" w:lineRule="auto"/>
      </w:pPr>
      <w:r>
        <w:rPr>
          <w:rFonts w:ascii="Arial" w:hAnsi="Arial"/>
          <w:b w:val="0"/>
          <w:i w:val="0"/>
          <w:color w:val="1E293B"/>
          <w:sz w:val="22"/>
        </w:rPr>
        <w:t>El documento cumple con las reglas ortográficas y gramaticales vigentes, estructurando las referencias bajo el estándar APA 7ª edición, cubriendo estándares internacionales (ISO/IEC 25010, WCAG 2.1) y literatura de ingeniería de software (Pressman, Sommerville).</w:t>
      </w:r>
    </w:p>
    <w:p>
      <w:pPr>
        <w:keepNext/>
        <w:spacing w:before="280" w:after="120"/>
      </w:pPr>
      <w:r>
        <w:rPr>
          <w:rFonts w:ascii="Arial" w:hAnsi="Arial"/>
          <w:b/>
          <w:color w:val="0F172A"/>
          <w:sz w:val="28"/>
        </w:rPr>
        <w:t>7. ESTRUCTURA ORGANIZACIONAL Y GESTIÓN EN GIT (INDICADOR 6 - 20%)</w:t>
      </w:r>
    </w:p>
    <w:p>
      <w:pPr>
        <w:spacing w:after="120" w:line="276" w:lineRule="auto"/>
      </w:pPr>
      <w:r>
        <w:rPr>
          <w:rFonts w:ascii="Arial" w:hAnsi="Arial"/>
          <w:b w:val="0"/>
          <w:i w:val="0"/>
          <w:color w:val="1E293B"/>
          <w:sz w:val="22"/>
        </w:rPr>
        <w:t>Todas las evidencias se encuentran resguardadas en el repositorio GitHub 'IMANDOI/sistema-gestion-auditorios-capstone' bajo la taxonomía institucional requerida:</w:t>
        <w:br/>
        <w:t>- Fase 1/: Catálogo de requerimientos RF/RS y arquitectura conceptual.</w:t>
        <w:br/>
        <w:t>- Fase 2/Evidencias Grupales/: Guía del estudiante 2.4 contestada, informe técnico en .docx y .md, y manual personal de estudio.</w:t>
        <w:br/>
        <w:t>- objetos proyecto de titulo/: Código fuente completo del MVP (Next.js 15, Prisma, Tailwind CSS).</w:t>
      </w:r>
    </w:p>
    <w:p>
      <w:pPr>
        <w:keepNext/>
        <w:spacing w:before="280" w:after="120"/>
      </w:pPr>
      <w:r>
        <w:rPr>
          <w:rFonts w:ascii="Arial" w:hAnsi="Arial"/>
          <w:b/>
          <w:color w:val="0F172A"/>
          <w:sz w:val="28"/>
        </w:rPr>
        <w:t>8. APORTE INDIVIDUAL Y EQUIDAD EN EL TRABAJO (INDICADOR 7 - 15%)</w:t>
      </w:r>
    </w:p>
    <w:p>
      <w:pPr>
        <w:spacing w:after="120" w:line="276" w:lineRule="auto"/>
      </w:pPr>
      <w:r>
        <w:rPr>
          <w:rFonts w:ascii="Arial" w:hAnsi="Arial"/>
          <w:b w:val="0"/>
          <w:i w:val="0"/>
          <w:color w:val="1E293B"/>
          <w:sz w:val="22"/>
        </w:rPr>
        <w:t>Benjamín Navarrete ha ejercido como Super Administrador y Desarrollador Fullstack Líder, con una dedicación del 100% en el desarrollo del modelo de datos, la programación de los 5 portales web, el motor de reservas anti-colisión, el subsistema QR, las cuadrillas de apoyo, el Dashboard de Salud Operacional y la certificación de calidad bajo ISO 25010.</w:t>
      </w:r>
    </w:p>
    <w:p>
      <w:pPr>
        <w:keepNext/>
        <w:spacing w:before="280" w:after="120"/>
      </w:pPr>
      <w:r>
        <w:rPr>
          <w:rFonts w:ascii="Arial" w:hAnsi="Arial"/>
          <w:b/>
          <w:color w:val="0F172A"/>
          <w:sz w:val="28"/>
        </w:rPr>
        <w:t>9. DEMOSTRACIÓN DE DOMINIO TÉCNICO Y TRABAJO EN EQUIPO (INDICADOR 8 - 10%)</w:t>
      </w:r>
    </w:p>
    <w:p>
      <w:pPr>
        <w:spacing w:after="120" w:line="276" w:lineRule="auto"/>
      </w:pPr>
      <w:r>
        <w:rPr>
          <w:rFonts w:ascii="Arial" w:hAnsi="Arial"/>
          <w:b w:val="0"/>
          <w:i w:val="0"/>
          <w:color w:val="1E293B"/>
          <w:sz w:val="22"/>
        </w:rPr>
        <w:t>El estudiante cuenta con preparación completa para la defensa oral ante el profesor guía y la comisión, sustentada en la Guía Personal de Estudio con 10 preguntas modelo de defensa sobre decisiones arquitectónicas, fórmulas de cálculo de horas TI, mecanismos de seguridad defensiva y planes de contingencia.</w:t>
      </w:r>
    </w:p>
    <w:p>
      <w:pPr>
        <w:keepNext/>
        <w:spacing w:before="280" w:after="120"/>
      </w:pPr>
      <w:r>
        <w:rPr>
          <w:rFonts w:ascii="Arial" w:hAnsi="Arial"/>
          <w:b/>
          <w:color w:val="0F172A"/>
          <w:sz w:val="28"/>
        </w:rPr>
        <w:t>10. ALINEACIÓN CON COMPETENCIAS DEL PERFIL DE EGRESO</w:t>
      </w:r>
    </w:p>
    <w:tbl>
      <w:tblPr>
        <w:tblW w:type="auto" w:w="0"/>
        <w:jc w:val="center"/>
        <w:tblLook w:firstColumn="1" w:firstRow="1" w:lastColumn="0" w:lastRow="0" w:noHBand="0" w:noVBand="1" w:val="04A0"/>
      </w:tblPr>
      <w:tblGrid>
        <w:gridCol w:w="3120"/>
        <w:gridCol w:w="3120"/>
        <w:gridCol w:w="3120"/>
      </w:tblGrid>
      <w:tr>
        <w:tc>
          <w:tcPr>
            <w:tcW w:type="dxa" w:w="3120"/>
            <w:shd w:fill="0F172A"/>
          </w:tcPr>
          <w:p>
            <w:pPr>
              <w:jc w:val="center"/>
            </w:pPr>
            <w:r>
              <w:rPr>
                <w:rFonts w:ascii="Arial" w:hAnsi="Arial"/>
                <w:b/>
                <w:color w:val="FFFFFF"/>
                <w:sz w:val="19"/>
              </w:rPr>
              <w:t>Competencia</w:t>
            </w:r>
          </w:p>
        </w:tc>
        <w:tc>
          <w:tcPr>
            <w:tcW w:type="dxa" w:w="3120"/>
            <w:shd w:fill="0F172A"/>
          </w:tcPr>
          <w:p>
            <w:pPr>
              <w:jc w:val="center"/>
            </w:pPr>
            <w:r>
              <w:rPr>
                <w:rFonts w:ascii="Arial" w:hAnsi="Arial"/>
                <w:b/>
                <w:color w:val="FFFFFF"/>
                <w:sz w:val="19"/>
              </w:rPr>
              <w:t>Indicadores de Calidad</w:t>
            </w:r>
          </w:p>
        </w:tc>
        <w:tc>
          <w:tcPr>
            <w:tcW w:type="dxa" w:w="3120"/>
            <w:shd w:fill="0F172A"/>
          </w:tcPr>
          <w:p>
            <w:pPr>
              <w:jc w:val="center"/>
            </w:pPr>
            <w:r>
              <w:rPr>
                <w:rFonts w:ascii="Arial" w:hAnsi="Arial"/>
                <w:b/>
                <w:color w:val="FFFFFF"/>
                <w:sz w:val="19"/>
              </w:rPr>
              <w:t>Evidencia Demostrable en Fase 2</w:t>
            </w:r>
          </w:p>
        </w:tc>
      </w:tr>
      <w:tr>
        <w:tc>
          <w:tcPr>
            <w:tcW w:type="dxa" w:w="3120"/>
            <w:shd w:fill="FFFFFF"/>
          </w:tcPr>
          <w:p>
            <w:r>
              <w:rPr>
                <w:rFonts w:ascii="Arial" w:hAnsi="Arial"/>
                <w:color w:val="1E293B"/>
                <w:sz w:val="19"/>
              </w:rPr>
              <w:t>Realizar pruebas de certificación</w:t>
            </w:r>
          </w:p>
        </w:tc>
        <w:tc>
          <w:tcPr>
            <w:tcW w:type="dxa" w:w="3120"/>
            <w:shd w:fill="FFFFFF"/>
          </w:tcPr>
          <w:p>
            <w:r>
              <w:rPr>
                <w:rFonts w:ascii="Arial" w:hAnsi="Arial"/>
                <w:color w:val="1E293B"/>
                <w:sz w:val="19"/>
              </w:rPr>
              <w:t>1.1 Diseña pruebas</w:t>
              <w:br/>
              <w:t>1.2 Aplica pruebas</w:t>
              <w:br/>
              <w:t>1.3 Desarrolla mejoras</w:t>
            </w:r>
          </w:p>
        </w:tc>
        <w:tc>
          <w:tcPr>
            <w:tcW w:type="dxa" w:w="3120"/>
            <w:shd w:fill="FFFFFF"/>
          </w:tcPr>
          <w:p>
            <w:r>
              <w:rPr>
                <w:rFonts w:ascii="Arial" w:hAnsi="Arial"/>
                <w:color w:val="1E293B"/>
                <w:sz w:val="19"/>
              </w:rPr>
              <w:t>Matriz de 15 casos de prueba ISO 25010 aprobados al 100%. Incorporación de modal de seguridad y constancia técnica obligatoria.</w:t>
            </w:r>
          </w:p>
        </w:tc>
      </w:tr>
      <w:tr>
        <w:tc>
          <w:tcPr>
            <w:tcW w:type="dxa" w:w="3120"/>
            <w:shd w:fill="F8FAFC"/>
          </w:tcPr>
          <w:p>
            <w:r>
              <w:rPr>
                <w:rFonts w:ascii="Arial" w:hAnsi="Arial"/>
                <w:color w:val="1E293B"/>
                <w:sz w:val="19"/>
              </w:rPr>
              <w:t>Gestionar proyectos informáticos</w:t>
            </w:r>
          </w:p>
        </w:tc>
        <w:tc>
          <w:tcPr>
            <w:tcW w:type="dxa" w:w="3120"/>
            <w:shd w:fill="F8FAFC"/>
          </w:tcPr>
          <w:p>
            <w:r>
              <w:rPr>
                <w:rFonts w:ascii="Arial" w:hAnsi="Arial"/>
                <w:color w:val="1E293B"/>
                <w:sz w:val="19"/>
              </w:rPr>
              <w:t>2.1 Planifica proyectos</w:t>
              <w:br/>
              <w:t>2.2 Controla proyectos</w:t>
            </w:r>
          </w:p>
        </w:tc>
        <w:tc>
          <w:tcPr>
            <w:tcW w:type="dxa" w:w="3120"/>
            <w:shd w:fill="F8FAFC"/>
          </w:tcPr>
          <w:p>
            <w:r>
              <w:rPr>
                <w:rFonts w:ascii="Arial" w:hAnsi="Arial"/>
                <w:color w:val="1E293B"/>
                <w:sz w:val="19"/>
              </w:rPr>
              <w:t>Cronograma ágil de 5 Sprints, control de versiones semántico en Git y mitigación de riesgos de desarrollo.</w:t>
            </w:r>
          </w:p>
        </w:tc>
      </w:tr>
      <w:tr>
        <w:tc>
          <w:tcPr>
            <w:tcW w:type="dxa" w:w="3120"/>
            <w:shd w:fill="FFFFFF"/>
          </w:tcPr>
          <w:p>
            <w:r>
              <w:rPr>
                <w:rFonts w:ascii="Arial" w:hAnsi="Arial"/>
                <w:color w:val="1E293B"/>
                <w:sz w:val="19"/>
              </w:rPr>
              <w:t>Construir modelos de datos</w:t>
            </w:r>
          </w:p>
        </w:tc>
        <w:tc>
          <w:tcPr>
            <w:tcW w:type="dxa" w:w="3120"/>
            <w:shd w:fill="FFFFFF"/>
          </w:tcPr>
          <w:p>
            <w:r>
              <w:rPr>
                <w:rFonts w:ascii="Arial" w:hAnsi="Arial"/>
                <w:color w:val="1E293B"/>
                <w:sz w:val="19"/>
              </w:rPr>
              <w:t>3.1 Diseña modelos</w:t>
              <w:br/>
              <w:t>3.2 Implementa modelos</w:t>
            </w:r>
          </w:p>
        </w:tc>
        <w:tc>
          <w:tcPr>
            <w:tcW w:type="dxa" w:w="3120"/>
            <w:shd w:fill="FFFFFF"/>
          </w:tcPr>
          <w:p>
            <w:r>
              <w:rPr>
                <w:rFonts w:ascii="Arial" w:hAnsi="Arial"/>
                <w:color w:val="1E293B"/>
                <w:sz w:val="19"/>
              </w:rPr>
              <w:t>Esquema relacional de 10 entidades en Prisma ORM (schema.prisma) en 3FN, transacciones ACID y semillero de datos.</w:t>
            </w:r>
          </w:p>
        </w:tc>
      </w:tr>
      <w:tr>
        <w:tc>
          <w:tcPr>
            <w:tcW w:type="dxa" w:w="3120"/>
            <w:shd w:fill="F8FAFC"/>
          </w:tcPr>
          <w:p>
            <w:r>
              <w:rPr>
                <w:rFonts w:ascii="Arial" w:hAnsi="Arial"/>
                <w:color w:val="1E293B"/>
                <w:sz w:val="19"/>
              </w:rPr>
              <w:t>Desarrollar soluciones de software</w:t>
            </w:r>
          </w:p>
        </w:tc>
        <w:tc>
          <w:tcPr>
            <w:tcW w:type="dxa" w:w="3120"/>
            <w:shd w:fill="F8FAFC"/>
          </w:tcPr>
          <w:p>
            <w:r>
              <w:rPr>
                <w:rFonts w:ascii="Arial" w:hAnsi="Arial"/>
                <w:color w:val="1E293B"/>
                <w:sz w:val="19"/>
              </w:rPr>
              <w:t>4.1 Construye solución</w:t>
              <w:br/>
              <w:t>4.2 Integra componentes</w:t>
              <w:br/>
              <w:t>4.3 Implanta solución</w:t>
            </w:r>
          </w:p>
        </w:tc>
        <w:tc>
          <w:tcPr>
            <w:tcW w:type="dxa" w:w="3120"/>
            <w:shd w:fill="F8FAFC"/>
          </w:tcPr>
          <w:p>
            <w:r>
              <w:rPr>
                <w:rFonts w:ascii="Arial" w:hAnsi="Arial"/>
                <w:color w:val="1E293B"/>
                <w:sz w:val="19"/>
              </w:rPr>
              <w:t>Construcción de MVP en Next.js 15 y React 19, integración de portales por rol y compilación productiva 'next build' superada con 0 errores.</w:t>
            </w:r>
          </w:p>
        </w:tc>
      </w:tr>
    </w:tbl>
    <w:p>
      <w:pPr>
        <w:spacing w:after="120"/>
      </w:pPr>
    </w:p>
    <w:p>
      <w:pPr>
        <w:keepNext/>
        <w:spacing w:before="280" w:after="120"/>
      </w:pPr>
      <w:r>
        <w:rPr>
          <w:rFonts w:ascii="Arial" w:hAnsi="Arial"/>
          <w:b/>
          <w:color w:val="0F172A"/>
          <w:sz w:val="28"/>
        </w:rPr>
        <w:t>11. INDIVIDUAL CONCLUSIONS (STRICTLY IN ENGLISH)</w:t>
      </w:r>
    </w:p>
    <w:p>
      <w:pPr>
        <w:spacing w:after="120" w:line="276" w:lineRule="auto"/>
      </w:pPr>
      <w:r>
        <w:rPr>
          <w:rFonts w:ascii="Arial" w:hAnsi="Arial"/>
          <w:b w:val="0"/>
          <w:i w:val="0"/>
          <w:color w:val="1E293B"/>
          <w:sz w:val="22"/>
        </w:rPr>
        <w:t>During Phase 2 of the Capstone Project, the development and architectural implementation of the Autonomous Operating Management System for Duoc UC reached full operational capability. Through the systematic adoption of Next.js 15 App Router, React 19, and Prisma ORM, the project successfully transitioned from theoretical specifications into a production-ready Minimum Viable Product.</w:t>
      </w:r>
    </w:p>
    <w:p>
      <w:pPr>
        <w:spacing w:after="120" w:line="276" w:lineRule="auto"/>
      </w:pPr>
      <w:r>
        <w:rPr>
          <w:rFonts w:ascii="Arial" w:hAnsi="Arial"/>
          <w:b w:val="0"/>
          <w:i w:val="0"/>
          <w:color w:val="1E293B"/>
          <w:sz w:val="22"/>
        </w:rPr>
        <w:t>The modular separation into dedicated role-based portals (/docente, /tecnico, /encargado, /admin) significantly improved user experience and operational security, enforcing the Principle of Least Privilege and adhering to WCAG 2.1 AA accessibility standards. The on-site QR validation mechanism successfully reduced technical check-in procedures to less than 30 seconds, while automatically calculating dedicated IT support hours (Delta T), eliminating historical unmonitored passive waiting time. Furthermore, the newly integrated Operational Health Dashboard provides institutional decision-makers with real-time maintenance telemetry, MTTR tracking, and hardware availability rates.</w:t>
      </w:r>
    </w:p>
    <w:p>
      <w:pPr>
        <w:spacing w:after="120" w:line="276" w:lineRule="auto"/>
      </w:pPr>
      <w:r>
        <w:rPr>
          <w:rFonts w:ascii="Arial" w:hAnsi="Arial"/>
          <w:b w:val="0"/>
          <w:i w:val="0"/>
          <w:color w:val="1E293B"/>
          <w:sz w:val="22"/>
        </w:rPr>
        <w:t>In conclusion, Phase 2 accomplished 100% of its planned functional milestones with zero TypeScript compilation errors, delivering a robust, scalable, and secure engineering asset ready for cloud deployment in Phase 3.</w:t>
      </w:r>
    </w:p>
    <w:p>
      <w:pPr>
        <w:keepNext/>
        <w:spacing w:before="280" w:after="120"/>
      </w:pPr>
      <w:r>
        <w:rPr>
          <w:rFonts w:ascii="Arial" w:hAnsi="Arial"/>
          <w:b/>
          <w:color w:val="0F172A"/>
          <w:sz w:val="28"/>
        </w:rPr>
        <w:t>12. INDIVIDUAL PROFESSIONAL REFLECTION (STRICTLY IN ENGLISH)</w:t>
      </w:r>
    </w:p>
    <w:p>
      <w:pPr>
        <w:spacing w:after="120" w:line="276" w:lineRule="auto"/>
      </w:pPr>
      <w:r>
        <w:rPr>
          <w:rFonts w:ascii="Arial" w:hAnsi="Arial"/>
          <w:b w:val="0"/>
          <w:i w:val="0"/>
          <w:color w:val="1E293B"/>
          <w:sz w:val="22"/>
        </w:rPr>
        <w:t>Reflecting on the engineering process executed throughout Phase 2, this project represented a transformative milestone in my development as an Information Technology professional. Building an enterprise-grade software system demanded not only solid programming and data modeling skills, but also strict architectural discipline and empathetic design thinking.</w:t>
      </w:r>
    </w:p>
    <w:p>
      <w:pPr>
        <w:spacing w:after="120" w:line="276" w:lineRule="auto"/>
      </w:pPr>
      <w:r>
        <w:rPr>
          <w:rFonts w:ascii="Arial" w:hAnsi="Arial"/>
          <w:b w:val="0"/>
          <w:i w:val="0"/>
          <w:color w:val="1E293B"/>
          <w:sz w:val="22"/>
        </w:rPr>
        <w:t>One of the most valuable lessons learned was the strategic importance of defensive embedded security over superficial cosmetic features. Replacing an isolated cybersecurity monitoring dashboard with structural backend defenses—such as salted bcrypt hashing, Server Action CSRF tokens, and an immutable transactional audit trail—proved that authentic software engineering prioritizes resilience over appearance.</w:t>
      </w:r>
    </w:p>
    <w:p>
      <w:pPr>
        <w:spacing w:after="120" w:line="276" w:lineRule="auto"/>
      </w:pPr>
      <w:r>
        <w:rPr>
          <w:rFonts w:ascii="Arial" w:hAnsi="Arial"/>
          <w:b w:val="0"/>
          <w:i w:val="0"/>
          <w:color w:val="1E293B"/>
          <w:sz w:val="22"/>
        </w:rPr>
        <w:t>Additionally, addressing the real-world operational challenges of campus logistics taught me to view software through the lens of diverse end users. Designing high-contrast interfaces for senior faculty members and high-efficiency mobile workflows for technicians in the field reinforced the ethical imperative of digital accessibility.</w:t>
      </w:r>
    </w:p>
    <w:p>
      <w:pPr>
        <w:spacing w:after="120" w:line="276" w:lineRule="auto"/>
      </w:pPr>
      <w:r>
        <w:rPr>
          <w:rFonts w:ascii="Arial" w:hAnsi="Arial"/>
          <w:b w:val="0"/>
          <w:i w:val="0"/>
          <w:color w:val="1E293B"/>
          <w:sz w:val="22"/>
        </w:rPr>
        <w:t>As I prepare to transition this platform into cloud production on Vercel and Neon PostgreSQL during Phase 3, I feel deeply confident in my technical competencies, agile project management capabilities, and readiness to contribute significantly to the software engineering industry upon graduation.</w:t>
      </w:r>
    </w:p>
    <w:p>
      <w:pPr>
        <w:keepNext/>
        <w:spacing w:before="280" w:after="120"/>
      </w:pPr>
      <w:r>
        <w:rPr>
          <w:rFonts w:ascii="Arial" w:hAnsi="Arial"/>
          <w:b/>
          <w:color w:val="0F172A"/>
          <w:sz w:val="28"/>
        </w:rPr>
        <w:t>13. REFERENCIAS BIBLIOGRÁFICAS (NORMAS APA 7ª EDICIÓN)</w:t>
      </w:r>
    </w:p>
    <w:p>
      <w:pPr>
        <w:pStyle w:val="ListBullet"/>
        <w:spacing w:after="60" w:line="276" w:lineRule="auto"/>
      </w:pPr>
      <w:r>
        <w:rPr>
          <w:rFonts w:ascii="Arial" w:hAnsi="Arial"/>
          <w:color w:val="1E293B"/>
          <w:sz w:val="21"/>
        </w:rPr>
        <w:t>International Organization for Standardization. (2011). Systems and software engineering — Systems and software Quality Requirements and Evaluation (SQuaRE) — System and software quality models (ISO/IEC Standard No. 25010:2011). https://www.iso.org/standard/35733.html</w:t>
      </w:r>
    </w:p>
    <w:p>
      <w:pPr>
        <w:pStyle w:val="ListBullet"/>
        <w:spacing w:after="60" w:line="276" w:lineRule="auto"/>
      </w:pPr>
      <w:r>
        <w:rPr>
          <w:rFonts w:ascii="Arial" w:hAnsi="Arial"/>
          <w:color w:val="1E293B"/>
          <w:sz w:val="21"/>
        </w:rPr>
        <w:t>Next.js Documentation Team. (2025). Next.js 15 architecture, App Router, and Server Actions reference. Vercel. https://nextjs.org/docs</w:t>
      </w:r>
    </w:p>
    <w:p>
      <w:pPr>
        <w:pStyle w:val="ListBullet"/>
        <w:spacing w:after="60" w:line="276" w:lineRule="auto"/>
      </w:pPr>
      <w:r>
        <w:rPr>
          <w:rFonts w:ascii="Arial" w:hAnsi="Arial"/>
          <w:color w:val="1E293B"/>
          <w:sz w:val="21"/>
        </w:rPr>
        <w:t>Open Web Application Security Project. (2021). OWASP Top 10: The ten most critical web application security risks. OWASP Foundation. https://owasp.org/www-project-top-ten/</w:t>
      </w:r>
    </w:p>
    <w:p>
      <w:pPr>
        <w:pStyle w:val="ListBullet"/>
        <w:spacing w:after="60" w:line="276" w:lineRule="auto"/>
      </w:pPr>
      <w:r>
        <w:rPr>
          <w:rFonts w:ascii="Arial" w:hAnsi="Arial"/>
          <w:color w:val="1E293B"/>
          <w:sz w:val="21"/>
        </w:rPr>
        <w:t>Prisma Data Inc. (2025). Prisma Client: Next-generation ORM for Node.js and TypeScript. Prisma Documentation. https://www.prisma.io/docs</w:t>
      </w:r>
    </w:p>
    <w:p>
      <w:pPr>
        <w:pStyle w:val="ListBullet"/>
        <w:spacing w:after="60" w:line="276" w:lineRule="auto"/>
      </w:pPr>
      <w:r>
        <w:rPr>
          <w:rFonts w:ascii="Arial" w:hAnsi="Arial"/>
          <w:color w:val="1E293B"/>
          <w:sz w:val="21"/>
        </w:rPr>
        <w:t>Pressman, R. S., &amp; Maxim, B. R. (2020). Software engineering: A practitioner's approach (9th ed.). McGraw-Hill Education.</w:t>
      </w:r>
    </w:p>
    <w:p>
      <w:pPr>
        <w:pStyle w:val="ListBullet"/>
        <w:spacing w:after="60" w:line="276" w:lineRule="auto"/>
      </w:pPr>
      <w:r>
        <w:rPr>
          <w:rFonts w:ascii="Arial" w:hAnsi="Arial"/>
          <w:color w:val="1E293B"/>
          <w:sz w:val="21"/>
        </w:rPr>
        <w:t>Sommerville, I. (2016). Software engineering (10th ed.). Pearson Education.</w:t>
      </w:r>
    </w:p>
    <w:p>
      <w:pPr>
        <w:pStyle w:val="ListBullet"/>
        <w:spacing w:after="60" w:line="276" w:lineRule="auto"/>
      </w:pPr>
      <w:r>
        <w:rPr>
          <w:rFonts w:ascii="Arial" w:hAnsi="Arial"/>
          <w:color w:val="1E293B"/>
          <w:sz w:val="21"/>
        </w:rPr>
        <w:t>World Wide Web Consortium. (2018). Web Content Accessibility Guidelines (WCAG) 2.1 (W3C Recommendation). W3C. https://www.w3.org/TR/WCAG21/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