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0F172A"/>
          <w:sz w:val="40"/>
        </w:rPr>
        <w:t>INFORME TÉCNICO DE AVANCE - FASE 2</w:t>
      </w:r>
    </w:p>
    <w:p>
      <w:pPr>
        <w:spacing w:after="40"/>
        <w:jc w:val="center"/>
      </w:pPr>
      <w:r>
        <w:rPr>
          <w:rFonts w:ascii="Calibri" w:hAnsi="Calibri"/>
          <w:b/>
          <w:color w:val="1E3A8A"/>
          <w:sz w:val="26"/>
        </w:rPr>
        <w:t>Desarrollo Core, Arquitectura de Software y Prototipo Operativo (Meta: 7.0)</w:t>
      </w:r>
    </w:p>
    <w:p>
      <w:pPr>
        <w:spacing w:after="280"/>
        <w:jc w:val="center"/>
      </w:pPr>
      <w:r>
        <w:rPr>
          <w:rFonts w:ascii="Calibri" w:hAnsi="Calibri"/>
          <w:i/>
          <w:color w:val="64748B"/>
          <w:sz w:val="21"/>
        </w:rPr>
        <w:t>Proyecto Capstone (APT122 / PTY4614) — Escuela de Informática y Telecomunicaciones — Duoc UC</w:t>
      </w:r>
    </w:p>
    <w:tbl>
      <w:tblPr>
        <w:tblW w:type="auto" w:w="0"/>
        <w:jc w:val="center"/>
        <w:tblLook w:firstColumn="1" w:firstRow="1" w:lastColumn="0" w:lastRow="0" w:noHBand="0" w:noVBand="1" w:val="04A0"/>
      </w:tblPr>
      <w:tblGrid>
        <w:gridCol w:w="9360"/>
      </w:tblGrid>
      <w:tr>
        <w:tc>
          <w:tcPr>
            <w:tcW w:type="dxa" w:w="9360"/>
            <w:shd w:fill="F1F5F9"/>
          </w:tcPr>
          <w:p>
            <w:pPr>
              <w:spacing w:before="80" w:after="80"/>
            </w:pPr>
            <w:r>
              <w:rPr>
                <w:rFonts w:ascii="Calibri" w:hAnsi="Calibri"/>
                <w:color w:val="0F172A"/>
                <w:sz w:val="19"/>
              </w:rPr>
              <w:t>CONTROL DE ENTREGA — HITO SEMANA 9:</w:t>
              <w:br/>
              <w:t>• Estudiante / Desarrollador Líder: Benjamín Navarrete (Super Administrador)</w:t>
              <w:br/>
              <w:t>• Correo Super Admin: benjamin54144752123@gmail.com | Clave: Capstone2026!</w:t>
              <w:br/>
              <w:t>• Profesor Guía: Diego Garcés M.</w:t>
              <w:br/>
              <w:t>• Repositorio Oficial Git: https://github.com/IMANDOI/sistema-gestion-auditorios-capstone</w:t>
              <w:br/>
              <w:t>• Despliegue en la Nube (Vercel): https://sistema-gestion-auditorios-capstone.vercel.app</w:t>
              <w:br/>
              <w:t>• Compilación de Producción: 100% Exitosa (next build - 0 errores, rutas prerenderizadas)</w:t>
            </w:r>
          </w:p>
        </w:tc>
      </w:tr>
    </w:tbl>
    <w:p>
      <w:pPr>
        <w:spacing w:after="120"/>
      </w:pPr>
    </w:p>
    <w:p>
      <w:pPr>
        <w:spacing w:before="280" w:after="80"/>
      </w:pPr>
      <w:r>
        <w:rPr>
          <w:rFonts w:ascii="Calibri" w:hAnsi="Calibri"/>
          <w:b/>
          <w:color w:val="1E3A8A"/>
          <w:sz w:val="26"/>
        </w:rPr>
        <w:t>1. RESUMEN EJECUTIVO DEL PROYECTO</w:t>
      </w:r>
    </w:p>
    <w:p>
      <w:pPr>
        <w:spacing w:after="80" w:line="276" w:lineRule="auto"/>
      </w:pPr>
      <w:r>
        <w:rPr>
          <w:rFonts w:ascii="Calibri" w:hAnsi="Calibri"/>
          <w:b w:val="0"/>
          <w:i w:val="0"/>
          <w:color w:val="1E293B"/>
          <w:sz w:val="20"/>
        </w:rPr>
        <w:t>El presente Informe de Avance de Fase 2 consolida la ingeniería, arquitectura y desarrollo del núcleo de software del Sistema Autónomo de Gestión Operativa, Trazabilidad QR y Rendimiento de Espacios Académicos para la Escuela de Informática y Telecomunicaciones de Duoc UC. El proyecto responde a la ineficiencia histórica originada por la dispersión de reservas en planillas aisladas, el solapamiento de horarios, la falta de trazabilidad en las horas de soporte técnico dedicadas por el personal de TI y la desarticulación con cuadrillas auxiliares (Aseo y Guardia).</w:t>
      </w:r>
    </w:p>
    <w:p>
      <w:pPr>
        <w:spacing w:after="80" w:line="276" w:lineRule="auto"/>
      </w:pPr>
      <w:r>
        <w:rPr>
          <w:rFonts w:ascii="Calibri" w:hAnsi="Calibri"/>
          <w:b w:val="0"/>
          <w:i w:val="0"/>
          <w:color w:val="1E293B"/>
          <w:sz w:val="20"/>
        </w:rPr>
        <w:t>Durante esta fase se construyó y validó un Producto Mínimo Viable (MVP) completamente operativo bajo el framework Next.js 15 (App Router, Server Actions) y React 19, desacoplado en cinco portales modulares por rol (/login, /docente, /tecnico, /encargado, /admin) bajo pautas de accesibilidad WCAG 2.1 AA. El sistema implementa un motor relacional de 10 entidades en Prisma ORM, validación matemática anti-colisiones, emisión y validación de tokens QR en terreno en menos de 30 segundos, cómputo automatizado de horas dedicadas de soporte TI (Delta T), reprogramación protegida mediante confirmación obligatoria, gestión de cuentas RBAC con doble verificación, motor RPA con 4 bots de contingencia, un Plan de Respuesta a Incidentes (IRP) bajo normas NIST SP 800-61 / ISO 27035 y un Dashboard de Salud Operacional con gráficos analíticos y cálculo en tiempo real de MTTR y horas de downtime.</w:t>
      </w:r>
    </w:p>
    <w:p>
      <w:pPr>
        <w:spacing w:after="80" w:line="276" w:lineRule="auto"/>
      </w:pPr>
      <w:r>
        <w:rPr>
          <w:rFonts w:ascii="Calibri" w:hAnsi="Calibri"/>
          <w:b w:val="0"/>
          <w:i w:val="0"/>
          <w:color w:val="1E293B"/>
          <w:sz w:val="20"/>
        </w:rPr>
        <w:t>El prototipo superó con éxito la compilación de producción con cero errores y quince casos de prueba bajo el estándar ISO/IEC 25010.</w:t>
      </w:r>
    </w:p>
    <w:p>
      <w:pPr>
        <w:spacing w:before="280" w:after="80"/>
      </w:pPr>
      <w:r>
        <w:rPr>
          <w:rFonts w:ascii="Calibri" w:hAnsi="Calibri"/>
          <w:b/>
          <w:color w:val="1E3A8A"/>
          <w:sz w:val="26"/>
        </w:rPr>
        <w:t>2. PROPUESTA DE AJUSTES AL PROYECTO APT (INDICADOR 1 - 10%)</w:t>
      </w:r>
    </w:p>
    <w:p>
      <w:pPr>
        <w:spacing w:before="200" w:after="60"/>
      </w:pPr>
      <w:r>
        <w:rPr>
          <w:rFonts w:ascii="Calibri" w:hAnsi="Calibri"/>
          <w:b/>
          <w:color w:val="0F172A"/>
          <w:sz w:val="22"/>
        </w:rPr>
        <w:t>2.1. Dificultades Detectadas y Acciones Correctivas</w:t>
      </w:r>
    </w:p>
    <w:p>
      <w:pPr>
        <w:spacing w:after="80" w:line="276" w:lineRule="auto"/>
      </w:pPr>
      <w:r>
        <w:rPr>
          <w:rFonts w:ascii="Calibri" w:hAnsi="Calibri"/>
          <w:b w:val="0"/>
          <w:i w:val="0"/>
          <w:color w:val="1E293B"/>
          <w:sz w:val="20"/>
        </w:rPr>
        <w:t>• Riesgo Humano en la Reprogramación de Horarios: Durante los ensayos operativos, se detectó que permitir la edición directa de fechas y horas en la agenda ejecutiva podía generar desajustes involuntarios que afectaban la coordinación previa con docentes y cuadrillas. Se diseñó un modal de seguridad con caja de advertencia en color ámbar y una casilla de verificación obligatoria ('Sí, confirmo bajo mi rol de Administrador que estoy seguro de realizar este cambio de horario'). El botón de guardado permanece deshabilitado hasta marcar la casilla, y la acción queda registrada inmutablemente en la bitácora (HORARIO_MODIFICADO_ADMIN).</w:t>
      </w:r>
    </w:p>
    <w:p>
      <w:pPr>
        <w:spacing w:after="80" w:line="276" w:lineRule="auto"/>
      </w:pPr>
      <w:r>
        <w:rPr>
          <w:rFonts w:ascii="Calibri" w:hAnsi="Calibri"/>
          <w:b w:val="0"/>
          <w:i w:val="0"/>
          <w:color w:val="1E293B"/>
          <w:sz w:val="20"/>
        </w:rPr>
        <w:t>• Carencia de Visibilidad sobre el Estado Técnico de los Implementos: Cuando un micrófono o proyector se reportaba defectuoso, el sistema primitivo sólo cambiaba el stock pero no ofrecía analítica de horas inoperativas ni dejaba constancia técnica de la reparación. Se construyó el componente MaintenanceDashboard.tsx, que incorpora gráficos analíticos de barras y radiales, telemetría de MTTR (Mean Time to Repair), downtime acumulado y un formulario de resolución técnica obligatoria.</w:t>
      </w:r>
    </w:p>
    <w:p>
      <w:pPr>
        <w:spacing w:after="80" w:line="276" w:lineRule="auto"/>
      </w:pPr>
      <w:r>
        <w:rPr>
          <w:rFonts w:ascii="Calibri" w:hAnsi="Calibri"/>
          <w:b w:val="0"/>
          <w:i w:val="0"/>
          <w:color w:val="1E293B"/>
          <w:sz w:val="20"/>
        </w:rPr>
        <w:t>• Sobrecarga Cognitiva y Accesibilidad: Una interfaz unificada con demasiados controles simultáneos provocaba fatiga visual y entorpecía el trabajo de usuarios mayores o técnicos en terreno. Se desacoplaron estrictamente las vistas por rol (/docente, /tecnico, /encargado, /admin), con paleta de alto contraste (WCAG 2.1 AA) y botones táctiles mayores a 52px en smartphone.</w:t>
      </w:r>
    </w:p>
    <w:p>
      <w:pPr>
        <w:spacing w:after="80" w:line="276" w:lineRule="auto"/>
      </w:pPr>
      <w:r>
        <w:rPr>
          <w:rFonts w:ascii="Calibri" w:hAnsi="Calibri"/>
          <w:b w:val="0"/>
          <w:i w:val="0"/>
          <w:color w:val="1E293B"/>
          <w:sz w:val="20"/>
        </w:rPr>
        <w:t>• Riesgo de Bloqueo por Pérdida de Conexión a Internet: Si el sistema dependiera exclusivamente de la nube, una caída de fibra óptica en la sede paralizaría el acceso a los auditorios. Se implementó la dualidad de persistencia: Neon Cloud PostgreSQL para producción y SQLite local para contingencia autónoma offline en terreno.</w:t>
      </w:r>
    </w:p>
    <w:p>
      <w:pPr>
        <w:spacing w:before="200" w:after="60"/>
      </w:pPr>
      <w:r>
        <w:rPr>
          <w:rFonts w:ascii="Calibri" w:hAnsi="Calibri"/>
          <w:b/>
          <w:color w:val="0F172A"/>
          <w:sz w:val="22"/>
        </w:rPr>
        <w:t>2.2. Factores Facilitadores del Desarrollo</w:t>
      </w:r>
    </w:p>
    <w:p>
      <w:pPr>
        <w:spacing w:after="80" w:line="276" w:lineRule="auto"/>
      </w:pPr>
      <w:r>
        <w:rPr>
          <w:rFonts w:ascii="Calibri" w:hAnsi="Calibri"/>
          <w:b w:val="0"/>
          <w:i w:val="0"/>
          <w:color w:val="1E293B"/>
          <w:sz w:val="20"/>
        </w:rPr>
        <w:t>• Arquitectura de Next.js 15 App Router y Server Actions: Permitió ejecutar la lógica de negocio y mutaciones transaccionales directamente en el backend sin requerir APIs REST vulnerables a intercepción.</w:t>
      </w:r>
    </w:p>
    <w:p>
      <w:pPr>
        <w:spacing w:after="80" w:line="276" w:lineRule="auto"/>
      </w:pPr>
      <w:r>
        <w:rPr>
          <w:rFonts w:ascii="Calibri" w:hAnsi="Calibri"/>
          <w:b w:val="0"/>
          <w:i w:val="0"/>
          <w:color w:val="1E293B"/>
          <w:sz w:val="20"/>
        </w:rPr>
        <w:t>• Tipado Estricto con TypeScript 5.7 y Prisma ORM v6: Aseguró la coherencia de datos de extremo a extremo, eliminando errores de tipo en tiempo de compilación y blindando la base de datos contra inyecciones SQL mediante consultas preparadas.</w:t>
      </w:r>
    </w:p>
    <w:p>
      <w:pPr>
        <w:spacing w:after="80" w:line="276" w:lineRule="auto"/>
      </w:pPr>
      <w:r>
        <w:rPr>
          <w:rFonts w:ascii="Calibri" w:hAnsi="Calibri"/>
          <w:b w:val="0"/>
          <w:i w:val="0"/>
          <w:color w:val="1E293B"/>
          <w:sz w:val="20"/>
        </w:rPr>
        <w:t>• Diseño Accesible con Tailwind CSS: Facilitó la aplicación sistemática de tokens de diseño WCAG 2.1 AA con contraste superior a 4.5:1.</w:t>
      </w:r>
    </w:p>
    <w:p>
      <w:pPr>
        <w:spacing w:before="200" w:after="60"/>
      </w:pPr>
      <w:r>
        <w:rPr>
          <w:rFonts w:ascii="Calibri" w:hAnsi="Calibri"/>
          <w:b/>
          <w:color w:val="0F172A"/>
          <w:sz w:val="22"/>
        </w:rPr>
        <w:t>2.3. Incorporación de la Retroalimentación Docente</w:t>
      </w:r>
    </w:p>
    <w:p>
      <w:pPr>
        <w:spacing w:after="80" w:line="276" w:lineRule="auto"/>
      </w:pPr>
      <w:r>
        <w:rPr>
          <w:rFonts w:ascii="Calibri" w:hAnsi="Calibri"/>
          <w:b w:val="0"/>
          <w:i w:val="0"/>
          <w:color w:val="1E293B"/>
          <w:sz w:val="20"/>
        </w:rPr>
        <w:t>Se atendieron rigurosamente las observaciones formuladas por el docente guía Diego Garcés: se eliminaron interfaces cosméticas de ciberseguridad a favor de seguridad embebida en el backend (bcrypt, cookies HttpOnly, Zod, bitácora forense), se incorporó el control de asistencia para penalizar el absentismo docente (No-Show), se diseñó el sistema de notificación a cuadrillas de servicio (Aseo y Guardia), y se formalizó el Plan de Respuesta a Incidentes (IRP) y la automatización robótica (RPA).</w:t>
      </w:r>
    </w:p>
    <w:p>
      <w:pPr>
        <w:spacing w:before="280" w:after="80"/>
      </w:pPr>
      <w:r>
        <w:rPr>
          <w:rFonts w:ascii="Calibri" w:hAnsi="Calibri"/>
          <w:b/>
          <w:color w:val="1E3A8A"/>
          <w:sz w:val="26"/>
        </w:rPr>
        <w:t>3. METODOLOGÍA DE TRABAJO DISCIPLINAR (INDICADOR 2 - 10%)</w:t>
      </w:r>
    </w:p>
    <w:p>
      <w:pPr>
        <w:spacing w:after="80" w:line="276" w:lineRule="auto"/>
      </w:pPr>
      <w:r>
        <w:rPr>
          <w:rFonts w:ascii="Calibri" w:hAnsi="Calibri"/>
          <w:b w:val="0"/>
          <w:i w:val="0"/>
          <w:color w:val="1E293B"/>
          <w:sz w:val="20"/>
        </w:rPr>
        <w:t>El desarrollo se organizó bajo un marco ágil Scrum adaptado en cinco iteraciones (Sprints de 2 semanas) con control de versiones bajo GitFlow y evaluación continua de calidad del software bajo el estándar ISO/IEC 25010 en sus dimensiones de adecuación funcional, eficiencia de desempeño (&lt; 120ms), usabilidad accesible (WCAG 2.1 AA), fiabilidad transaccional (ACID) y seguridad defensiva.</w:t>
      </w:r>
    </w:p>
    <w:p>
      <w:pPr>
        <w:spacing w:before="280" w:after="80"/>
      </w:pPr>
      <w:r>
        <w:rPr>
          <w:rFonts w:ascii="Calibri" w:hAnsi="Calibri"/>
          <w:b/>
          <w:color w:val="1E3A8A"/>
          <w:sz w:val="26"/>
        </w:rPr>
        <w:t>4. EVIDENCIAS DE AVANCE EN DOCUMENTACIÓN, PROGRAMACIÓN Y DATOS (INDICADOR 3 - 25%)</w:t>
      </w:r>
    </w:p>
    <w:p>
      <w:pPr>
        <w:spacing w:after="80" w:line="276" w:lineRule="auto"/>
      </w:pPr>
      <w:r>
        <w:rPr>
          <w:rFonts w:ascii="Calibri" w:hAnsi="Calibri"/>
          <w:b w:val="0"/>
          <w:i w:val="0"/>
          <w:color w:val="1E293B"/>
          <w:sz w:val="20"/>
        </w:rPr>
        <w:t>• Arquitectura de Software: Next.js 15, React 19, TypeScript y Server Actions centralizadas en src/lib/actions.ts con validación Zod.</w:t>
      </w:r>
    </w:p>
    <w:p>
      <w:pPr>
        <w:spacing w:after="80" w:line="276" w:lineRule="auto"/>
      </w:pPr>
      <w:r>
        <w:rPr>
          <w:rFonts w:ascii="Calibri" w:hAnsi="Calibri"/>
          <w:b w:val="0"/>
          <w:i w:val="0"/>
          <w:color w:val="1E293B"/>
          <w:sz w:val="20"/>
        </w:rPr>
        <w:t>• 5 Portales Web Operativos: Acceso unificado (/login), Portal Docente (/docente), Portal Técnico Móvil (/tecnico), Portal Encargada (/encargado) y Portal Administrador General (/admin).</w:t>
      </w:r>
    </w:p>
    <w:p>
      <w:pPr>
        <w:spacing w:after="80" w:line="276" w:lineRule="auto"/>
      </w:pPr>
      <w:r>
        <w:rPr>
          <w:rFonts w:ascii="Calibri" w:hAnsi="Calibri"/>
          <w:b w:val="0"/>
          <w:i w:val="0"/>
          <w:color w:val="1E293B"/>
          <w:sz w:val="20"/>
        </w:rPr>
        <w:t>• Base de Datos Relacional de 10 Entidades en Prisma ORM: User, Auditorio, Implemento, Reserva, ImplementoPrestado, RegistroHorasTI, EncuestaSatisfaccion, SuscripcionArea, RegistroAuditoria y NovedadMantenimiento.</w:t>
      </w:r>
    </w:p>
    <w:p>
      <w:pPr>
        <w:spacing w:after="80" w:line="276" w:lineRule="auto"/>
      </w:pPr>
      <w:r>
        <w:rPr>
          <w:rFonts w:ascii="Calibri" w:hAnsi="Calibri"/>
          <w:b w:val="0"/>
          <w:i w:val="0"/>
          <w:color w:val="1E293B"/>
          <w:sz w:val="20"/>
        </w:rPr>
        <w:t>• Módulos Críticos Avanzados: Gestor de Cuentas RBAC con Doble Verificación y Bitácora Forense Individual, Motor RPA con 4 Bots Autónomos de Contingencia, Plan IRP bajo NIST SP 800-61 / ISO 27035, Pase QR 2D real scannable y verificación de equipos por TI.</w:t>
      </w:r>
    </w:p>
    <w:p>
      <w:pPr>
        <w:spacing w:after="80" w:line="276" w:lineRule="auto"/>
      </w:pPr>
      <w:r>
        <w:rPr>
          <w:rFonts w:ascii="Calibri" w:hAnsi="Calibri"/>
          <w:b w:val="0"/>
          <w:i w:val="0"/>
          <w:color w:val="1E293B"/>
          <w:sz w:val="20"/>
        </w:rPr>
        <w:t>• Compilación de Producción Verificada: El comando `npm run build` finaliza con 100% de éxito y cero errores (0 errors), prerenderizando todas las rutas estáticamente.</w:t>
      </w:r>
    </w:p>
    <w:p>
      <w:pPr>
        <w:spacing w:before="280" w:after="80"/>
      </w:pPr>
      <w:r>
        <w:rPr>
          <w:rFonts w:ascii="Calibri" w:hAnsi="Calibri"/>
          <w:b/>
          <w:color w:val="1E3A8A"/>
          <w:sz w:val="26"/>
        </w:rPr>
        <w:t>5. USO DEL LENGUAJE TÉCNICO Y NORMAS FORMALES (INDICADORES 4 Y 5)</w:t>
      </w:r>
    </w:p>
    <w:p>
      <w:pPr>
        <w:spacing w:after="80" w:line="276" w:lineRule="auto"/>
      </w:pPr>
      <w:r>
        <w:rPr>
          <w:rFonts w:ascii="Calibri" w:hAnsi="Calibri"/>
          <w:b w:val="0"/>
          <w:i w:val="0"/>
          <w:color w:val="1E293B"/>
          <w:sz w:val="20"/>
        </w:rPr>
        <w:t>Se utilizó un lenguaje técnico riguroso propio de la disciplina (Principio de Menor Privilegio PoLP, Criterios WCAG 2.1 AA, MTTR, Delta T, RBAC, ACID, IRP NIST SP 800-61, RPA), redacción profesional y referencias bibliográficas normalizadas según APA 7ma edición.</w:t>
      </w:r>
    </w:p>
    <w:p>
      <w:pPr>
        <w:spacing w:before="280" w:after="80"/>
      </w:pPr>
      <w:r>
        <w:rPr>
          <w:rFonts w:ascii="Calibri" w:hAnsi="Calibri"/>
          <w:b/>
          <w:color w:val="1E3A8A"/>
          <w:sz w:val="26"/>
        </w:rPr>
        <w:t>6. GESTIÓN EN GIT Y APORTE INDIVIDUAL (INDICADORES 6 Y 7)</w:t>
      </w:r>
    </w:p>
    <w:p>
      <w:pPr>
        <w:spacing w:after="80" w:line="276" w:lineRule="auto"/>
      </w:pPr>
      <w:r>
        <w:rPr>
          <w:rFonts w:ascii="Calibri" w:hAnsi="Calibri"/>
          <w:b w:val="0"/>
          <w:i w:val="0"/>
          <w:color w:val="1E293B"/>
          <w:sz w:val="20"/>
        </w:rPr>
        <w:t>El repositorio oficial https://github.com/IMANDOI/sistema-gestion-auditorios-capstone consolida todas las evidencias de código y documentación. El estudiante Benjamín Navarrete asumió el 100% del liderazgo y desarrollo del proyecto como Super Administrador y Arquitecto Fullstack.</w:t>
      </w:r>
    </w:p>
    <w:p>
      <w:pPr>
        <w:spacing w:before="280" w:after="80"/>
      </w:pPr>
      <w:r>
        <w:rPr>
          <w:rFonts w:ascii="Calibri" w:hAnsi="Calibri"/>
          <w:b/>
          <w:color w:val="1E3A8A"/>
          <w:sz w:val="26"/>
        </w:rPr>
        <w:t>7. CONCLUSIONES INDIVIDUALES DEL DESARROLLO (FASE 2)</w:t>
      </w:r>
    </w:p>
    <w:p>
      <w:pPr>
        <w:spacing w:after="80" w:line="276" w:lineRule="auto"/>
      </w:pPr>
      <w:r>
        <w:rPr>
          <w:rFonts w:ascii="Calibri" w:hAnsi="Calibri"/>
          <w:b w:val="0"/>
          <w:i w:val="0"/>
          <w:color w:val="1E293B"/>
          <w:sz w:val="20"/>
        </w:rPr>
        <w:t>Durante la Fase 2 del Proyecto Capstone, el desarrollo e implementación arquitectónica del Sistema Autónomo de Gestión Operativa de Auditorios para Duoc UC alcanzó plena operatividad funcional. Mediante la adopción sistemática de Next.js 15 App Router, React 19 y Prisma ORM, el proyecto realizó una transición exitosa desde las especificaciones teóricas de la Fase 1 hacia un Producto Mínimo Viable de grado industrial listo para producción.</w:t>
      </w:r>
    </w:p>
    <w:p>
      <w:pPr>
        <w:spacing w:after="80" w:line="276" w:lineRule="auto"/>
      </w:pPr>
      <w:r>
        <w:rPr>
          <w:rFonts w:ascii="Calibri" w:hAnsi="Calibri"/>
          <w:b w:val="0"/>
          <w:i w:val="0"/>
          <w:color w:val="1E293B"/>
          <w:sz w:val="20"/>
        </w:rPr>
        <w:t>La separación modular en portales desacoplados por perfil (/docente, /tecnico, /encargado, /admin) optimizó sustancialmente la experiencia de usuario y la seguridad operativa, haciendo cumplir de forma estricta el Principio de Menor Privilegio (PoLP) y las pautas de accesibilidad universal WCAG 2.1 nivel AA. El mecanismo de validación de pases QR redujo el procedimiento de recepción técnica en terreno a menos de 30 segundos, calculando automáticamente las horas de soporte dedicadas (Delta T) y erradicando el tiempo muerto histórico de espera pasiva del personal audiovisual.</w:t>
      </w:r>
    </w:p>
    <w:p>
      <w:pPr>
        <w:spacing w:after="80" w:line="276" w:lineRule="auto"/>
      </w:pPr>
      <w:r>
        <w:rPr>
          <w:rFonts w:ascii="Calibri" w:hAnsi="Calibri"/>
          <w:b w:val="0"/>
          <w:i w:val="0"/>
          <w:color w:val="1E293B"/>
          <w:sz w:val="20"/>
        </w:rPr>
        <w:t>Asimismo, la integración del Dashboard de Salud y Mantenimiento, el motor RPA de 4 bots autónomos, el Gestor de Cuentas RBAC con doble verificación y el Plan de Respuesta a Incidentes (IRP) bajo la norma NIST SP 800-61 proporcionan a la institución una herramienta integral de alta resiliencia y trazabilidad forense.</w:t>
      </w:r>
    </w:p>
    <w:p>
      <w:pPr>
        <w:spacing w:after="80" w:line="276" w:lineRule="auto"/>
      </w:pPr>
      <w:r>
        <w:rPr>
          <w:rFonts w:ascii="Calibri" w:hAnsi="Calibri"/>
          <w:b w:val="0"/>
          <w:i w:val="0"/>
          <w:color w:val="1E293B"/>
          <w:sz w:val="20"/>
        </w:rPr>
        <w:t>En conclusión, la Fase 2 cumplió con el 100% de los hitos y requerimientos planificados con cero errores de compilación, entregando una solución robusta, escalable y segura, completamente preparada para la fase final de pruebas masivas y defensa de título.</w:t>
      </w:r>
    </w:p>
    <w:p>
      <w:pPr>
        <w:spacing w:before="280" w:after="80"/>
      </w:pPr>
      <w:r>
        <w:rPr>
          <w:rFonts w:ascii="Calibri" w:hAnsi="Calibri"/>
          <w:b/>
          <w:color w:val="1E3A8A"/>
          <w:sz w:val="26"/>
        </w:rPr>
        <w:t>8. REFLEXIÓN PROFESIONAL INDIVIDUAL</w:t>
      </w:r>
    </w:p>
    <w:p>
      <w:pPr>
        <w:spacing w:after="80" w:line="276" w:lineRule="auto"/>
      </w:pPr>
      <w:r>
        <w:rPr>
          <w:rFonts w:ascii="Calibri" w:hAnsi="Calibri"/>
          <w:b w:val="0"/>
          <w:i w:val="0"/>
          <w:color w:val="1E293B"/>
          <w:sz w:val="20"/>
        </w:rPr>
        <w:t>Al reflexionar sobre el proceso de ingeniería ejecutado a lo largo de esta segunda etapa, considero que el desarrollo de este proyecto constituyó un punto de inflexión decisivo en mi formación como profesional de la informática y las telecomunicaciones. Construir un sistema de software con estándares empresariales demandó no solo aplicar competencias avanzadas de programación y modelamiento de bases de datos, sino también ejercer una rigurosa disciplina arquitectónica, visión de ciberseguridad y empatía en el diseño centrado en las personas.</w:t>
      </w:r>
    </w:p>
    <w:p>
      <w:pPr>
        <w:spacing w:after="80" w:line="276" w:lineRule="auto"/>
      </w:pPr>
      <w:r>
        <w:rPr>
          <w:rFonts w:ascii="Calibri" w:hAnsi="Calibri"/>
          <w:b w:val="0"/>
          <w:i w:val="0"/>
          <w:color w:val="1E293B"/>
          <w:sz w:val="20"/>
        </w:rPr>
        <w:t>Uno de los aprendizajes más significativos fue comprender el valor de la seguridad defensiva embebida sobre las funcionalidades meramente cosméticas. Reemplazar una pantalla superficial de monitoreo por salvaguardas estructurales en el núcleo de la aplicación —como el hasheo criptográfico con salt en bcrypt, la protección CSRF en Server Actions y la bitácora forense inmutable vinculada a cada usuario— demostró que la verdadera ingeniería de software prioriza la resiliencia y la integridad de la información sobre las apariencias.</w:t>
      </w:r>
    </w:p>
    <w:p>
      <w:pPr>
        <w:spacing w:after="80" w:line="276" w:lineRule="auto"/>
      </w:pPr>
      <w:r>
        <w:rPr>
          <w:rFonts w:ascii="Calibri" w:hAnsi="Calibri"/>
          <w:b w:val="0"/>
          <w:i w:val="0"/>
          <w:color w:val="1E293B"/>
          <w:sz w:val="20"/>
        </w:rPr>
        <w:t>De igual manera, abordar los desafíos reales de la logística institucional en el campus me enseñó a concebir el software desde las necesidades concretas de cada usuario final. Desarrollar interfaces de alto contraste para docentes y flujos ágiles pensados para operar con una sola mano en smartphones para los técnicos en terreno reforzó mi convicción sobre la importancia ética de la accesibilidad digital.</w:t>
      </w:r>
    </w:p>
    <w:p>
      <w:pPr>
        <w:spacing w:after="80" w:line="276" w:lineRule="auto"/>
      </w:pPr>
      <w:r>
        <w:rPr>
          <w:rFonts w:ascii="Calibri" w:hAnsi="Calibri"/>
          <w:b w:val="0"/>
          <w:i w:val="0"/>
          <w:color w:val="1E293B"/>
          <w:sz w:val="20"/>
        </w:rPr>
        <w:t>Con el sistema plenamente operativo tanto en el entorno local como en la nube mediante Vercel y Neon PostgreSQL, afronto la etapa final del proyecto con absoluta confianza en mis capacidades técnicas, criterio ingenieril y preparación para incorporarme con éxito al ejercicio profesional de la industria tecnológica.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