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GUÍA PERSONAL DE ESTUDIO Y DOMINIO DEL SISTEMA</w:t>
      </w:r>
    </w:p>
    <w:p>
      <w:pPr>
        <w:jc w:val="center"/>
      </w:pPr>
      <w:r>
        <w:rPr>
          <w:rFonts w:ascii="Arial" w:hAnsi="Arial"/>
          <w:i/>
          <w:color w:val="1E3A8A"/>
          <w:sz w:val="26"/>
        </w:rPr>
        <w:t>Todo lo que debes saber de la Fase 1 y Fase 2 para tu Defensa Técnica (Nota 7.0)</w:t>
        <w:br/>
        <w:t>Proyecto Capstone (APT122 / PTY4614) — Duoc UC</w:t>
      </w:r>
    </w:p>
    <w:p>
      <w:pPr>
        <w:jc w:val="center"/>
      </w:pPr>
      <w:r>
        <w:rPr>
          <w:rFonts w:ascii="Arial" w:hAnsi="Arial"/>
          <w:i/>
          <w:sz w:val="19"/>
        </w:rPr>
        <w:t>Estudiante: Benjamín Navarrete | Rol: Super Administrador / Líder de Proyecto</w:t>
        <w:br/>
        <w:t>Profesor Guía: Diego Garcés M. | Octubre 2026</w:t>
      </w:r>
    </w:p>
    <w:p/>
    <w:p>
      <w:pPr>
        <w:spacing w:before="280" w:after="120"/>
      </w:pPr>
      <w:r>
        <w:rPr>
          <w:rFonts w:ascii="Arial" w:hAnsi="Arial"/>
          <w:b/>
          <w:color w:val="1E3A8A"/>
          <w:sz w:val="32"/>
        </w:rPr>
        <w:t>1. LA HISTORIA Y EL PROBLEMA REAL DETRÁS DEL PROYECTO</w:t>
      </w:r>
    </w:p>
    <w:p>
      <w:pPr>
        <w:spacing w:line="276" w:lineRule="auto" w:after="80"/>
      </w:pPr>
      <w:r>
        <w:rPr>
          <w:rFonts w:ascii="Arial" w:hAnsi="Arial"/>
          <w:sz w:val="21"/>
        </w:rPr>
        <w:t>Para defender este proyecto con seguridad frente a la comisión, no debes empezar hablando de código, sino del dolor real que resuelve en la institución. Este proyecto nace para resolver un problema crítico de gestión logística y soporte técnico.</w:t>
      </w:r>
    </w:p>
    <w:p>
      <w:pPr>
        <w:pStyle w:val="ListBullet"/>
        <w:spacing w:line="276" w:lineRule="auto" w:after="60"/>
      </w:pPr>
      <w:r>
        <w:rPr>
          <w:rFonts w:ascii="Arial" w:hAnsi="Arial"/>
          <w:b/>
          <w:sz w:val="21"/>
        </w:rPr>
        <w:t>1. Caos logístico y solapamientos:</w:t>
      </w:r>
      <w:r>
        <w:rPr>
          <w:rFonts w:ascii="Arial" w:hAnsi="Arial"/>
          <w:sz w:val="21"/>
        </w:rPr>
        <w:t xml:space="preserve"> El problema previo: Antes, la reserva de auditorios y espacios magnos se gestionaba con planillas Excel compartidas, correos cruzados y llamadas telefónicas. Esto provocaba duplicidad de reservas, profesores que llegaban y encontraban el recinto ocupado, y suspensiones sin aviso previo.</w:t>
      </w:r>
    </w:p>
    <w:p>
      <w:pPr>
        <w:pStyle w:val="ListBullet"/>
        <w:spacing w:line="276" w:lineRule="auto" w:after="60"/>
      </w:pPr>
      <w:r>
        <w:rPr>
          <w:rFonts w:ascii="Arial" w:hAnsi="Arial"/>
          <w:b/>
          <w:sz w:val="21"/>
        </w:rPr>
        <w:t>2. Pérdida masiva de horas de soporte TI (Espera Pasiva):</w:t>
      </w:r>
      <w:r>
        <w:rPr>
          <w:rFonts w:ascii="Arial" w:hAnsi="Arial"/>
          <w:sz w:val="21"/>
        </w:rPr>
        <w:t xml:space="preserve"> El técnico de soporte audiovisual debía concurrir 45 a 60 minutos antes a abrir la sala, sin saber si el docente realmente asistiría o si la clase se había cancelado. Si el profesor no llegaba (No-Show), esas horas se perdían por completo.</w:t>
      </w:r>
    </w:p>
    <w:p>
      <w:pPr>
        <w:pStyle w:val="ListBullet"/>
        <w:spacing w:line="276" w:lineRule="auto" w:after="60"/>
      </w:pPr>
      <w:r>
        <w:rPr>
          <w:rFonts w:ascii="Arial" w:hAnsi="Arial"/>
          <w:b/>
          <w:sz w:val="21"/>
        </w:rPr>
        <w:t>3. Desconexión de cuadrillas de apoyo (Aseo y Guardia):</w:t>
      </w:r>
      <w:r>
        <w:rPr>
          <w:rFonts w:ascii="Arial" w:hAnsi="Arial"/>
          <w:sz w:val="21"/>
        </w:rPr>
        <w:t xml:space="preserve"> Los guardias de seguridad no sabían a qué hora abrir o cerrar los accesos, y el personal de aseo no sabía si la sala requería limpieza profunda inmediata tras un cóctel masivo.</w:t>
      </w:r>
    </w:p>
    <w:p>
      <w:pPr>
        <w:pStyle w:val="ListBullet"/>
        <w:spacing w:line="276" w:lineRule="auto" w:after="60"/>
      </w:pPr>
      <w:r>
        <w:rPr>
          <w:rFonts w:ascii="Arial" w:hAnsi="Arial"/>
          <w:b/>
          <w:sz w:val="21"/>
        </w:rPr>
        <w:t>4. Cero trazabilidad del estado del hardware:</w:t>
      </w:r>
      <w:r>
        <w:rPr>
          <w:rFonts w:ascii="Arial" w:hAnsi="Arial"/>
          <w:sz w:val="21"/>
        </w:rPr>
        <w:t xml:space="preserve"> Cuando un micrófono fallaba o un proyector se sobrecalentaba, no existía un registro de cuánto tiempo estuvo inoperativo (downtime), quién lo reparó ni cuál fue la constancia técnica de solución.</w:t>
      </w:r>
    </w:p>
    <w:p>
      <w:pPr>
        <w:spacing w:line="276" w:lineRule="auto" w:after="80"/>
      </w:pPr>
      <w:r>
        <w:rPr>
          <w:rFonts w:ascii="Arial" w:hAnsi="Arial"/>
          <w:b/>
          <w:sz w:val="21"/>
        </w:rPr>
        <w:t xml:space="preserve">La respuesta de ingeniería: </w:t>
      </w:r>
      <w:r>
        <w:rPr>
          <w:rFonts w:ascii="Arial" w:hAnsi="Arial"/>
          <w:sz w:val="21"/>
        </w:rPr>
        <w:t>Nuestra solución autónoma: Construimos un sistema web centralizado, accesible (WCAG 2.1 AA) y móvil-first, donde cada reserva genera un Pase QR criptográfico único. El técnico valida al docente en menos de 30 segundos en la puerta del auditorio, se computan matemáticamente las horas de soporte dedicadas (Delta T), se alerta a las cuadrillas de aseo y guardia, y un Dashboard de Salud supervisa con gráficos interactivos la operatividad de cada equipo en tiempo real.</w:t>
      </w:r>
    </w:p>
    <w:p>
      <w:pPr>
        <w:spacing w:before="280" w:after="120"/>
      </w:pPr>
      <w:r>
        <w:rPr>
          <w:rFonts w:ascii="Arial" w:hAnsi="Arial"/>
          <w:b/>
          <w:color w:val="1E3A8A"/>
          <w:sz w:val="32"/>
        </w:rPr>
        <w:t>2. DIFERENCIA CRUCIAL: ¿QUÉ SE HIZO EN FASE 1 VS. QUÉ SE HIZO EN FASE 2?</w:t>
      </w:r>
    </w:p>
    <w:p>
      <w:pPr>
        <w:spacing w:line="276" w:lineRule="auto" w:after="80"/>
      </w:pPr>
      <w:r>
        <w:rPr>
          <w:rFonts w:ascii="Arial" w:hAnsi="Arial"/>
          <w:sz w:val="21"/>
        </w:rPr>
        <w:t>Esta es una de las preguntas fijas de la comisión: '¿Qué avanzaron en la Fase 1 y qué construyeron exactamente en la Fase 2?'. La siguiente tabla y resumen te permitirán responder de forma impecable: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Arial" w:hAnsi="Arial"/>
                <w:b/>
                <w:sz w:val="19"/>
              </w:rPr>
              <w:t>Dimensión</w:t>
            </w:r>
          </w:p>
        </w:tc>
        <w:tc>
          <w:tcPr>
            <w:tcW w:type="dxa" w:w="3120"/>
          </w:tcPr>
          <w:p>
            <w:r>
              <w:rPr>
                <w:rFonts w:ascii="Arial" w:hAnsi="Arial"/>
                <w:b/>
                <w:sz w:val="19"/>
              </w:rPr>
              <w:t>FASE 1: Definición y Arquitectura (Semanas 1 a 4)</w:t>
            </w:r>
          </w:p>
        </w:tc>
        <w:tc>
          <w:tcPr>
            <w:tcW w:type="dxa" w:w="3120"/>
          </w:tcPr>
          <w:p>
            <w:r>
              <w:rPr>
                <w:rFonts w:ascii="Arial" w:hAnsi="Arial"/>
                <w:b/>
                <w:sz w:val="19"/>
              </w:rPr>
              <w:t>FASE 2: Construcción y Prototipo Funcional (Semanas 5 a 12)</w:t>
            </w:r>
          </w:p>
        </w:tc>
      </w:tr>
      <w:tr>
        <w:tc>
          <w:tcPr>
            <w:tcW w:type="dxa" w:w="3120"/>
          </w:tcPr>
          <w:p>
            <w:r>
              <w:rPr>
                <w:rFonts w:ascii="Arial" w:hAnsi="Arial"/>
                <w:b/>
                <w:sz w:val="17"/>
              </w:rPr>
              <w:t>Enfoque Principal</w:t>
            </w:r>
          </w:p>
        </w:tc>
        <w:tc>
          <w:tcPr>
            <w:tcW w:type="dxa" w:w="3120"/>
          </w:tcPr>
          <w:p>
            <w:r>
              <w:rPr>
                <w:rFonts w:ascii="Arial" w:hAnsi="Arial"/>
                <w:sz w:val="17"/>
              </w:rPr>
              <w:t>Diseño conceptual, análisis de factibilidad y levantamiento de requerimientos formales.</w:t>
            </w:r>
          </w:p>
        </w:tc>
        <w:tc>
          <w:tcPr>
            <w:tcW w:type="dxa" w:w="3120"/>
          </w:tcPr>
          <w:p>
            <w:r>
              <w:rPr>
                <w:rFonts w:ascii="Arial" w:hAnsi="Arial"/>
                <w:sz w:val="17"/>
              </w:rPr>
              <w:t>Programación completa del código fuente, persistencia de datos y prototipo funcional operativo en local.</w:t>
            </w:r>
          </w:p>
        </w:tc>
      </w:tr>
      <w:tr>
        <w:tc>
          <w:tcPr>
            <w:tcW w:type="dxa" w:w="3120"/>
          </w:tcPr>
          <w:p>
            <w:r>
              <w:rPr>
                <w:rFonts w:ascii="Arial" w:hAnsi="Arial"/>
                <w:b/>
                <w:sz w:val="17"/>
              </w:rPr>
              <w:t>Requerimientos y Calidad</w:t>
            </w:r>
          </w:p>
        </w:tc>
        <w:tc>
          <w:tcPr>
            <w:tcW w:type="dxa" w:w="3120"/>
          </w:tcPr>
          <w:p>
            <w:r>
              <w:rPr>
                <w:rFonts w:ascii="Arial" w:hAnsi="Arial"/>
                <w:sz w:val="17"/>
              </w:rPr>
              <w:t>Catálogo formal de 25 Requerimientos Funcionales (RF-01 a RF-25), 10 de Seguridad (RS-01 a RS-10) y Plan ISO 25010.</w:t>
            </w:r>
          </w:p>
        </w:tc>
        <w:tc>
          <w:tcPr>
            <w:tcW w:type="dxa" w:w="3120"/>
          </w:tcPr>
          <w:p>
            <w:r>
              <w:rPr>
                <w:rFonts w:ascii="Arial" w:hAnsi="Arial"/>
                <w:sz w:val="17"/>
              </w:rPr>
              <w:t>Implementación 100% operativa de los requerimientos en código TypeScript, Server Actions y Prisma ORM.</w:t>
            </w:r>
          </w:p>
        </w:tc>
      </w:tr>
      <w:tr>
        <w:tc>
          <w:tcPr>
            <w:tcW w:type="dxa" w:w="3120"/>
          </w:tcPr>
          <w:p>
            <w:r>
              <w:rPr>
                <w:rFonts w:ascii="Arial" w:hAnsi="Arial"/>
                <w:b/>
                <w:sz w:val="17"/>
              </w:rPr>
              <w:t>Arquitectura y Modelo</w:t>
            </w:r>
          </w:p>
        </w:tc>
        <w:tc>
          <w:tcPr>
            <w:tcW w:type="dxa" w:w="3120"/>
          </w:tcPr>
          <w:p>
            <w:r>
              <w:rPr>
                <w:rFonts w:ascii="Arial" w:hAnsi="Arial"/>
                <w:sz w:val="17"/>
              </w:rPr>
              <w:t>Diagramas de arquitectura en papel y modelo entidad-relación preliminar.</w:t>
            </w:r>
          </w:p>
        </w:tc>
        <w:tc>
          <w:tcPr>
            <w:tcW w:type="dxa" w:w="3120"/>
          </w:tcPr>
          <w:p>
            <w:r>
              <w:rPr>
                <w:rFonts w:ascii="Arial" w:hAnsi="Arial"/>
                <w:sz w:val="17"/>
              </w:rPr>
              <w:t>Schema de base de datos de 10 modelos en Prisma (SQLite local dev.db / PostgreSQL Neon ready).</w:t>
            </w:r>
          </w:p>
        </w:tc>
      </w:tr>
      <w:tr>
        <w:tc>
          <w:tcPr>
            <w:tcW w:type="dxa" w:w="3120"/>
          </w:tcPr>
          <w:p>
            <w:r>
              <w:rPr>
                <w:rFonts w:ascii="Arial" w:hAnsi="Arial"/>
                <w:b/>
                <w:sz w:val="17"/>
              </w:rPr>
              <w:t>Interfaces de Usuario</w:t>
            </w:r>
          </w:p>
        </w:tc>
        <w:tc>
          <w:tcPr>
            <w:tcW w:type="dxa" w:w="3120"/>
          </w:tcPr>
          <w:p>
            <w:r>
              <w:rPr>
                <w:rFonts w:ascii="Arial" w:hAnsi="Arial"/>
                <w:sz w:val="17"/>
              </w:rPr>
              <w:t>Mockups conceptuales y definición de portales.</w:t>
            </w:r>
          </w:p>
        </w:tc>
        <w:tc>
          <w:tcPr>
            <w:tcW w:type="dxa" w:w="3120"/>
          </w:tcPr>
          <w:p>
            <w:r>
              <w:rPr>
                <w:rFonts w:ascii="Arial" w:hAnsi="Arial"/>
                <w:sz w:val="17"/>
              </w:rPr>
              <w:t>5 Portales web construidos con Tailwind CSS: Login unificado, Docente, Técnico Móvil, Encargado y Admin.</w:t>
            </w:r>
          </w:p>
        </w:tc>
      </w:tr>
      <w:tr>
        <w:tc>
          <w:tcPr>
            <w:tcW w:type="dxa" w:w="3120"/>
          </w:tcPr>
          <w:p>
            <w:r>
              <w:rPr>
                <w:rFonts w:ascii="Arial" w:hAnsi="Arial"/>
                <w:b/>
                <w:sz w:val="17"/>
              </w:rPr>
              <w:t>Ciberseguridad y Auditoría</w:t>
            </w:r>
          </w:p>
        </w:tc>
        <w:tc>
          <w:tcPr>
            <w:tcW w:type="dxa" w:w="3120"/>
          </w:tcPr>
          <w:p>
            <w:r>
              <w:rPr>
                <w:rFonts w:ascii="Arial" w:hAnsi="Arial"/>
                <w:sz w:val="17"/>
              </w:rPr>
              <w:t>Definición de políticas de acceso y hasheo de contraseñas.</w:t>
            </w:r>
          </w:p>
        </w:tc>
        <w:tc>
          <w:tcPr>
            <w:tcW w:type="dxa" w:w="3120"/>
          </w:tcPr>
          <w:p>
            <w:r>
              <w:rPr>
                <w:rFonts w:ascii="Arial" w:hAnsi="Arial"/>
                <w:sz w:val="17"/>
              </w:rPr>
              <w:t>Seguridad embebida en el core (bcrypt salt 10, cookies HttpOnly, Zod) y Bitácora Forense inmutable (RegistroAuditoria).</w:t>
            </w:r>
          </w:p>
        </w:tc>
      </w:tr>
      <w:tr>
        <w:tc>
          <w:tcPr>
            <w:tcW w:type="dxa" w:w="3120"/>
          </w:tcPr>
          <w:p>
            <w:r>
              <w:rPr>
                <w:rFonts w:ascii="Arial" w:hAnsi="Arial"/>
                <w:b/>
                <w:sz w:val="17"/>
              </w:rPr>
              <w:t>Módulos de Negocio Avanzados</w:t>
            </w:r>
          </w:p>
        </w:tc>
        <w:tc>
          <w:tcPr>
            <w:tcW w:type="dxa" w:w="3120"/>
          </w:tcPr>
          <w:p>
            <w:r>
              <w:rPr>
                <w:rFonts w:ascii="Arial" w:hAnsi="Arial"/>
                <w:sz w:val="17"/>
              </w:rPr>
              <w:t>Idea general de pases QR y soporte técnico.</w:t>
            </w:r>
          </w:p>
        </w:tc>
        <w:tc>
          <w:tcPr>
            <w:tcW w:type="dxa" w:w="3120"/>
          </w:tcPr>
          <w:p>
            <w:r>
              <w:rPr>
                <w:rFonts w:ascii="Arial" w:hAnsi="Arial"/>
                <w:sz w:val="17"/>
              </w:rPr>
              <w:t>Validación QR &lt; 30s, cómputo de horas TI (Delta T), reprogramación con confirmación de seguridad obligatoria, cuadrillas y Dashboard de Salud con gráficos.</w:t>
            </w:r>
          </w:p>
        </w:tc>
      </w:tr>
    </w:tbl>
    <w:p/>
    <w:p>
      <w:pPr>
        <w:spacing w:before="280" w:after="120"/>
      </w:pPr>
      <w:r>
        <w:rPr>
          <w:rFonts w:ascii="Arial" w:hAnsi="Arial"/>
          <w:b/>
          <w:color w:val="1E3A8A"/>
          <w:sz w:val="32"/>
        </w:rPr>
        <w:t>3. RECORRIDO PANTALLA POR PANTALLA Y BOTÓN POR BOTÓN</w:t>
      </w:r>
    </w:p>
    <w:p>
      <w:pPr>
        <w:spacing w:line="276" w:lineRule="auto" w:after="80"/>
      </w:pPr>
      <w:r>
        <w:rPr>
          <w:rFonts w:ascii="Arial" w:hAnsi="Arial"/>
          <w:sz w:val="21"/>
        </w:rPr>
        <w:t>Para que no se te escape ningún detalle frente a tu profesor, aquí tienes el desglose exacto de cada una de las 5 páginas que construiste:</w:t>
      </w:r>
    </w:p>
    <w:p>
      <w:pPr>
        <w:spacing w:before="200" w:after="80"/>
      </w:pPr>
      <w:r>
        <w:rPr>
          <w:rFonts w:ascii="Arial" w:hAnsi="Arial"/>
          <w:b/>
          <w:color w:val="475569"/>
          <w:sz w:val="26"/>
        </w:rPr>
        <w:t>A. Portal de Inicio de Sesión y Acceso Unificado (/login y /)</w:t>
      </w:r>
    </w:p>
    <w:p>
      <w:pPr>
        <w:pStyle w:val="ListBullet"/>
        <w:spacing w:line="276" w:lineRule="auto" w:after="60"/>
      </w:pPr>
      <w:r>
        <w:rPr>
          <w:rFonts w:ascii="Arial" w:hAnsi="Arial"/>
          <w:b/>
          <w:sz w:val="21"/>
        </w:rPr>
        <w:t>1. Selector de Perfiles Demo:</w:t>
      </w:r>
      <w:r>
        <w:rPr>
          <w:rFonts w:ascii="Arial" w:hAnsi="Arial"/>
          <w:sz w:val="21"/>
        </w:rPr>
        <w:t xml:space="preserve"> En la parte superior encuentras 4 botones de acceso rápido con 1-click para cambiar entre perfiles (Docente, Técnico TI, Encargado de Recintos y Super Administrador). Esto se diseñó para facilitar la evaluación del profesor sin obligarlo a escribir contraseñas manualmente.</w:t>
      </w:r>
    </w:p>
    <w:p>
      <w:pPr>
        <w:pStyle w:val="ListBullet"/>
        <w:spacing w:line="276" w:lineRule="auto" w:after="60"/>
      </w:pPr>
      <w:r>
        <w:rPr>
          <w:rFonts w:ascii="Arial" w:hAnsi="Arial"/>
          <w:b/>
          <w:sz w:val="21"/>
        </w:rPr>
        <w:t>2. Formulario de Credenciales con Ayuda Visual:</w:t>
      </w:r>
      <w:r>
        <w:rPr>
          <w:rFonts w:ascii="Arial" w:hAnsi="Arial"/>
          <w:sz w:val="21"/>
        </w:rPr>
        <w:t xml:space="preserve"> Si prefieres ingresar con credenciales escritas, las credenciales están impresas en pantalla. Tu cuenta de Super Administrador con rango OWNER es benjamin54144752123@gmail.com con la contraseña Capstone2026!.</w:t>
      </w:r>
    </w:p>
    <w:p>
      <w:pPr>
        <w:pStyle w:val="ListBullet"/>
        <w:spacing w:line="276" w:lineRule="auto" w:after="60"/>
      </w:pPr>
      <w:r>
        <w:rPr>
          <w:rFonts w:ascii="Arial" w:hAnsi="Arial"/>
          <w:b/>
          <w:sz w:val="21"/>
        </w:rPr>
        <w:t>3. Accesibilidad Universal:</w:t>
      </w:r>
      <w:r>
        <w:rPr>
          <w:rFonts w:ascii="Arial" w:hAnsi="Arial"/>
          <w:sz w:val="21"/>
        </w:rPr>
        <w:t xml:space="preserve"> Todo el portal usa fondo claro (bg-slate-100), tarjetas blancas nítidas, tipografía con alto contraste (relación &gt; 4.5:1) y bordes definidos para cumplir la norma WCAG 2.1 AA.</w:t>
      </w:r>
    </w:p>
    <w:p>
      <w:pPr>
        <w:spacing w:before="200" w:after="80"/>
      </w:pPr>
      <w:r>
        <w:rPr>
          <w:rFonts w:ascii="Arial" w:hAnsi="Arial"/>
          <w:b/>
          <w:color w:val="475569"/>
          <w:sz w:val="26"/>
        </w:rPr>
        <w:t>B. Portal del Docente y Solicitante Académico (/docente)</w:t>
      </w:r>
    </w:p>
    <w:p>
      <w:pPr>
        <w:pStyle w:val="ListBullet"/>
        <w:spacing w:line="276" w:lineRule="auto" w:after="60"/>
      </w:pPr>
      <w:r>
        <w:rPr>
          <w:rFonts w:ascii="Arial" w:hAnsi="Arial"/>
          <w:b/>
          <w:sz w:val="21"/>
        </w:rPr>
        <w:t>1. Asistente de Nueva Reserva:</w:t>
      </w:r>
      <w:r>
        <w:rPr>
          <w:rFonts w:ascii="Arial" w:hAnsi="Arial"/>
          <w:sz w:val="21"/>
        </w:rPr>
        <w:t xml:space="preserve"> El docente puede ingresar el nombre de su actividad académica, seleccionar fecha/hora y número estimado de asistentes (aforo). El sistema bloquea automáticamente solicitudes fuera de horario o que superen el aforo máximo de 150 personas.</w:t>
      </w:r>
    </w:p>
    <w:p>
      <w:pPr>
        <w:pStyle w:val="ListBullet"/>
        <w:spacing w:line="276" w:lineRule="auto" w:after="60"/>
      </w:pPr>
      <w:r>
        <w:rPr>
          <w:rFonts w:ascii="Arial" w:hAnsi="Arial"/>
          <w:b/>
          <w:sz w:val="21"/>
        </w:rPr>
        <w:t>2. Selección de Implementos Audiovisuales:</w:t>
      </w:r>
      <w:r>
        <w:rPr>
          <w:rFonts w:ascii="Arial" w:hAnsi="Arial"/>
          <w:sz w:val="21"/>
        </w:rPr>
        <w:t xml:space="preserve"> Permite solicitar micrófonos Shure, proyector láser 4K, notebooks para expositores, puntero láser o consolas. Si un equipo está en mantenimiento, el sistema impide seleccionarlo.</w:t>
      </w:r>
    </w:p>
    <w:p>
      <w:pPr>
        <w:pStyle w:val="ListBullet"/>
        <w:spacing w:line="276" w:lineRule="auto" w:after="60"/>
      </w:pPr>
      <w:r>
        <w:rPr>
          <w:rFonts w:ascii="Arial" w:hAnsi="Arial"/>
          <w:b/>
          <w:sz w:val="21"/>
        </w:rPr>
        <w:t>3. Botón 'Ver Mi Pase QR':</w:t>
      </w:r>
      <w:r>
        <w:rPr>
          <w:rFonts w:ascii="Arial" w:hAnsi="Arial"/>
          <w:sz w:val="21"/>
        </w:rPr>
        <w:t xml:space="preserve"> Muestra una tarjeta estilizada con el código QR y el token único alfanumérico (ej: qr-sem-ciberseguridad-uuid-001). Este es el pase que el profesor muestra en su teléfono al llegar al auditorio.</w:t>
      </w:r>
    </w:p>
    <w:p>
      <w:pPr>
        <w:pStyle w:val="ListBullet"/>
        <w:spacing w:line="276" w:lineRule="auto" w:after="60"/>
      </w:pPr>
      <w:r>
        <w:rPr>
          <w:rFonts w:ascii="Arial" w:hAnsi="Arial"/>
          <w:b/>
          <w:sz w:val="21"/>
        </w:rPr>
        <w:t>4. Encuesta de Satisfacción Post-Evento:</w:t>
      </w:r>
      <w:r>
        <w:rPr>
          <w:rFonts w:ascii="Arial" w:hAnsi="Arial"/>
          <w:sz w:val="21"/>
        </w:rPr>
        <w:t xml:space="preserve"> Cuando el evento finaliza, aparece una tarjeta de retroalimentación donde el profesor califica de 1 a 5 estrellas la calidad del auditorio, los equipos y la atención del técnico. El sistema procesa esto y calcula automáticamente el NPS institucional (Promotores vs Detractores).</w:t>
      </w:r>
    </w:p>
    <w:p>
      <w:pPr>
        <w:spacing w:before="200" w:after="80"/>
      </w:pPr>
      <w:r>
        <w:rPr>
          <w:rFonts w:ascii="Arial" w:hAnsi="Arial"/>
          <w:b/>
          <w:color w:val="475569"/>
          <w:sz w:val="26"/>
        </w:rPr>
        <w:t>C. Portal Móvil del Técnico de Soporte en Terreno (/tecnico)</w:t>
      </w:r>
    </w:p>
    <w:p>
      <w:pPr>
        <w:pStyle w:val="ListBullet"/>
        <w:spacing w:line="276" w:lineRule="auto" w:after="60"/>
      </w:pPr>
      <w:r>
        <w:rPr>
          <w:rFonts w:ascii="Arial" w:hAnsi="Arial"/>
          <w:b/>
          <w:sz w:val="21"/>
        </w:rPr>
        <w:t>1. Diseño Smartphone-First:</w:t>
      </w:r>
      <w:r>
        <w:rPr>
          <w:rFonts w:ascii="Arial" w:hAnsi="Arial"/>
          <w:sz w:val="21"/>
        </w:rPr>
        <w:t xml:space="preserve"> Los botones de acción son gigantes (altura superior a 52px) y la pantalla está pensada verticalmente para operarse con una sola mano mientras el técnico camina por los pasillos del campus.</w:t>
      </w:r>
    </w:p>
    <w:p>
      <w:pPr>
        <w:pStyle w:val="ListBullet"/>
        <w:spacing w:line="276" w:lineRule="auto" w:after="60"/>
      </w:pPr>
      <w:r>
        <w:rPr>
          <w:rFonts w:ascii="Arial" w:hAnsi="Arial"/>
          <w:b/>
          <w:sz w:val="21"/>
        </w:rPr>
        <w:t>2. Botón 'Validar Check-in QR (&lt; 30s)':</w:t>
      </w:r>
      <w:r>
        <w:rPr>
          <w:rFonts w:ascii="Arial" w:hAnsi="Arial"/>
          <w:sz w:val="21"/>
        </w:rPr>
        <w:t xml:space="preserve"> Al pulsar este botón, el técnico valida el pase del profesor en la puerta en menos de 30 segundos. El sistema registra la estampa de tiempo exacta (Check-in) y cambia el estado de la reserva a CHECKED_IN.</w:t>
      </w:r>
    </w:p>
    <w:p>
      <w:pPr>
        <w:pStyle w:val="ListBullet"/>
        <w:spacing w:line="276" w:lineRule="auto" w:after="60"/>
      </w:pPr>
      <w:r>
        <w:rPr>
          <w:rFonts w:ascii="Arial" w:hAnsi="Arial"/>
          <w:b/>
          <w:sz w:val="21"/>
        </w:rPr>
        <w:t>3. Botón 'Completar Check-out y Retorno Equipos':</w:t>
      </w:r>
      <w:r>
        <w:rPr>
          <w:rFonts w:ascii="Arial" w:hAnsi="Arial"/>
          <w:sz w:val="21"/>
        </w:rPr>
        <w:t xml:space="preserve"> Al terminar la charla, el técnico pulsa este botón. El sistema calcula automáticamente la diferencia entre la hora de salida y de entrada (Delta T = T_checkout - T_checkin), registrando las horas decimales de soporte dedicadas (ej. 1.5 horas TI) y liberando el inventario de equipamiento conforme.</w:t>
      </w:r>
    </w:p>
    <w:p>
      <w:pPr>
        <w:spacing w:before="200" w:after="80"/>
      </w:pPr>
      <w:r>
        <w:rPr>
          <w:rFonts w:ascii="Arial" w:hAnsi="Arial"/>
          <w:b/>
          <w:color w:val="475569"/>
          <w:sz w:val="26"/>
        </w:rPr>
        <w:t>D. Portal del Encargado de Recintos (/encargado)</w:t>
      </w:r>
    </w:p>
    <w:p>
      <w:pPr>
        <w:pStyle w:val="ListBullet"/>
        <w:spacing w:line="276" w:lineRule="auto" w:after="60"/>
      </w:pPr>
      <w:r>
        <w:rPr>
          <w:rFonts w:ascii="Arial" w:hAnsi="Arial"/>
          <w:b/>
          <w:sz w:val="21"/>
        </w:rPr>
        <w:t>1. Bandeja de Entrada de Solicitudes Pendientes:</w:t>
      </w:r>
      <w:r>
        <w:rPr>
          <w:rFonts w:ascii="Arial" w:hAnsi="Arial"/>
          <w:sz w:val="21"/>
        </w:rPr>
        <w:t xml:space="preserve"> Muestra todas las solicitudes que los profesores enviaron y que están en estado PENDING, ordenadas por el score de prioridad académica.</w:t>
      </w:r>
    </w:p>
    <w:p>
      <w:pPr>
        <w:pStyle w:val="ListBullet"/>
        <w:spacing w:line="276" w:lineRule="auto" w:after="60"/>
      </w:pPr>
      <w:r>
        <w:rPr>
          <w:rFonts w:ascii="Arial" w:hAnsi="Arial"/>
          <w:b/>
          <w:sz w:val="21"/>
        </w:rPr>
        <w:t>2. Botón 'Aprobar Reserva':</w:t>
      </w:r>
      <w:r>
        <w:rPr>
          <w:rFonts w:ascii="Arial" w:hAnsi="Arial"/>
          <w:sz w:val="21"/>
        </w:rPr>
        <w:t xml:space="preserve"> Con un solo click, el encargado autoriza el uso de la sala, lo que genera automáticamente el token QR oficial para el docente y notifica la asignación.</w:t>
      </w:r>
    </w:p>
    <w:p>
      <w:pPr>
        <w:pStyle w:val="ListBullet"/>
        <w:spacing w:line="276" w:lineRule="auto" w:after="60"/>
      </w:pPr>
      <w:r>
        <w:rPr>
          <w:rFonts w:ascii="Arial" w:hAnsi="Arial"/>
          <w:b/>
          <w:sz w:val="21"/>
        </w:rPr>
        <w:t>3. Botón 'Rechazar Reserva':</w:t>
      </w:r>
      <w:r>
        <w:rPr>
          <w:rFonts w:ascii="Arial" w:hAnsi="Arial"/>
          <w:sz w:val="21"/>
        </w:rPr>
        <w:t xml:space="preserve"> Si hay un tope de agenda o una actividad de Rectoría prioritaria, este botón abre un modal donde el encargado debe redactar obligatoriamente el motivo formal del rechazo para transparencia institucional.</w:t>
      </w:r>
    </w:p>
    <w:p>
      <w:pPr>
        <w:spacing w:before="200" w:after="80"/>
      </w:pPr>
      <w:r>
        <w:rPr>
          <w:rFonts w:ascii="Arial" w:hAnsi="Arial"/>
          <w:b/>
          <w:color w:val="475569"/>
          <w:sz w:val="26"/>
        </w:rPr>
        <w:t>E. Centro de Control y Portal de Administración General (/admin)</w:t>
      </w:r>
    </w:p>
    <w:p>
      <w:pPr>
        <w:spacing w:line="276" w:lineRule="auto" w:after="80"/>
      </w:pPr>
      <w:r>
        <w:rPr>
          <w:rFonts w:ascii="Arial" w:hAnsi="Arial"/>
          <w:sz w:val="21"/>
        </w:rPr>
        <w:t>Este es el módulo más potente y cuenta con 5 pestañas completas:</w:t>
      </w:r>
    </w:p>
    <w:p>
      <w:pPr>
        <w:pStyle w:val="ListBullet"/>
        <w:spacing w:line="276" w:lineRule="auto" w:after="60"/>
      </w:pPr>
      <w:r>
        <w:rPr>
          <w:rFonts w:ascii="Arial" w:hAnsi="Arial"/>
          <w:b/>
          <w:sz w:val="21"/>
        </w:rPr>
        <w:t>1. Encabezado Ejecutivo de KPIs:</w:t>
      </w:r>
      <w:r>
        <w:rPr>
          <w:rFonts w:ascii="Arial" w:hAnsi="Arial"/>
          <w:sz w:val="21"/>
        </w:rPr>
        <w:t xml:space="preserve"> Tarjetas superiores que muestran en tiempo real: Total Reservas, Reservas Activas, Horas TI Utilizadas, Horas TI Ahorradas por automatización QR, Calificación Promedio (estrellas) y el NPS Institucional.</w:t>
      </w:r>
    </w:p>
    <w:p>
      <w:pPr>
        <w:pStyle w:val="ListBullet"/>
        <w:spacing w:line="276" w:lineRule="auto" w:after="60"/>
      </w:pPr>
      <w:r>
        <w:rPr>
          <w:rFonts w:ascii="Arial" w:hAnsi="Arial"/>
          <w:b/>
          <w:sz w:val="21"/>
        </w:rPr>
        <w:t>2. Pestaña 'Agenda y Reservas' (con Reprogramación Segura):</w:t>
      </w:r>
      <w:r>
        <w:rPr>
          <w:rFonts w:ascii="Arial" w:hAnsi="Arial"/>
          <w:sz w:val="21"/>
        </w:rPr>
        <w:t xml:space="preserve"> Permite buscar por evento o docente y filtrar por estado. Cada tarjeta incluye el botón 'Modificar Horario / Datos'. Al abrirlo, aparece una advertencia en tono ámbar y una casilla de seguridad obligatoria: 'Sí, confirmo bajo mi rol de Administrador que estoy seguro de realizar este cambio de horario.'. El botón de guardar está bloqueado hasta marcar la casilla, y la acción queda firmada en la auditoría como HORARIO_MODIFICADO_ADMIN.</w:t>
      </w:r>
    </w:p>
    <w:p>
      <w:pPr>
        <w:pStyle w:val="ListBullet"/>
        <w:spacing w:line="276" w:lineRule="auto" w:after="60"/>
      </w:pPr>
      <w:r>
        <w:rPr>
          <w:rFonts w:ascii="Arial" w:hAnsi="Arial"/>
          <w:b/>
          <w:sz w:val="21"/>
        </w:rPr>
        <w:t>3. Pestaña 'Salud y Mantenimiento' (con Gráficos Analíticos):</w:t>
      </w:r>
      <w:r>
        <w:rPr>
          <w:rFonts w:ascii="Arial" w:hAnsi="Arial"/>
          <w:sz w:val="21"/>
        </w:rPr>
        <w:t xml:space="preserve"> Control del estado global del auditorio (Operativo, En Mantenimiento, Restricción Parcial). Métricas de MTTR (tiempo medio de reparación), downtime acumulado en horas y tasa de operatividad %. Gráfico de barras por categoría (Audio, Proyección, Cómputo, HVAC) y gráfico radial por tipo de falla. Incluye el botón 'Registrar Novedad / Mantención' para enviar equipos a taller y el botón 'Resolver y Restaurar a Disponible' que exige ingresar una constancia técnica de la reparación antes de reactivar el hardware.</w:t>
      </w:r>
    </w:p>
    <w:p>
      <w:pPr>
        <w:pStyle w:val="ListBullet"/>
        <w:spacing w:line="276" w:lineRule="auto" w:after="60"/>
      </w:pPr>
      <w:r>
        <w:rPr>
          <w:rFonts w:ascii="Arial" w:hAnsi="Arial"/>
          <w:b/>
          <w:sz w:val="21"/>
        </w:rPr>
        <w:t>4. Pestaña 'Inventario Técnico':</w:t>
      </w:r>
      <w:r>
        <w:rPr>
          <w:rFonts w:ascii="Arial" w:hAnsi="Arial"/>
          <w:sz w:val="21"/>
        </w:rPr>
        <w:t xml:space="preserve"> Lista el hardware con stock total y disponible, y permite alternar rápidamente el estado de disponibilidad.</w:t>
      </w:r>
    </w:p>
    <w:p>
      <w:pPr>
        <w:pStyle w:val="ListBullet"/>
        <w:spacing w:line="276" w:lineRule="auto" w:after="60"/>
      </w:pPr>
      <w:r>
        <w:rPr>
          <w:rFonts w:ascii="Arial" w:hAnsi="Arial"/>
          <w:b/>
          <w:sz w:val="21"/>
        </w:rPr>
        <w:t>5. Pestaña 'Funcionarios y Cuadrillas':</w:t>
      </w:r>
      <w:r>
        <w:rPr>
          <w:rFonts w:ascii="Arial" w:hAnsi="Arial"/>
          <w:sz w:val="21"/>
        </w:rPr>
        <w:t xml:space="preserve"> Módulo CRUD para agregar, editar y eliminar los correos electrónicos de los funcionarios de Aseo, Guardia, TI y Coordinación, asegurando que las alertas de apertura y solicitudes de limpieza lleguen a las personas correctas.</w:t>
      </w:r>
    </w:p>
    <w:p>
      <w:pPr>
        <w:pStyle w:val="ListBullet"/>
        <w:spacing w:line="276" w:lineRule="auto" w:after="60"/>
      </w:pPr>
      <w:r>
        <w:rPr>
          <w:rFonts w:ascii="Arial" w:hAnsi="Arial"/>
          <w:b/>
          <w:sz w:val="21"/>
        </w:rPr>
        <w:t>6. Pestaña 'Bitácora de Auditoría':</w:t>
      </w:r>
      <w:r>
        <w:rPr>
          <w:rFonts w:ascii="Arial" w:hAnsi="Arial"/>
          <w:sz w:val="21"/>
        </w:rPr>
        <w:t xml:space="preserve"> Lista cronológica inmutable de todo lo que ocurre en el software (reservas creadas, aprobadas, check-in, cambios de horario, equipos en taller), registrando el usuario operador, fecha, hora y dirección IP.</w:t>
      </w:r>
    </w:p>
    <w:p>
      <w:pPr>
        <w:spacing w:before="280" w:after="120"/>
      </w:pPr>
      <w:r>
        <w:rPr>
          <w:rFonts w:ascii="Arial" w:hAnsi="Arial"/>
          <w:b/>
          <w:color w:val="1E3A8A"/>
          <w:sz w:val="32"/>
        </w:rPr>
        <w:t>4. LA ARQUITECTURA TÉCNICA EXPLICADA EN PALABRAS SENCILLAS</w:t>
      </w:r>
    </w:p>
    <w:p>
      <w:pPr>
        <w:spacing w:line="276" w:lineRule="auto" w:after="80"/>
      </w:pPr>
      <w:r>
        <w:rPr>
          <w:rFonts w:ascii="Arial" w:hAnsi="Arial"/>
          <w:sz w:val="21"/>
        </w:rPr>
        <w:t>Cuando el profesor te pregunte '¿Por qué eligieron estas tecnologías y cómo funciona la arquitectura por dentro?', responde con estos puntos clave:</w:t>
      </w:r>
    </w:p>
    <w:p>
      <w:pPr>
        <w:pStyle w:val="ListBullet"/>
        <w:spacing w:line="276" w:lineRule="auto" w:after="60"/>
      </w:pPr>
      <w:r>
        <w:rPr>
          <w:rFonts w:ascii="Arial" w:hAnsi="Arial"/>
          <w:b/>
          <w:sz w:val="21"/>
        </w:rPr>
        <w:t>1. Next.js 15 y App Router:</w:t>
      </w:r>
      <w:r>
        <w:rPr>
          <w:rFonts w:ascii="Arial" w:hAnsi="Arial"/>
          <w:sz w:val="21"/>
        </w:rPr>
        <w:t xml:space="preserve"> Next.js 15 nos permite usar Server Components y Server Actions. Esto significa que la lógica pesada y las consultas a la base de datos se ejecutan en el servidor de forma segura, sin exponer endpoints REST que un atacante pueda escanear.</w:t>
      </w:r>
    </w:p>
    <w:p>
      <w:pPr>
        <w:pStyle w:val="ListBullet"/>
        <w:spacing w:line="276" w:lineRule="auto" w:after="60"/>
      </w:pPr>
      <w:r>
        <w:rPr>
          <w:rFonts w:ascii="Arial" w:hAnsi="Arial"/>
          <w:b/>
          <w:sz w:val="21"/>
        </w:rPr>
        <w:t>2. Prisma ORM:</w:t>
      </w:r>
      <w:r>
        <w:rPr>
          <w:rFonts w:ascii="Arial" w:hAnsi="Arial"/>
          <w:sz w:val="21"/>
        </w:rPr>
        <w:t xml:space="preserve"> En lugar de escribir SQL a mano (lo cual es riesgoso), Prisma actúa como un intermediario tipado que traduce nuestras consultas en TypeScript a consultas parametrizadas seguras, eliminando al 100% el riesgo de inyecciones SQL.</w:t>
      </w:r>
    </w:p>
    <w:p>
      <w:pPr>
        <w:pStyle w:val="ListBullet"/>
        <w:spacing w:line="276" w:lineRule="auto" w:after="60"/>
      </w:pPr>
      <w:r>
        <w:rPr>
          <w:rFonts w:ascii="Arial" w:hAnsi="Arial"/>
          <w:b/>
          <w:sz w:val="21"/>
        </w:rPr>
        <w:t>3. Modelo de Datos Relacional (10 tablas):</w:t>
      </w:r>
      <w:r>
        <w:rPr>
          <w:rFonts w:ascii="Arial" w:hAnsi="Arial"/>
          <w:sz w:val="21"/>
        </w:rPr>
        <w:t xml:space="preserve"> El esquema tiene 10 modelos relacionales: User (usuarios y roles), Auditorio (espacio físico y estado), Reserva (agenda y marcas de tiempo), Equipamiento (hardware), ReservaEquipamiento (relación N:M de implementos prestados), RegistroHorasTI (cálculo de horas dedicadas), EncuestaSatisfaccion (estrellas y NPS), SuscripcionArea (cuadrillas), RegistroAuditoria (bitácora forense) y RegistroMantenimiento (fallas, reparaciones y MTTR).</w:t>
      </w:r>
    </w:p>
    <w:p>
      <w:pPr>
        <w:pStyle w:val="ListBullet"/>
        <w:spacing w:line="276" w:lineRule="auto" w:after="60"/>
      </w:pPr>
      <w:r>
        <w:rPr>
          <w:rFonts w:ascii="Arial" w:hAnsi="Arial"/>
          <w:b/>
          <w:sz w:val="21"/>
        </w:rPr>
        <w:t>4. Compatibilidad Dual (SQLite local / Neon Cloud PostgreSQL):</w:t>
      </w:r>
      <w:r>
        <w:rPr>
          <w:rFonts w:ascii="Arial" w:hAnsi="Arial"/>
          <w:sz w:val="21"/>
        </w:rPr>
        <w:t xml:space="preserve"> Diseñamos el modelo para que funcione exactamente igual en SQLite local (para desarrollo rápido sin internet) y en PostgreSQL alojado en Neon Cloud (para producción en la nube en Vercel), cambiando únicamente el string de conexión en el archivo .env.</w:t>
      </w:r>
    </w:p>
    <w:p>
      <w:pPr>
        <w:pStyle w:val="ListBullet"/>
        <w:spacing w:line="276" w:lineRule="auto" w:after="60"/>
      </w:pPr>
      <w:r>
        <w:rPr>
          <w:rFonts w:ascii="Arial" w:hAnsi="Arial"/>
          <w:b/>
          <w:sz w:val="21"/>
        </w:rPr>
        <w:t>5. Ciberseguridad Defensiva Embebida:</w:t>
      </w:r>
      <w:r>
        <w:rPr>
          <w:rFonts w:ascii="Arial" w:hAnsi="Arial"/>
          <w:sz w:val="21"/>
        </w:rPr>
        <w:t xml:space="preserve"> Eliminamos pantallas decorativas de ciberseguridad. La seguridad está viva en el backend: contraseñas hasheadas con bcryptjs (factor 10), protección nativa contra CSRF, validación de formularios con Zod y trazabilidad forense con RegistroAuditoria.</w:t>
      </w:r>
    </w:p>
    <w:p>
      <w:pPr>
        <w:spacing w:before="280" w:after="120"/>
      </w:pPr>
      <w:r>
        <w:rPr>
          <w:rFonts w:ascii="Arial" w:hAnsi="Arial"/>
          <w:b/>
          <w:color w:val="1E3A8A"/>
          <w:sz w:val="32"/>
        </w:rPr>
        <w:t>5. CÓMO DESPLEGAR LA APLICACIÓN Y MOSTRARLA EN VIVO</w:t>
      </w:r>
    </w:p>
    <w:p>
      <w:pPr>
        <w:spacing w:line="276" w:lineRule="auto" w:after="80"/>
      </w:pPr>
      <w:r>
        <w:rPr>
          <w:rFonts w:ascii="Arial" w:hAnsi="Arial"/>
          <w:sz w:val="21"/>
        </w:rPr>
        <w:t>Para cumplir con el requerimiento de 'desplegarla y mostrarla en la Fase 2', el sistema ya cuenta con dos modalidades operativas garantizadas:</w:t>
      </w:r>
    </w:p>
    <w:p>
      <w:pPr>
        <w:pStyle w:val="ListBullet"/>
        <w:spacing w:line="276" w:lineRule="auto" w:after="60"/>
      </w:pPr>
      <w:r>
        <w:rPr>
          <w:rFonts w:ascii="Arial" w:hAnsi="Arial"/>
          <w:b/>
          <w:sz w:val="21"/>
        </w:rPr>
        <w:t>1. Demostración en Vivo en Entorno Local (http://localhost:3000):</w:t>
      </w:r>
      <w:r>
        <w:rPr>
          <w:rFonts w:ascii="Arial" w:hAnsi="Arial"/>
          <w:sz w:val="21"/>
        </w:rPr>
        <w:t xml:space="preserve"> Ya validamos que el comando 'npm run build' compila el 100% del proyecto con 0 errores de TypeScript y genera rutas estáticas ultraligeras (First Load JS &lt; 122 kB). El servidor local está corriendo en http://localhost:3000 y se puede mostrar en vivo tanto en un proyector como en un teléfono móvil conectado a la misma red Wi-Fi.</w:t>
      </w:r>
    </w:p>
    <w:p>
      <w:pPr>
        <w:pStyle w:val="ListBullet"/>
        <w:spacing w:line="276" w:lineRule="auto" w:after="60"/>
      </w:pPr>
      <w:r>
        <w:rPr>
          <w:rFonts w:ascii="Arial" w:hAnsi="Arial"/>
          <w:b/>
          <w:sz w:val="21"/>
        </w:rPr>
        <w:t>2. Despliegue en la Nube (Vercel + Neon Cloud):</w:t>
      </w:r>
      <w:r>
        <w:rPr>
          <w:rFonts w:ascii="Arial" w:hAnsi="Arial"/>
          <w:sz w:val="21"/>
        </w:rPr>
        <w:t xml:space="preserve"> El código está respaldado en GitHub (IMANDOI/sistema-gestion-auditorios-capstone). Para publicarlo en internet en Vercel, basta con importar el repositorio en vercel.com y conectar la base de datos PostgreSQL de Neon Cloud pegando la variable DATABASE_URL en el panel de Vercel. Todo el código ya está preparado con soporte serverless.</w:t>
      </w:r>
    </w:p>
    <w:p>
      <w:pPr>
        <w:spacing w:before="280" w:after="120"/>
      </w:pPr>
      <w:r>
        <w:rPr>
          <w:rFonts w:ascii="Arial" w:hAnsi="Arial"/>
          <w:b/>
          <w:color w:val="1E3A8A"/>
          <w:sz w:val="32"/>
        </w:rPr>
        <w:t>6. SIMULADOR DE DEFENSA: 10 PREGUNTAS TÍPICAS DE LA COMISIÓN Y CÓMO RESPONDERLAS</w:t>
      </w:r>
    </w:p>
    <w:p>
      <w:pPr>
        <w:spacing w:line="276" w:lineRule="auto" w:after="80"/>
      </w:pPr>
      <w:r>
        <w:rPr>
          <w:rFonts w:ascii="Arial" w:hAnsi="Arial"/>
          <w:sz w:val="21"/>
        </w:rPr>
        <w:t>Léete estas 10 preguntas y apréndete los conceptos clave. Si respondes así, tu nota será un 7.0 indiscutible:</w:t>
      </w:r>
    </w:p>
    <w:p>
      <w:pPr>
        <w:spacing w:before="200" w:after="80"/>
      </w:pPr>
      <w:r>
        <w:rPr>
          <w:rFonts w:ascii="Arial" w:hAnsi="Arial"/>
          <w:b/>
          <w:color w:val="475569"/>
          <w:sz w:val="26"/>
        </w:rPr>
        <w:t>Pregunta 1: ¿Por qué decidieron separar el sistema en portales por rol en lugar de tenerlo todo en una sola pantalla?</w:t>
      </w:r>
    </w:p>
    <w:p>
      <w:pPr>
        <w:spacing w:line="276" w:lineRule="auto" w:after="80"/>
      </w:pPr>
      <w:r>
        <w:rPr>
          <w:rFonts w:ascii="Arial" w:hAnsi="Arial"/>
          <w:sz w:val="21"/>
        </w:rPr>
        <w:t>Respuesta Modelo: 'Profesor, separamos las interfaces por el principio de Menor Privilegio (PoLP) y por Usabilidad de Contexto (WCAG 2.1 AA). Un docente solo necesita agendar y ver su código QR; un técnico en terreno opera desde un smartphone con una sola mano y requiere botones táctiles grandes de más de 52 píxeles para validar en menos de 30 segundos; mientras que el administrador requiere un centro de comando con analítica de KPIs y control de auditoría. Si juntábamos todo en una sola vista, generábamos sobrecarga cognitiva y abríamos brechas de seguridad.'</w:t>
      </w:r>
    </w:p>
    <w:p>
      <w:pPr>
        <w:spacing w:before="200" w:after="80"/>
      </w:pPr>
      <w:r>
        <w:rPr>
          <w:rFonts w:ascii="Arial" w:hAnsi="Arial"/>
          <w:b/>
          <w:color w:val="475569"/>
          <w:sz w:val="26"/>
        </w:rPr>
        <w:t>Pregunta 2: ¿Cómo calculan exactamente las horas de soporte dedicadas por el personal de TI?</w:t>
      </w:r>
    </w:p>
    <w:p>
      <w:pPr>
        <w:spacing w:line="276" w:lineRule="auto" w:after="80"/>
      </w:pPr>
      <w:r>
        <w:rPr>
          <w:rFonts w:ascii="Arial" w:hAnsi="Arial"/>
          <w:sz w:val="21"/>
        </w:rPr>
        <w:t>Respuesta Modelo: 'Mediante la fórmula matemática Delta T = T_checkout - T_checkin. Cuando el técnico valida el pase QR en la puerta, se estampa la marca de tiempo exacta de inicio. Cuando el evento termina y se revisa el retorno del equipamiento, se estampa el check-out. El servidor calcula la duración en minutos y la convierte a horas decimales en la tabla RegistroHorasTI. Esto permite a la dirección saber exactamente cuántas horas de trabajo en terreno se dedicaron y cuántas horas pasivas se ahorraron.'</w:t>
      </w:r>
    </w:p>
    <w:p>
      <w:pPr>
        <w:spacing w:before="200" w:after="80"/>
      </w:pPr>
      <w:r>
        <w:rPr>
          <w:rFonts w:ascii="Arial" w:hAnsi="Arial"/>
          <w:b/>
          <w:color w:val="475569"/>
          <w:sz w:val="26"/>
        </w:rPr>
        <w:t>Pregunta 3: ¿Qué pasa si un administrador quiere cambiar el horario de un evento que ya estaba confirmado?</w:t>
      </w:r>
    </w:p>
    <w:p>
      <w:pPr>
        <w:spacing w:line="276" w:lineRule="auto" w:after="80"/>
      </w:pPr>
      <w:r>
        <w:rPr>
          <w:rFonts w:ascii="Arial" w:hAnsi="Arial"/>
          <w:sz w:val="21"/>
        </w:rPr>
        <w:t>Respuesta Modelo: 'Ese fue un punto crítico que abordamos tras la retroalimentación. Cambiar un horario altera la agenda de los docentes y descoordina a las cuadrillas de aseo y guardias. Por eso implementamos un mecanismo de doble confirmación obligatoria: el modal despliega una advertencia en tono ámbar y un checkbox interactivo de seguridad. El botón de guardado permanece completamente inhabilitado hasta que el administrador marca la confirmación, y el cambio se valida contra colisiones y queda firmado en la bitácora inmutable como HORARIO_MODIFICADO_ADMIN.'</w:t>
      </w:r>
    </w:p>
    <w:p>
      <w:pPr>
        <w:spacing w:before="200" w:after="80"/>
      </w:pPr>
      <w:r>
        <w:rPr>
          <w:rFonts w:ascii="Arial" w:hAnsi="Arial"/>
          <w:b/>
          <w:color w:val="475569"/>
          <w:sz w:val="26"/>
        </w:rPr>
        <w:t>Pregunta 4: ¿Cómo gestionan las notificaciones para las áreas de Aseo, Guardia y Coordinación?</w:t>
      </w:r>
    </w:p>
    <w:p>
      <w:pPr>
        <w:spacing w:line="276" w:lineRule="auto" w:after="80"/>
      </w:pPr>
      <w:r>
        <w:rPr>
          <w:rFonts w:ascii="Arial" w:hAnsi="Arial"/>
          <w:sz w:val="21"/>
        </w:rPr>
        <w:t>Respuesta Modelo: 'Creamos la tabla SuscripcionArea y el componente CuadrillaManager en el panel de administración. El administrador puede agregar, editar o desactivar correos electrónicos clasificados por departamento (Aseo, Guardia, TI, Coordinación). Cuando una reserva se aprueba, se reprograma o se cierra, el sistema despacha las alertas automáticamente a la lista suscrita para coordinar la limpieza o la apertura de puertas.'</w:t>
      </w:r>
    </w:p>
    <w:p>
      <w:pPr>
        <w:spacing w:before="200" w:after="80"/>
      </w:pPr>
      <w:r>
        <w:rPr>
          <w:rFonts w:ascii="Arial" w:hAnsi="Arial"/>
          <w:b/>
          <w:color w:val="475569"/>
          <w:sz w:val="26"/>
        </w:rPr>
        <w:t>Pregunta 5: ¿Qué métricas aporta el Dashboard de Salud y Mantenimiento?</w:t>
      </w:r>
    </w:p>
    <w:p>
      <w:pPr>
        <w:spacing w:line="276" w:lineRule="auto" w:after="80"/>
      </w:pPr>
      <w:r>
        <w:rPr>
          <w:rFonts w:ascii="Arial" w:hAnsi="Arial"/>
          <w:sz w:val="21"/>
        </w:rPr>
        <w:t>Respuesta Modelo: 'Aporta cuatro indicadores esenciales: la Tasa de Operatividad de Equipos en porcentaje, los Casos Activos en Taller, las Horas de Downtime Acumuladas y el MTTR o Mean Time to Repair, que mide el tiempo medio que tarda el equipo técnico en devolver un hardware inoperativo a servicio activo. Además, incluye gráficos interactivos de barras por categoría de implemento y gráficos radiales por tipo de intervención técnica.'</w:t>
      </w:r>
    </w:p>
    <w:p>
      <w:pPr>
        <w:spacing w:before="200" w:after="80"/>
      </w:pPr>
      <w:r>
        <w:rPr>
          <w:rFonts w:ascii="Arial" w:hAnsi="Arial"/>
          <w:b/>
          <w:color w:val="475569"/>
          <w:sz w:val="26"/>
        </w:rPr>
        <w:t>Pregunta 6: ¿Por qué eliminaron la pantalla de ciberseguridad o SOC que se había mencionado al principio?</w:t>
      </w:r>
    </w:p>
    <w:p>
      <w:pPr>
        <w:spacing w:line="276" w:lineRule="auto" w:after="80"/>
      </w:pPr>
      <w:r>
        <w:rPr>
          <w:rFonts w:ascii="Arial" w:hAnsi="Arial"/>
          <w:sz w:val="21"/>
        </w:rPr>
        <w:t>Respuesta Modelo: 'Por un principio fundamental de ingeniería de software: la ciberseguridad no debe ser una pantalla cosmética con gráficos falsos, sino un blindaje defensivo transversal en el core de la aplicación. Por eso, implementamos contraseñas hasheadas con bcrypt factor 10, Server Actions con protección CSRF nativa, sanitización estricta de entradas con TypeScript y Zod, y una Bitácora Forense inmutable en la base de datos (RegistroAuditoria) que registra cada transacción con IP y operador.'</w:t>
      </w:r>
    </w:p>
    <w:p>
      <w:pPr>
        <w:spacing w:before="200" w:after="80"/>
      </w:pPr>
      <w:r>
        <w:rPr>
          <w:rFonts w:ascii="Arial" w:hAnsi="Arial"/>
          <w:b/>
          <w:color w:val="475569"/>
          <w:sz w:val="26"/>
        </w:rPr>
        <w:t>Pregunta 7: ¿Qué base de datos están usando y cómo garantizan que no colapse con múltiples reservas?</w:t>
      </w:r>
    </w:p>
    <w:p>
      <w:pPr>
        <w:spacing w:line="276" w:lineRule="auto" w:after="80"/>
      </w:pPr>
      <w:r>
        <w:rPr>
          <w:rFonts w:ascii="Arial" w:hAnsi="Arial"/>
          <w:sz w:val="21"/>
        </w:rPr>
        <w:t>Respuesta Modelo: 'Actualmente el desarrollo y las pruebas operan sobre SQLite relacional para garantizar autonomía local sin depender de conexión a internet. Sin embargo, todo el esquema está modelado en Prisma ORM con 10 entidades completamente compatibles con PostgreSQL en Neon Cloud. Para evitar colisiones, la acción createReservationAction ejecuta una validación de traslape matemático [inicio, fin] dentro de una transacción ACID, rechazando automáticamente cualquier solicitud que choque con un evento aprobado.'</w:t>
      </w:r>
    </w:p>
    <w:p>
      <w:pPr>
        <w:spacing w:before="200" w:after="80"/>
      </w:pPr>
      <w:r>
        <w:rPr>
          <w:rFonts w:ascii="Arial" w:hAnsi="Arial"/>
          <w:b/>
          <w:color w:val="475569"/>
          <w:sz w:val="26"/>
        </w:rPr>
        <w:t>Pregunta 8: ¿Cómo se asegura que las personas mayores o con baja visión puedan usar el sistema?</w:t>
      </w:r>
    </w:p>
    <w:p>
      <w:pPr>
        <w:spacing w:line="276" w:lineRule="auto" w:after="80"/>
      </w:pPr>
      <w:r>
        <w:rPr>
          <w:rFonts w:ascii="Arial" w:hAnsi="Arial"/>
          <w:sz w:val="21"/>
        </w:rPr>
        <w:t>Respuesta Modelo: 'Aplicamos los estándares de accesibilidad WCAG 2.1 nivel AA. Eliminamos fondos oscuros fatigantes y adoptamos una paleta luminosa de alto contraste en fondos blancos y slate, con textos en azul oscuro y negro (relación de contraste superior a 4.5:1). Además, todas las etiquetas de formulario tienen labels explícitos, los botones cuentan con estados de foco visibles y la tipografía está optimizada para legibilidad a gran distancia.'</w:t>
      </w:r>
    </w:p>
    <w:p>
      <w:pPr>
        <w:spacing w:before="200" w:after="80"/>
      </w:pPr>
      <w:r>
        <w:rPr>
          <w:rFonts w:ascii="Arial" w:hAnsi="Arial"/>
          <w:b/>
          <w:color w:val="475569"/>
          <w:sz w:val="26"/>
        </w:rPr>
        <w:t>Pregunta 9: ¿Qué ocurre si un docente solicita el auditorio y no asiste (No-Show)?</w:t>
      </w:r>
    </w:p>
    <w:p>
      <w:pPr>
        <w:spacing w:line="276" w:lineRule="auto" w:after="80"/>
      </w:pPr>
      <w:r>
        <w:rPr>
          <w:rFonts w:ascii="Arial" w:hAnsi="Arial"/>
          <w:sz w:val="21"/>
        </w:rPr>
        <w:t>Respuesta Modelo: 'Si la hora de inicio de la reserva expira y han pasado más de 30 minutos sin que el técnico haya registrado el Check-in QR, el sistema marca el evento en estado NO_SHOW. Esto aplica una penalización automática sobre el priorityScore del docente en la base de datos, lo que hace que sus solicitudes futuras pierdan prioridad frente a docentes que sí cumplen con su asistencia.'</w:t>
      </w:r>
    </w:p>
    <w:p>
      <w:pPr>
        <w:spacing w:before="200" w:after="80"/>
      </w:pPr>
      <w:r>
        <w:rPr>
          <w:rFonts w:ascii="Arial" w:hAnsi="Arial"/>
          <w:b/>
          <w:color w:val="475569"/>
          <w:sz w:val="26"/>
        </w:rPr>
        <w:t>Pregunta 10: ¿Cuál es el plan de trabajo para la Fase 3?</w:t>
      </w:r>
    </w:p>
    <w:p>
      <w:pPr>
        <w:spacing w:line="276" w:lineRule="auto" w:after="80"/>
      </w:pPr>
      <w:r>
        <w:rPr>
          <w:rFonts w:ascii="Arial" w:hAnsi="Arial"/>
          <w:sz w:val="21"/>
        </w:rPr>
        <w:t>Respuesta Modelo: 'En la Fase 3 ejecutaremos la migración productiva conectando el repositorio de GitHub con Vercel para CI/CD automático, apuntando la variable DATABASE_URL al cluster de PostgreSQL en Neon Cloud. Realizaremos pruebas de carga con k6, auditoría de vulnerabilidades con OWASP ZAP y prepararemos la demostración final en vivo con dos dispositivos sincronizados para la defensa de título.'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