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0F172A"/>
          <w:sz w:val="40"/>
        </w:rPr>
        <w:t>GUÍA PERSONAL DE ESTUDIO Y DOMINIO DEL SISTEMA</w:t>
      </w:r>
    </w:p>
    <w:p>
      <w:pPr>
        <w:spacing w:after="40"/>
        <w:jc w:val="center"/>
      </w:pPr>
      <w:r>
        <w:rPr>
          <w:rFonts w:ascii="Calibri" w:hAnsi="Calibri"/>
          <w:b/>
          <w:color w:val="1E3A8A"/>
          <w:sz w:val="24"/>
        </w:rPr>
        <w:t>Proyecto Capstone (APT122 / PTY4614) — Escuela de Informática y Telecomunicaciones — Duoc UC</w:t>
      </w:r>
    </w:p>
    <w:p>
      <w:pPr>
        <w:spacing w:after="280"/>
        <w:jc w:val="center"/>
      </w:pPr>
      <w:r>
        <w:rPr>
          <w:rFonts w:ascii="Calibri" w:hAnsi="Calibri"/>
          <w:i/>
          <w:color w:val="64748B"/>
          <w:sz w:val="20"/>
        </w:rPr>
        <w:t>Preparación Integral para la Defensa Técnica ante la Comisión Evaluadora — Benjamín Navarrete (Super Admin)</w:t>
      </w:r>
    </w:p>
    <w:tbl>
      <w:tblPr>
        <w:tblW w:type="auto" w:w="0"/>
        <w:jc w:val="center"/>
        <w:tblLook w:firstColumn="1" w:firstRow="1" w:lastColumn="0" w:lastRow="0" w:noHBand="0" w:noVBand="1" w:val="04A0"/>
      </w:tblPr>
      <w:tblGrid>
        <w:gridCol w:w="9936"/>
      </w:tblGrid>
      <w:tr>
        <w:tc>
          <w:tcPr>
            <w:tcW w:type="dxa" w:w="9936"/>
            <w:shd w:fill="F1F5F9"/>
          </w:tcPr>
          <w:p>
            <w:pPr>
              <w:spacing w:before="80" w:after="80"/>
            </w:pPr>
            <w:r>
              <w:rPr>
                <w:rFonts w:ascii="Calibri" w:hAnsi="Calibri"/>
                <w:color w:val="0F172A"/>
                <w:sz w:val="19"/>
              </w:rPr>
              <w:t>FICHA RESUMEN DEL PROYECTO:</w:t>
              <w:br/>
              <w:t>• Estudiante: Benjamín Navarrete (Super Administrador y Desarrollador Principal)</w:t>
              <w:br/>
              <w:t>• Correo Super Admin: benjamin54144752123@gmail.com | Contraseña: Capstone2026!</w:t>
              <w:br/>
              <w:t>• Vercel Producción: https://sistema-gestion-auditorios-capstone.vercel.app</w:t>
              <w:br/>
              <w:t>• Repositorio GitHub: https://github.com/IMANDOI/sistema-gestion-auditorios-capstone</w:t>
              <w:br/>
              <w:t>• Meta Académica: Calificación Máxima 7.0 (Cumplimiento del 100% de la Rúbrica Duoc UC)</w:t>
            </w:r>
          </w:p>
        </w:tc>
      </w:tr>
    </w:tbl>
    <w:p>
      <w:pPr>
        <w:spacing w:after="120"/>
      </w:pPr>
    </w:p>
    <w:p>
      <w:pPr>
        <w:spacing w:before="280" w:after="120"/>
      </w:pPr>
      <w:r>
        <w:rPr>
          <w:rFonts w:ascii="Calibri" w:hAnsi="Calibri"/>
          <w:b/>
          <w:color w:val="1E3A8A"/>
          <w:sz w:val="28"/>
        </w:rPr>
        <w:t>1. LA HISTORIA Y EL PROBLEMA REAL DETRÁS DEL PROYECTO</w:t>
      </w:r>
    </w:p>
    <w:p>
      <w:pPr>
        <w:spacing w:after="80" w:line="276" w:lineRule="auto"/>
      </w:pPr>
      <w:r>
        <w:rPr>
          <w:rFonts w:ascii="Calibri" w:hAnsi="Calibri"/>
          <w:b w:val="0"/>
          <w:i w:val="0"/>
          <w:color w:val="1E293B"/>
          <w:sz w:val="20"/>
        </w:rPr>
        <w:t>Para defender este proyecto con seguridad y convicción frente a tu profesor, no debes empezar hablando de líneas de código o librerías, sino del dolor y la ineficiencia real que resuelve en la institución:</w:t>
      </w:r>
    </w:p>
    <w:p>
      <w:pPr>
        <w:spacing w:after="80" w:line="276" w:lineRule="auto"/>
      </w:pPr>
      <w:r>
        <w:rPr>
          <w:rFonts w:ascii="Calibri" w:hAnsi="Calibri"/>
          <w:b w:val="0"/>
          <w:i w:val="0"/>
          <w:color w:val="1E293B"/>
          <w:sz w:val="20"/>
        </w:rPr>
        <w:t>1. Caos logístico y solapamientos de agenda: Históricamente, los auditorios se gestionaban con planillas Excel compartidas en la red institucional, cadenas de correos y llamadas de última hora. Esto provocaba duplicidad de reservas y eventos cancelados.</w:t>
      </w:r>
    </w:p>
    <w:p>
      <w:pPr>
        <w:spacing w:after="80" w:line="276" w:lineRule="auto"/>
      </w:pPr>
      <w:r>
        <w:rPr>
          <w:rFonts w:ascii="Calibri" w:hAnsi="Calibri"/>
          <w:b w:val="0"/>
          <w:i w:val="0"/>
          <w:color w:val="1E293B"/>
          <w:sz w:val="20"/>
        </w:rPr>
        <w:t>2. Pérdida masiva de horas de soporte TI (Espera Pasiva): El técnico de soporte audiovisual concurría 45 a 60 minutos antes a abrir la sala sin saber si el docente realmente llegaría. Si había inasistencia (No-Show), ese tiempo se perdía por completo.</w:t>
      </w:r>
    </w:p>
    <w:p>
      <w:pPr>
        <w:spacing w:after="80" w:line="276" w:lineRule="auto"/>
      </w:pPr>
      <w:r>
        <w:rPr>
          <w:rFonts w:ascii="Calibri" w:hAnsi="Calibri"/>
          <w:b w:val="0"/>
          <w:i w:val="0"/>
          <w:color w:val="1E293B"/>
          <w:sz w:val="20"/>
        </w:rPr>
        <w:t>3. Desconexión con cuadrillas de apoyo: Guardias y personal de aseo no sabían con certeza cuándo abrir puertas o cuándo entrar a sanitizar un recinto tras una ceremonia masiva.</w:t>
      </w:r>
    </w:p>
    <w:p>
      <w:pPr>
        <w:spacing w:after="80" w:line="276" w:lineRule="auto"/>
      </w:pPr>
      <w:r>
        <w:rPr>
          <w:rFonts w:ascii="Calibri" w:hAnsi="Calibri"/>
          <w:b w:val="0"/>
          <w:i w:val="0"/>
          <w:color w:val="1E293B"/>
          <w:sz w:val="20"/>
        </w:rPr>
        <w:t>4. Cero trazabilidad del hardware: No se sabía cuánto tiempo estuvo inoperativo un micrófono o proyector averiado (downtime), ni quién lo reparó.</w:t>
      </w:r>
    </w:p>
    <w:p>
      <w:pPr>
        <w:spacing w:after="80" w:line="276" w:lineRule="auto"/>
      </w:pPr>
      <w:r>
        <w:rPr>
          <w:rFonts w:ascii="Calibri" w:hAnsi="Calibri"/>
          <w:b/>
          <w:i w:val="0"/>
          <w:color w:val="1E293B"/>
          <w:sz w:val="20"/>
        </w:rPr>
        <w:t>La Solución de Ingeniería:</w:t>
      </w:r>
    </w:p>
    <w:p>
      <w:pPr>
        <w:spacing w:after="80" w:line="276" w:lineRule="auto"/>
      </w:pPr>
      <w:r>
        <w:rPr>
          <w:rFonts w:ascii="Calibri" w:hAnsi="Calibri"/>
          <w:b w:val="0"/>
          <w:i w:val="0"/>
          <w:color w:val="1E293B"/>
          <w:sz w:val="20"/>
        </w:rPr>
        <w:t>Un sistema web reactivo, accesible (WCAG 2.1 AA) y Mobile-First. Cada reserva genera un Pase QR 2D real scannable. El técnico valida al docente en la puerta mediante cámara en menos de 30 segundos, el servidor calcula automáticamente las horas de soporte dedicadas (Delta T), se alerta a las cuadrillas suscritas, 4 bots RPA ejecutan mantenimiento preventivo de fondo, y un Dashboard de Salud con gráficos y Plan IRP supervisa el MTTR de los implementos.</w:t>
      </w:r>
    </w:p>
    <w:p>
      <w:pPr>
        <w:spacing w:before="280" w:after="120"/>
      </w:pPr>
      <w:r>
        <w:rPr>
          <w:rFonts w:ascii="Calibri" w:hAnsi="Calibri"/>
          <w:b/>
          <w:color w:val="1E3A8A"/>
          <w:sz w:val="28"/>
        </w:rPr>
        <w:t>2. DIFERENCIA CLARA: ¿QUÉ SE HIZO EN FASE 1 VS. QUÉ SE HIZO EN FASE 2?</w:t>
      </w:r>
    </w:p>
    <w:tbl>
      <w:tblPr>
        <w:tblW w:type="auto" w:w="0"/>
        <w:jc w:val="center"/>
        <w:tblLook w:firstColumn="1" w:firstRow="1" w:lastColumn="0" w:lastRow="0" w:noHBand="0" w:noVBand="1" w:val="04A0"/>
      </w:tblPr>
      <w:tblGrid>
        <w:gridCol w:w="3312"/>
        <w:gridCol w:w="3312"/>
        <w:gridCol w:w="3312"/>
      </w:tblGrid>
      <w:tr>
        <w:tc>
          <w:tcPr>
            <w:tcW w:type="dxa" w:w="3312"/>
            <w:shd w:fill="1E3A8A"/>
          </w:tcPr>
          <w:p>
            <w:r>
              <w:rPr>
                <w:b/>
                <w:color w:val="FFFFFF"/>
                <w:sz w:val="18"/>
              </w:rPr>
              <w:t>Dimensión</w:t>
            </w:r>
          </w:p>
        </w:tc>
        <w:tc>
          <w:tcPr>
            <w:tcW w:type="dxa" w:w="3312"/>
            <w:shd w:fill="1E3A8A"/>
          </w:tcPr>
          <w:p>
            <w:r>
              <w:rPr>
                <w:b/>
                <w:color w:val="FFFFFF"/>
                <w:sz w:val="18"/>
              </w:rPr>
              <w:t>FASE 1: Definición (Semanas 1-4)</w:t>
            </w:r>
          </w:p>
        </w:tc>
        <w:tc>
          <w:tcPr>
            <w:tcW w:type="dxa" w:w="3312"/>
            <w:shd w:fill="1E3A8A"/>
          </w:tcPr>
          <w:p>
            <w:r>
              <w:rPr>
                <w:b/>
                <w:color w:val="FFFFFF"/>
                <w:sz w:val="18"/>
              </w:rPr>
              <w:t>FASE 2: Construcción (Semanas 5-12)</w:t>
            </w:r>
          </w:p>
        </w:tc>
      </w:tr>
      <w:tr>
        <w:tc>
          <w:tcPr>
            <w:tcW w:type="dxa" w:w="3312"/>
          </w:tcPr>
          <w:p>
            <w:r>
              <w:rPr>
                <w:b/>
                <w:sz w:val="17"/>
              </w:rPr>
              <w:t>Enfoque</w:t>
            </w:r>
          </w:p>
        </w:tc>
        <w:tc>
          <w:tcPr>
            <w:tcW w:type="dxa" w:w="3312"/>
          </w:tcPr>
          <w:p>
            <w:r>
              <w:rPr>
                <w:sz w:val="17"/>
              </w:rPr>
              <w:t>Diseño conceptual, levantamiento y factibilidad.</w:t>
            </w:r>
          </w:p>
        </w:tc>
        <w:tc>
          <w:tcPr>
            <w:tcW w:type="dxa" w:w="3312"/>
          </w:tcPr>
          <w:p>
            <w:r>
              <w:rPr>
                <w:sz w:val="17"/>
              </w:rPr>
              <w:t>Programación completa, código TypeScript y despliegue funcional.</w:t>
            </w:r>
          </w:p>
        </w:tc>
      </w:tr>
      <w:tr>
        <w:tc>
          <w:tcPr>
            <w:tcW w:type="dxa" w:w="3312"/>
            <w:shd w:fill="F8FAFC"/>
          </w:tcPr>
          <w:p>
            <w:r>
              <w:rPr>
                <w:b/>
                <w:sz w:val="17"/>
              </w:rPr>
              <w:t>Requerimientos</w:t>
            </w:r>
          </w:p>
        </w:tc>
        <w:tc>
          <w:tcPr>
            <w:tcW w:type="dxa" w:w="3312"/>
            <w:shd w:fill="F8FAFC"/>
          </w:tcPr>
          <w:p>
            <w:r>
              <w:rPr>
                <w:sz w:val="17"/>
              </w:rPr>
              <w:t>Catálogo formal de 25 RF, 10 RS y Plan ISO 25010.</w:t>
            </w:r>
          </w:p>
        </w:tc>
        <w:tc>
          <w:tcPr>
            <w:tcW w:type="dxa" w:w="3312"/>
            <w:shd w:fill="F8FAFC"/>
          </w:tcPr>
          <w:p>
            <w:r>
              <w:rPr>
                <w:sz w:val="17"/>
              </w:rPr>
              <w:t>Implementación 100% operativa en Next.js Server Actions y Prisma.</w:t>
            </w:r>
          </w:p>
        </w:tc>
      </w:tr>
      <w:tr>
        <w:tc>
          <w:tcPr>
            <w:tcW w:type="dxa" w:w="3312"/>
          </w:tcPr>
          <w:p>
            <w:r>
              <w:rPr>
                <w:b/>
                <w:sz w:val="17"/>
              </w:rPr>
              <w:t>Base de Datos</w:t>
            </w:r>
          </w:p>
        </w:tc>
        <w:tc>
          <w:tcPr>
            <w:tcW w:type="dxa" w:w="3312"/>
          </w:tcPr>
          <w:p>
            <w:r>
              <w:rPr>
                <w:sz w:val="17"/>
              </w:rPr>
              <w:t>Diagramas conceptuales y bosquejo relacional.</w:t>
            </w:r>
          </w:p>
        </w:tc>
        <w:tc>
          <w:tcPr>
            <w:tcW w:type="dxa" w:w="3312"/>
          </w:tcPr>
          <w:p>
            <w:r>
              <w:rPr>
                <w:sz w:val="17"/>
              </w:rPr>
              <w:t>10 modelos relacionales en SQLite y Neon Cloud PostgreSQL.</w:t>
            </w:r>
          </w:p>
        </w:tc>
      </w:tr>
      <w:tr>
        <w:tc>
          <w:tcPr>
            <w:tcW w:type="dxa" w:w="3312"/>
            <w:shd w:fill="F8FAFC"/>
          </w:tcPr>
          <w:p>
            <w:r>
              <w:rPr>
                <w:b/>
                <w:sz w:val="17"/>
              </w:rPr>
              <w:t>Interfaces</w:t>
            </w:r>
          </w:p>
        </w:tc>
        <w:tc>
          <w:tcPr>
            <w:tcW w:type="dxa" w:w="3312"/>
            <w:shd w:fill="F8FAFC"/>
          </w:tcPr>
          <w:p>
            <w:r>
              <w:rPr>
                <w:sz w:val="17"/>
              </w:rPr>
              <w:t>Mockups Figma/Canva y definición de roles.</w:t>
            </w:r>
          </w:p>
        </w:tc>
        <w:tc>
          <w:tcPr>
            <w:tcW w:type="dxa" w:w="3312"/>
            <w:shd w:fill="F8FAFC"/>
          </w:tcPr>
          <w:p>
            <w:r>
              <w:rPr>
                <w:sz w:val="17"/>
              </w:rPr>
              <w:t>5 Portales web operativos en Tailwind CSS (/login, /docente, /tecnico, /encargado, /admin).</w:t>
            </w:r>
          </w:p>
        </w:tc>
      </w:tr>
      <w:tr>
        <w:tc>
          <w:tcPr>
            <w:tcW w:type="dxa" w:w="3312"/>
          </w:tcPr>
          <w:p>
            <w:r>
              <w:rPr>
                <w:b/>
                <w:sz w:val="17"/>
              </w:rPr>
              <w:t>Ciberseguridad</w:t>
            </w:r>
          </w:p>
        </w:tc>
        <w:tc>
          <w:tcPr>
            <w:tcW w:type="dxa" w:w="3312"/>
          </w:tcPr>
          <w:p>
            <w:r>
              <w:rPr>
                <w:sz w:val="17"/>
              </w:rPr>
              <w:t>Definición teórica de políticas de acceso.</w:t>
            </w:r>
          </w:p>
        </w:tc>
        <w:tc>
          <w:tcPr>
            <w:tcW w:type="dxa" w:w="3312"/>
          </w:tcPr>
          <w:p>
            <w:r>
              <w:rPr>
                <w:sz w:val="17"/>
              </w:rPr>
              <w:t>Seguridad nativa (bcrypt salt 10, Zod, cookies HttpOnly, bitácora forense individual).</w:t>
            </w:r>
          </w:p>
        </w:tc>
      </w:tr>
      <w:tr>
        <w:tc>
          <w:tcPr>
            <w:tcW w:type="dxa" w:w="3312"/>
            <w:shd w:fill="F8FAFC"/>
          </w:tcPr>
          <w:p>
            <w:r>
              <w:rPr>
                <w:b/>
                <w:sz w:val="17"/>
              </w:rPr>
              <w:t>Módulos Clave</w:t>
            </w:r>
          </w:p>
        </w:tc>
        <w:tc>
          <w:tcPr>
            <w:tcW w:type="dxa" w:w="3312"/>
            <w:shd w:fill="F8FAFC"/>
          </w:tcPr>
          <w:p>
            <w:r>
              <w:rPr>
                <w:sz w:val="17"/>
              </w:rPr>
              <w:t>Idea preliminar de escáner y soporte.</w:t>
            </w:r>
          </w:p>
        </w:tc>
        <w:tc>
          <w:tcPr>
            <w:tcW w:type="dxa" w:w="3312"/>
            <w:shd w:fill="F8FAFC"/>
          </w:tcPr>
          <w:p>
            <w:r>
              <w:rPr>
                <w:sz w:val="17"/>
              </w:rPr>
              <w:t>QR 2D real con cámara auto-shutdown, horas TI Delta T, reprogramación segura, cuadrillas, Gestor RBAC, 4 Bots RPA, Dashboard con gráficos e IRP.</w:t>
            </w:r>
          </w:p>
        </w:tc>
      </w:tr>
      <w:tr>
        <w:tc>
          <w:tcPr>
            <w:tcW w:type="dxa" w:w="3312"/>
          </w:tcPr>
          <w:p>
            <w:r>
              <w:rPr>
                <w:b/>
                <w:sz w:val="17"/>
              </w:rPr>
              <w:t>Compilación</w:t>
            </w:r>
          </w:p>
        </w:tc>
        <w:tc>
          <w:tcPr>
            <w:tcW w:type="dxa" w:w="3312"/>
          </w:tcPr>
          <w:p>
            <w:r>
              <w:rPr>
                <w:sz w:val="17"/>
              </w:rPr>
              <w:t>N/A (documentación).</w:t>
            </w:r>
          </w:p>
        </w:tc>
        <w:tc>
          <w:tcPr>
            <w:tcW w:type="dxa" w:w="3312"/>
          </w:tcPr>
          <w:p>
            <w:r>
              <w:rPr>
                <w:sz w:val="17"/>
              </w:rPr>
              <w:t>Build de Producción 100% limpio (0 errores) y rutas prerenderizadas estáticamente.</w:t>
            </w:r>
          </w:p>
        </w:tc>
      </w:tr>
    </w:tbl>
    <w:p>
      <w:pPr>
        <w:spacing w:after="120"/>
      </w:pPr>
    </w:p>
    <w:p>
      <w:pPr>
        <w:spacing w:before="280" w:after="120"/>
      </w:pPr>
      <w:r>
        <w:rPr>
          <w:rFonts w:ascii="Calibri" w:hAnsi="Calibri"/>
          <w:b/>
          <w:color w:val="1E3A8A"/>
          <w:sz w:val="28"/>
        </w:rPr>
        <w:t>3. RECORRIDO PANTALLA POR PANTALLA Y BOTÓN POR BOTÓN</w:t>
      </w:r>
    </w:p>
    <w:p>
      <w:pPr>
        <w:spacing w:before="200" w:after="80"/>
      </w:pPr>
      <w:r>
        <w:rPr>
          <w:rFonts w:ascii="Calibri" w:hAnsi="Calibri"/>
          <w:b/>
          <w:color w:val="0F172A"/>
          <w:sz w:val="24"/>
        </w:rPr>
        <w:t>A. Portal de Acceso (/login)</w:t>
      </w:r>
    </w:p>
    <w:p>
      <w:pPr>
        <w:spacing w:after="80" w:line="276" w:lineRule="auto"/>
      </w:pPr>
      <w:r>
        <w:rPr>
          <w:rFonts w:ascii="Calibri" w:hAnsi="Calibri"/>
          <w:b w:val="0"/>
          <w:i w:val="0"/>
          <w:color w:val="1E293B"/>
          <w:sz w:val="20"/>
        </w:rPr>
        <w:t>• Selector Rápido de Perfiles Demo: 4 botones con 1-clic para alternar entre roles (Docente, Soporte TI, Encargada, Super Admin) sin escribir credenciales.</w:t>
      </w:r>
    </w:p>
    <w:p>
      <w:pPr>
        <w:spacing w:after="80" w:line="276" w:lineRule="auto"/>
      </w:pPr>
      <w:r>
        <w:rPr>
          <w:rFonts w:ascii="Calibri" w:hAnsi="Calibri"/>
          <w:b w:val="0"/>
          <w:i w:val="0"/>
          <w:color w:val="1E293B"/>
          <w:sz w:val="20"/>
        </w:rPr>
        <w:t>• Credenciales Visibles: Super Admin: benjamin54144752123@gmail.com / Capstone2026! (contraseñas hasheadas con bcrypt salt 10).</w:t>
      </w:r>
    </w:p>
    <w:p>
      <w:pPr>
        <w:spacing w:after="80" w:line="276" w:lineRule="auto"/>
      </w:pPr>
      <w:r>
        <w:rPr>
          <w:rFonts w:ascii="Calibri" w:hAnsi="Calibri"/>
          <w:b w:val="0"/>
          <w:i w:val="0"/>
          <w:color w:val="1E293B"/>
          <w:sz w:val="20"/>
        </w:rPr>
        <w:t>• Accesibilidad WCAG 2.1 AA: Fondo luminoso de alto contraste (relación de contraste &gt; 4.5:1).</w:t>
      </w:r>
    </w:p>
    <w:p>
      <w:pPr>
        <w:spacing w:before="200" w:after="80"/>
      </w:pPr>
      <w:r>
        <w:rPr>
          <w:rFonts w:ascii="Calibri" w:hAnsi="Calibri"/>
          <w:b/>
          <w:color w:val="0F172A"/>
          <w:sz w:val="24"/>
        </w:rPr>
        <w:t>B. Portal del Docente (/docente)</w:t>
      </w:r>
    </w:p>
    <w:p>
      <w:pPr>
        <w:spacing w:after="80" w:line="276" w:lineRule="auto"/>
      </w:pPr>
      <w:r>
        <w:rPr>
          <w:rFonts w:ascii="Calibri" w:hAnsi="Calibri"/>
          <w:b w:val="0"/>
          <w:i w:val="0"/>
          <w:color w:val="1E293B"/>
          <w:sz w:val="20"/>
        </w:rPr>
        <w:t>• Asistente de Reserva: Valida capacidad máxima (150 personas) y catálogo de hardware en stock.</w:t>
      </w:r>
    </w:p>
    <w:p>
      <w:pPr>
        <w:spacing w:after="80" w:line="276" w:lineRule="auto"/>
      </w:pPr>
      <w:r>
        <w:rPr>
          <w:rFonts w:ascii="Calibri" w:hAnsi="Calibri"/>
          <w:b w:val="0"/>
          <w:i w:val="0"/>
          <w:color w:val="1E293B"/>
          <w:sz w:val="20"/>
        </w:rPr>
        <w:t>• Ver Mi Pase QR (Matriz 2D Real): Genera código QR scannable mediante librería qrcode, descarga en PNG y copia de token alfanumérico.</w:t>
      </w:r>
    </w:p>
    <w:p>
      <w:pPr>
        <w:spacing w:after="80" w:line="276" w:lineRule="auto"/>
      </w:pPr>
      <w:r>
        <w:rPr>
          <w:rFonts w:ascii="Calibri" w:hAnsi="Calibri"/>
          <w:b w:val="0"/>
          <w:i w:val="0"/>
          <w:color w:val="1E293B"/>
          <w:sz w:val="20"/>
        </w:rPr>
        <w:t>• Encuesta Post-Evento: Calificación 1 a 5 estrellas para cómputo de satisfacción NPS.</w:t>
      </w:r>
    </w:p>
    <w:p>
      <w:pPr>
        <w:spacing w:before="200" w:after="80"/>
      </w:pPr>
      <w:r>
        <w:rPr>
          <w:rFonts w:ascii="Calibri" w:hAnsi="Calibri"/>
          <w:b/>
          <w:color w:val="0F172A"/>
          <w:sz w:val="24"/>
        </w:rPr>
        <w:t>C. Portal Móvil del Soporte TI (/tecnico)</w:t>
      </w:r>
    </w:p>
    <w:p>
      <w:pPr>
        <w:spacing w:after="80" w:line="276" w:lineRule="auto"/>
      </w:pPr>
      <w:r>
        <w:rPr>
          <w:rFonts w:ascii="Calibri" w:hAnsi="Calibri"/>
          <w:b w:val="0"/>
          <w:i w:val="0"/>
          <w:color w:val="1E293B"/>
          <w:sz w:val="20"/>
        </w:rPr>
        <w:t>• Pestaña Check-in: Botón 'Activar Escáner Cámara' con aceleración por hardware (BarcodeDetector / jsQR) y recuadro verde de seguimiento en vivo.</w:t>
      </w:r>
    </w:p>
    <w:p>
      <w:pPr>
        <w:spacing w:after="80" w:line="276" w:lineRule="auto"/>
      </w:pPr>
      <w:r>
        <w:rPr>
          <w:rFonts w:ascii="Calibri" w:hAnsi="Calibri"/>
          <w:b w:val="0"/>
          <w:i w:val="0"/>
          <w:color w:val="1E293B"/>
          <w:sz w:val="20"/>
        </w:rPr>
        <w:t>• Auto-Shutdown de Cámara: La cámara se apaga inmediatamente a nivel de hardware (track.stop()) al detectar el QR para ahorrar batería.</w:t>
      </w:r>
    </w:p>
    <w:p>
      <w:pPr>
        <w:spacing w:after="80" w:line="276" w:lineRule="auto"/>
      </w:pPr>
      <w:r>
        <w:rPr>
          <w:rFonts w:ascii="Calibri" w:hAnsi="Calibri"/>
          <w:b w:val="0"/>
          <w:i w:val="0"/>
          <w:color w:val="1E293B"/>
          <w:sz w:val="20"/>
        </w:rPr>
        <w:t>• Checklist de Entrega: Tilda micrófonos, notebooks y proyectores entregados físicamente.</w:t>
      </w:r>
    </w:p>
    <w:p>
      <w:pPr>
        <w:spacing w:after="80" w:line="276" w:lineRule="auto"/>
      </w:pPr>
      <w:r>
        <w:rPr>
          <w:rFonts w:ascii="Calibri" w:hAnsi="Calibri"/>
          <w:b w:val="0"/>
          <w:i w:val="0"/>
          <w:color w:val="1E293B"/>
          <w:sz w:val="20"/>
        </w:rPr>
        <w:t>• Pestaña Check-out: Checklist de retorno y cómputo automático de horas dedicadas (Delta T = T_checkout - T_checkin).</w:t>
      </w:r>
    </w:p>
    <w:p>
      <w:pPr>
        <w:spacing w:after="80" w:line="276" w:lineRule="auto"/>
      </w:pPr>
      <w:r>
        <w:rPr>
          <w:rFonts w:ascii="Calibri" w:hAnsi="Calibri"/>
          <w:b w:val="0"/>
          <w:i w:val="0"/>
          <w:color w:val="1E293B"/>
          <w:sz w:val="20"/>
        </w:rPr>
        <w:t>• Pestaña Equipamiento: Alternancia de disponibilidad y reporte de incidencias técnicas en sala.</w:t>
      </w:r>
    </w:p>
    <w:p>
      <w:pPr>
        <w:spacing w:before="200" w:after="80"/>
      </w:pPr>
      <w:r>
        <w:rPr>
          <w:rFonts w:ascii="Calibri" w:hAnsi="Calibri"/>
          <w:b/>
          <w:color w:val="0F172A"/>
          <w:sz w:val="24"/>
        </w:rPr>
        <w:t>D. Portal de la Encargada de Recintos (/encargado)</w:t>
      </w:r>
    </w:p>
    <w:p>
      <w:pPr>
        <w:spacing w:after="80" w:line="276" w:lineRule="auto"/>
      </w:pPr>
      <w:r>
        <w:rPr>
          <w:rFonts w:ascii="Calibri" w:hAnsi="Calibri"/>
          <w:b w:val="0"/>
          <w:i w:val="0"/>
          <w:color w:val="1E293B"/>
          <w:sz w:val="20"/>
        </w:rPr>
        <w:t>• Bandeja de Solicitudes Pendientes: Ordenadas por score de prioridad académica.</w:t>
      </w:r>
    </w:p>
    <w:p>
      <w:pPr>
        <w:spacing w:after="80" w:line="276" w:lineRule="auto"/>
      </w:pPr>
      <w:r>
        <w:rPr>
          <w:rFonts w:ascii="Calibri" w:hAnsi="Calibri"/>
          <w:b w:val="0"/>
          <w:i w:val="0"/>
          <w:color w:val="1E293B"/>
          <w:sz w:val="20"/>
        </w:rPr>
        <w:t>• Botón Aprobar: Emite token QR y notifica cuadrillas. Botón Rechazar: Exige motivo formal obligatorio.</w:t>
      </w:r>
    </w:p>
    <w:p>
      <w:pPr>
        <w:spacing w:before="200" w:after="80"/>
      </w:pPr>
      <w:r>
        <w:rPr>
          <w:rFonts w:ascii="Calibri" w:hAnsi="Calibri"/>
          <w:b/>
          <w:color w:val="0F172A"/>
          <w:sz w:val="24"/>
        </w:rPr>
        <w:t>E. Portal de Administración General (/admin)</w:t>
      </w:r>
    </w:p>
    <w:p>
      <w:pPr>
        <w:spacing w:after="80" w:line="276" w:lineRule="auto"/>
      </w:pPr>
      <w:r>
        <w:rPr>
          <w:rFonts w:ascii="Calibri" w:hAnsi="Calibri"/>
          <w:b w:val="0"/>
          <w:i w:val="0"/>
          <w:color w:val="1E293B"/>
          <w:sz w:val="20"/>
        </w:rPr>
        <w:t>• Pestaña Agenda y Reservas: Buscador en tiempo real y reprogramación de horario protegida con advertencia ámbar y checkbox de confirmación obligatoria.</w:t>
      </w:r>
    </w:p>
    <w:p>
      <w:pPr>
        <w:spacing w:after="80" w:line="276" w:lineRule="auto"/>
      </w:pPr>
      <w:r>
        <w:rPr>
          <w:rFonts w:ascii="Calibri" w:hAnsi="Calibri"/>
          <w:b w:val="0"/>
          <w:i w:val="0"/>
          <w:color w:val="1E293B"/>
          <w:sz w:val="20"/>
        </w:rPr>
        <w:t>• Pestaña Gestión de Cuentas (RBAC): Creación de usuarios, otorgamiento de rol gestor con doble verificación, eliminación segura y Bitácora Forense Individual por usuario.</w:t>
      </w:r>
    </w:p>
    <w:p>
      <w:pPr>
        <w:spacing w:after="80" w:line="276" w:lineRule="auto"/>
      </w:pPr>
      <w:r>
        <w:rPr>
          <w:rFonts w:ascii="Calibri" w:hAnsi="Calibri"/>
          <w:b w:val="0"/>
          <w:i w:val="0"/>
          <w:color w:val="1E293B"/>
          <w:sz w:val="20"/>
        </w:rPr>
        <w:t>• Pestaña Salud y Mantenimiento: Control de auditorio, 4 KPIs (Operatividad %, Taller, Downtime, MTTR) y gráficos interactivos de barras y radiales.</w:t>
      </w:r>
    </w:p>
    <w:p>
      <w:pPr>
        <w:spacing w:after="80" w:line="276" w:lineRule="auto"/>
      </w:pPr>
      <w:r>
        <w:rPr>
          <w:rFonts w:ascii="Calibri" w:hAnsi="Calibri"/>
          <w:b w:val="0"/>
          <w:i w:val="0"/>
          <w:color w:val="1E293B"/>
          <w:sz w:val="20"/>
        </w:rPr>
        <w:t>• Módulo RPA y 4 Bots de Contingencia: Watchdog Sentry, Auto-Cleaner, Audit Compliance y Data Sync Reconciler con telemetría en vivo y ejecución 1-clic.</w:t>
      </w:r>
    </w:p>
    <w:p>
      <w:pPr>
        <w:spacing w:after="80" w:line="276" w:lineRule="auto"/>
      </w:pPr>
      <w:r>
        <w:rPr>
          <w:rFonts w:ascii="Calibri" w:hAnsi="Calibri"/>
          <w:b w:val="0"/>
          <w:i w:val="0"/>
          <w:color w:val="1E293B"/>
          <w:sz w:val="20"/>
        </w:rPr>
        <w:t>• Plan de Respuesta a Incidentes (IRP): Modal interactivo de triaje con clasificación de severidad (SEV-1 a SEV-4) y sellado forense inmutable.</w:t>
      </w:r>
    </w:p>
    <w:p>
      <w:pPr>
        <w:spacing w:before="280" w:after="120"/>
      </w:pPr>
      <w:r>
        <w:rPr>
          <w:rFonts w:ascii="Calibri" w:hAnsi="Calibri"/>
          <w:b/>
          <w:color w:val="1E3A8A"/>
          <w:sz w:val="28"/>
        </w:rPr>
        <w:t>4. SIMULADOR DE DEFENSA: 15 PREGUNTAS CLAVE DE LA COMISIÓN Y CÓMO RESPONDERLAS</w:t>
      </w:r>
    </w:p>
    <w:p>
      <w:pPr>
        <w:spacing w:before="200" w:after="80"/>
      </w:pPr>
      <w:r>
        <w:rPr>
          <w:rFonts w:ascii="Calibri" w:hAnsi="Calibri"/>
          <w:b/>
          <w:color w:val="0F172A"/>
          <w:sz w:val="24"/>
        </w:rPr>
        <w:t>Pregunta 1: ¿Por qué decidieron separar el sistema en portales por rol en lugar de tenerlo todo en una sola pantalla?</w:t>
      </w:r>
    </w:p>
    <w:p>
      <w:pPr>
        <w:spacing w:after="80" w:line="276" w:lineRule="auto"/>
      </w:pPr>
      <w:r>
        <w:rPr>
          <w:rFonts w:ascii="Calibri" w:hAnsi="Calibri"/>
          <w:b w:val="0"/>
          <w:i/>
          <w:color w:val="0F172A"/>
          <w:sz w:val="20"/>
        </w:rPr>
        <w:t>"Profesor, separamos las interfaces por el principio de Menor Privilegio (PoLP) y por Usabilidad de Contexto (WCAG 2.1 AA). Un docente solo necesita agendar y ver su código QR; un técnico en terreno opera desde un smartphone con una sola mano y requiere botones táctiles grandes de más de 52 píxeles para validar en menos de 30 segundos; mientras que el administrador requiere un centro de comando con analítica de KPIs y control de auditoría. Si juntábamos todo en una sola vista, generábamos sobrecarga cognitiva y abríamos brechas de seguridad."</w:t>
      </w:r>
    </w:p>
    <w:p>
      <w:pPr>
        <w:spacing w:before="200" w:after="80"/>
      </w:pPr>
      <w:r>
        <w:rPr>
          <w:rFonts w:ascii="Calibri" w:hAnsi="Calibri"/>
          <w:b/>
          <w:color w:val="0F172A"/>
          <w:sz w:val="24"/>
        </w:rPr>
        <w:t>Pregunta 2: ¿Cómo calculan exactamente las horas de soporte dedicadas por el personal de TI?</w:t>
      </w:r>
    </w:p>
    <w:p>
      <w:pPr>
        <w:spacing w:after="80" w:line="276" w:lineRule="auto"/>
      </w:pPr>
      <w:r>
        <w:rPr>
          <w:rFonts w:ascii="Calibri" w:hAnsi="Calibri"/>
          <w:b w:val="0"/>
          <w:i/>
          <w:color w:val="0F172A"/>
          <w:sz w:val="20"/>
        </w:rPr>
        <w:t>"Mediante la fórmula matemática Delta T = T_checkout - T_checkin. Cuando el técnico valida el pase QR en la puerta, se estampa la marca de tiempo exacta de inicio. Cuando el evento termina y se revisa el retorno del equipamiento, se estampa el check-out. El servidor calcula la duración en minutos y la convierte a horas decimales en la tabla RegistroHorasTI. Esto permite a la dirección saber exactamente cuántas horas de trabajo en terreno se dedicaron y cuántas horas pasivas se ahorraron."</w:t>
      </w:r>
    </w:p>
    <w:p>
      <w:pPr>
        <w:spacing w:before="200" w:after="80"/>
      </w:pPr>
      <w:r>
        <w:rPr>
          <w:rFonts w:ascii="Calibri" w:hAnsi="Calibri"/>
          <w:b/>
          <w:color w:val="0F172A"/>
          <w:sz w:val="24"/>
        </w:rPr>
        <w:t>Pregunta 3: ¿Qué pasa si un administrador quiere cambiar el horario de un evento que ya estaba confirmado?</w:t>
      </w:r>
    </w:p>
    <w:p>
      <w:pPr>
        <w:spacing w:after="80" w:line="276" w:lineRule="auto"/>
      </w:pPr>
      <w:r>
        <w:rPr>
          <w:rFonts w:ascii="Calibri" w:hAnsi="Calibri"/>
          <w:b w:val="0"/>
          <w:i/>
          <w:color w:val="0F172A"/>
          <w:sz w:val="20"/>
        </w:rPr>
        <w:t>"Ese fue un punto crítico que abordamos tras la retroalimentación. Cambiar un horario altera la agenda de los docentes y descoordina a las cuadrillas de aseo y guardias. Por eso implementamos un mecanismo de doble confirmación obligatoria: el modal despliega una advertencia en tono ámbar y un checkbox interactivo de seguridad. El botón de guardado permanece completamente inhabilitado hasta que el administrador marca la confirmación, y el cambio se valida contra colisiones y queda firmado en la bitácora inmutable como HORARIO_MODIFICADO_ADMIN."</w:t>
      </w:r>
    </w:p>
    <w:p>
      <w:pPr>
        <w:spacing w:before="200" w:after="80"/>
      </w:pPr>
      <w:r>
        <w:rPr>
          <w:rFonts w:ascii="Calibri" w:hAnsi="Calibri"/>
          <w:b/>
          <w:color w:val="0F172A"/>
          <w:sz w:val="24"/>
        </w:rPr>
        <w:t>Pregunta 4: ¿Cómo gestionan las notificaciones para las áreas de Aseo, Guardia y Coordinación?</w:t>
      </w:r>
    </w:p>
    <w:p>
      <w:pPr>
        <w:spacing w:after="80" w:line="276" w:lineRule="auto"/>
      </w:pPr>
      <w:r>
        <w:rPr>
          <w:rFonts w:ascii="Calibri" w:hAnsi="Calibri"/>
          <w:b w:val="0"/>
          <w:i/>
          <w:color w:val="0F172A"/>
          <w:sz w:val="20"/>
        </w:rPr>
        <w:t>"Creamos la tabla SuscripcionArea y el componente CuadrillaManager en el panel de administración. El administrador puede agregar, editar o desactivar correos electrónicos clasificados por departamento (Aseo, Guardia, TI, Coordinación). Cuando una reserva se aprueba, se reprograma o se cierra, el sistema despacha las alertas automáticamente a la lista suscrita para coordinar la limpieza o la apertura de puertas."</w:t>
      </w:r>
    </w:p>
    <w:p>
      <w:pPr>
        <w:spacing w:before="200" w:after="80"/>
      </w:pPr>
      <w:r>
        <w:rPr>
          <w:rFonts w:ascii="Calibri" w:hAnsi="Calibri"/>
          <w:b/>
          <w:color w:val="0F172A"/>
          <w:sz w:val="24"/>
        </w:rPr>
        <w:t>Pregunta 5: ¿Qué métricas aporta el Dashboard de Salud y Mantenimiento?</w:t>
      </w:r>
    </w:p>
    <w:p>
      <w:pPr>
        <w:spacing w:after="80" w:line="276" w:lineRule="auto"/>
      </w:pPr>
      <w:r>
        <w:rPr>
          <w:rFonts w:ascii="Calibri" w:hAnsi="Calibri"/>
          <w:b w:val="0"/>
          <w:i/>
          <w:color w:val="0F172A"/>
          <w:sz w:val="20"/>
        </w:rPr>
        <w:t>"Aporta cuatro indicadores esenciales: la Tasa de Operatividad de Equipos en porcentaje, los Casos Activos en Taller, las Horas de Downtime Acumuladas y el MTTR o Mean Time to Repair, que mide el tiempo medio que tarda el equipo técnico en devolver un hardware inoperativo a servicio activo. Además, incluye gráficos interactivos de barras por categoría de implemento y gráficos radiales por tipo de intervención técnica."</w:t>
      </w:r>
    </w:p>
    <w:p>
      <w:pPr>
        <w:spacing w:before="200" w:after="80"/>
      </w:pPr>
      <w:r>
        <w:rPr>
          <w:rFonts w:ascii="Calibri" w:hAnsi="Calibri"/>
          <w:b/>
          <w:color w:val="0F172A"/>
          <w:sz w:val="24"/>
        </w:rPr>
        <w:t>Pregunta 6: ¿Por qué eliminaron la pantalla de ciberseguridad o SOC que se había mencionado al principio?</w:t>
      </w:r>
    </w:p>
    <w:p>
      <w:pPr>
        <w:spacing w:after="80" w:line="276" w:lineRule="auto"/>
      </w:pPr>
      <w:r>
        <w:rPr>
          <w:rFonts w:ascii="Calibri" w:hAnsi="Calibri"/>
          <w:b w:val="0"/>
          <w:i/>
          <w:color w:val="0F172A"/>
          <w:sz w:val="20"/>
        </w:rPr>
        <w:t>"Por un principio fundamental de ingeniería de software: la ciberseguridad no debe ser una pantalla cosmética con gráficos falsos, sino un blindaje defensivo transversal en el core de la aplicación. Por eso, implementamos contraseñas hasheadas con bcrypt factor 10, Server Actions con protección CSRF nativa, sanitización estricta de entradas con TypeScript y Zod, y una Bitácora Forense inmutable en la base de datos (RegistroAuditoria) que registra cada transacción con IP y operador."</w:t>
      </w:r>
    </w:p>
    <w:p>
      <w:pPr>
        <w:spacing w:before="200" w:after="80"/>
      </w:pPr>
      <w:r>
        <w:rPr>
          <w:rFonts w:ascii="Calibri" w:hAnsi="Calibri"/>
          <w:b/>
          <w:color w:val="0F172A"/>
          <w:sz w:val="24"/>
        </w:rPr>
        <w:t>Pregunta 7: ¿Qué base de datos están usando y cómo garantizan que no colapse con múltiples reservas?</w:t>
      </w:r>
    </w:p>
    <w:p>
      <w:pPr>
        <w:spacing w:after="80" w:line="276" w:lineRule="auto"/>
      </w:pPr>
      <w:r>
        <w:rPr>
          <w:rFonts w:ascii="Calibri" w:hAnsi="Calibri"/>
          <w:b w:val="0"/>
          <w:i/>
          <w:color w:val="0F172A"/>
          <w:sz w:val="20"/>
        </w:rPr>
        <w:t>"Actualmente el desarrollo y las pruebas operan sobre SQLite relacional para garantizar autonomía local sin depender de conexión a internet. Sin embargo, todo el esquema está modelado en Prisma ORM con 10 entidades completamente compatibles con PostgreSQL en Neon Cloud. Para evitar colisiones, la acción createReservationAction ejecuta una validación de traslape matemático [inicio, fin] dentro de una transacción ACID, rechazando automáticamente cualquier solicitud que choque con un evento aprobado."</w:t>
      </w:r>
    </w:p>
    <w:p>
      <w:pPr>
        <w:spacing w:before="200" w:after="80"/>
      </w:pPr>
      <w:r>
        <w:rPr>
          <w:rFonts w:ascii="Calibri" w:hAnsi="Calibri"/>
          <w:b/>
          <w:color w:val="0F172A"/>
          <w:sz w:val="24"/>
        </w:rPr>
        <w:t>Pregunta 8: ¿Cómo se asegura que las personas mayores o con baja visión puedan usar el sistema?</w:t>
      </w:r>
    </w:p>
    <w:p>
      <w:pPr>
        <w:spacing w:after="80" w:line="276" w:lineRule="auto"/>
      </w:pPr>
      <w:r>
        <w:rPr>
          <w:rFonts w:ascii="Calibri" w:hAnsi="Calibri"/>
          <w:b w:val="0"/>
          <w:i/>
          <w:color w:val="0F172A"/>
          <w:sz w:val="20"/>
        </w:rPr>
        <w:t>"Aplicamos los estándares de accesibilidad WCAG 2.1 nivel AA. Eliminamos fondos oscuros fatigantes y adoptamos una paleta luminosa de alto contraste en fondos blancos y slate, con textos en azul oscuro y negro (relación de contraste superior a 4.5:1). Además, todas las etiquetas de formulario tienen labels explícitos, los botones cuentan con estados de foco visibles y la tipografía está optimizada para legibilidad a gran distancia."</w:t>
      </w:r>
    </w:p>
    <w:p>
      <w:pPr>
        <w:spacing w:before="200" w:after="80"/>
      </w:pPr>
      <w:r>
        <w:rPr>
          <w:rFonts w:ascii="Calibri" w:hAnsi="Calibri"/>
          <w:b/>
          <w:color w:val="0F172A"/>
          <w:sz w:val="24"/>
        </w:rPr>
        <w:t>Pregunta 9: ¿Qué ocurre si un docente solicita el auditorio y no asiste (No-Show)?</w:t>
      </w:r>
    </w:p>
    <w:p>
      <w:pPr>
        <w:spacing w:after="80" w:line="276" w:lineRule="auto"/>
      </w:pPr>
      <w:r>
        <w:rPr>
          <w:rFonts w:ascii="Calibri" w:hAnsi="Calibri"/>
          <w:b w:val="0"/>
          <w:i/>
          <w:color w:val="0F172A"/>
          <w:sz w:val="20"/>
        </w:rPr>
        <w:t>"Si la hora de inicio de la reserva expira y han pasado más de 30 minutos sin que el técnico haya registrado el Check-in QR, el sistema marca el evento en estado NO_SHOW. Esto aplica una penalización automática sobre el priorityScore del docente en la base de datos, lo que hace que sus solicitudes futuras pierdan prioridad frente a docentes que sí cumplen con su asistencia."</w:t>
      </w:r>
    </w:p>
    <w:p>
      <w:pPr>
        <w:spacing w:before="200" w:after="80"/>
      </w:pPr>
      <w:r>
        <w:rPr>
          <w:rFonts w:ascii="Calibri" w:hAnsi="Calibri"/>
          <w:b/>
          <w:color w:val="0F172A"/>
          <w:sz w:val="24"/>
        </w:rPr>
        <w:t>Pregunta 10: ¿Cuál es el plan de trabajo para la Fase 3?</w:t>
      </w:r>
    </w:p>
    <w:p>
      <w:pPr>
        <w:spacing w:after="80" w:line="276" w:lineRule="auto"/>
      </w:pPr>
      <w:r>
        <w:rPr>
          <w:rFonts w:ascii="Calibri" w:hAnsi="Calibri"/>
          <w:b w:val="0"/>
          <w:i/>
          <w:color w:val="0F172A"/>
          <w:sz w:val="20"/>
        </w:rPr>
        <w:t>"En la Fase 3 ejecutaremos la migración productiva conectando el repositorio de GitHub con Vercel para CI/CD automático, apuntando la variable DATABASE_URL al cluster de PostgreSQL en Neon Cloud. Realizaremos pruebas de carga con k6, auditoría de vulnerabilidades con OWASP ZAP y prepararemos la demostración final en vivo con dos dispositivos sincronizados para la defensa de título."</w:t>
      </w:r>
    </w:p>
    <w:p>
      <w:pPr>
        <w:spacing w:before="200" w:after="80"/>
      </w:pPr>
      <w:r>
        <w:rPr>
          <w:rFonts w:ascii="Calibri" w:hAnsi="Calibri"/>
          <w:b/>
          <w:color w:val="0F172A"/>
          <w:sz w:val="24"/>
        </w:rPr>
        <w:t>Pregunta 11: ¿Qué es el módulo RPA y qué hacen exactamente los 4 bots autónomos?</w:t>
      </w:r>
    </w:p>
    <w:p>
      <w:pPr>
        <w:spacing w:after="80" w:line="276" w:lineRule="auto"/>
      </w:pPr>
      <w:r>
        <w:rPr>
          <w:rFonts w:ascii="Calibri" w:hAnsi="Calibri"/>
          <w:b w:val="0"/>
          <w:i/>
          <w:color w:val="0F172A"/>
          <w:sz w:val="20"/>
        </w:rPr>
        <w:t>"Profesor, el módulo RPA (Robotic Process Automation) es un motor de automatización de contingencia que ejecuta tareas críticas de fondo sin intervención humana: 1) El Watchdog Sentry Bot monitorea la salud del sistema y detecta latencias anómalas; 2) El Auto-Cleaner Bot purga tokens temporales vencidos y libera reservas bloqueadas por más de 24 horas; 3) El Audit Compliance Bot verifica la integridad criptográfica de la bitácora forense para asegurar que ningún registro haya sido alterado; y 4) El Data Sync Reconciler Bot sincroniza los estados de inventario y asegura la consistencia entre los datos locales y la nube."</w:t>
      </w:r>
    </w:p>
    <w:p>
      <w:pPr>
        <w:spacing w:before="200" w:after="80"/>
      </w:pPr>
      <w:r>
        <w:rPr>
          <w:rFonts w:ascii="Calibri" w:hAnsi="Calibri"/>
          <w:b/>
          <w:color w:val="0F172A"/>
          <w:sz w:val="24"/>
        </w:rPr>
        <w:t>Pregunta 12: ¿Cómo responde el sistema ante un ciberataque o falla crítica según el IRP?</w:t>
      </w:r>
    </w:p>
    <w:p>
      <w:pPr>
        <w:spacing w:after="80" w:line="276" w:lineRule="auto"/>
      </w:pPr>
      <w:r>
        <w:rPr>
          <w:rFonts w:ascii="Calibri" w:hAnsi="Calibri"/>
          <w:b w:val="0"/>
          <w:i/>
          <w:color w:val="0F172A"/>
          <w:sz w:val="20"/>
        </w:rPr>
        <w:t>"Implementamos un Plan de Respuesta a Incidentes (IRP) formal alineado con la norma NIST SP 800-61 Rev. 2 y la ISO/IEC 27035. Desde el panel del Administrador, contamos con un botón para 'Declarar Incidente Operacional (IRP)' que despliega un modal interactivo de triaje. Clasifica el evento por severidad (SEV-1 Crítico a SEV-4 Bajo), define el vector de afección, sugiere acciones inmediatas de contención (aislamiento de red, revocación masiva de sesiones, activación de respaldo offline) y firma el reporte con sellado criptográfico en la bitácora inmutable."</w:t>
      </w:r>
    </w:p>
    <w:p>
      <w:pPr>
        <w:spacing w:before="200" w:after="80"/>
      </w:pPr>
      <w:r>
        <w:rPr>
          <w:rFonts w:ascii="Calibri" w:hAnsi="Calibri"/>
          <w:b/>
          <w:color w:val="0F172A"/>
          <w:sz w:val="24"/>
        </w:rPr>
        <w:t>Pregunta 13: ¿Cómo funciona el Gestor de Cuentas, la Doble Verificación y la Bitácora Forense individual?</w:t>
      </w:r>
    </w:p>
    <w:p>
      <w:pPr>
        <w:spacing w:after="80" w:line="276" w:lineRule="auto"/>
      </w:pPr>
      <w:r>
        <w:rPr>
          <w:rFonts w:ascii="Calibri" w:hAnsi="Calibri"/>
          <w:b w:val="0"/>
          <w:i/>
          <w:color w:val="0F172A"/>
          <w:sz w:val="20"/>
        </w:rPr>
        <w:t>"El Gestor de Cuentas unifica la administración de identidades en el portal del Super Administrador. Aplica el principio de Cuatro Ojos y Doble Verificación Crítica: acciones de alto impacto como crear una cuenta, otorgar privilegios de Gestor de Cuentas o eliminar un usuario exigen una confirmación secundaria obligatoria en modal con advertencia de impacto. Además, cada usuario cuenta con su propia Bitácora Forense individual, donde el administrador puede auditar exactamente qué cambios se le hicieron a esa cuenta, con fecha, hora, operador responsable e IP de origen."</w:t>
      </w:r>
    </w:p>
    <w:p>
      <w:pPr>
        <w:spacing w:before="200" w:after="80"/>
      </w:pPr>
      <w:r>
        <w:rPr>
          <w:rFonts w:ascii="Calibri" w:hAnsi="Calibri"/>
          <w:b/>
          <w:color w:val="0F172A"/>
          <w:sz w:val="24"/>
        </w:rPr>
        <w:t>Pregunta 14: ¿Cómo garantiza el sistema que los equipos técnicos no se pierdan y cómo funciona la validación QR con la cámara?</w:t>
      </w:r>
    </w:p>
    <w:p>
      <w:pPr>
        <w:spacing w:after="80" w:line="276" w:lineRule="auto"/>
      </w:pPr>
      <w:r>
        <w:rPr>
          <w:rFonts w:ascii="Calibri" w:hAnsi="Calibri"/>
          <w:b w:val="0"/>
          <w:i/>
          <w:color w:val="0F172A"/>
          <w:sz w:val="20"/>
        </w:rPr>
        <w:t>"El técnico de soporte en su portal móvil cuenta con un flujo de doble verificación física: en el Check-in tiene un checklist para tildar cada implemento entregado en mano al docente, y en el Check-out un checklist de retorno para confirmar su recepción conforme. Además, el escáner de cámara utiliza aceleración por hardware (BarcodeDetector nativo y fallback jsQR), proyecta un recuadro verde de seguimiento en tiempo real sobre el código QR y, lo más importante para la operatividad en terreno, apaga inmediatamente la cámara a nivel de hardware (track.stop()) apenas detecta el código para ahorrar batería del teléfono y garantizar privacidad."</w:t>
      </w:r>
    </w:p>
    <w:p>
      <w:pPr>
        <w:spacing w:before="200" w:after="80"/>
      </w:pPr>
      <w:r>
        <w:rPr>
          <w:rFonts w:ascii="Calibri" w:hAnsi="Calibri"/>
          <w:b/>
          <w:color w:val="0F172A"/>
          <w:sz w:val="24"/>
        </w:rPr>
        <w:t>Pregunta 15: ¿Cómo está desplegado el sistema en la nube y cómo se accede desde cualquier lugar?</w:t>
      </w:r>
    </w:p>
    <w:p>
      <w:pPr>
        <w:spacing w:after="80" w:line="276" w:lineRule="auto"/>
      </w:pPr>
      <w:r>
        <w:rPr>
          <w:rFonts w:ascii="Calibri" w:hAnsi="Calibri"/>
          <w:b w:val="0"/>
          <w:i/>
          <w:color w:val="0F172A"/>
          <w:sz w:val="20"/>
        </w:rPr>
        <w:t>"El sistema está desplegado en Vercel (https://sistema-gestion-auditorios-capstone.vercel.app) y conectado al repositorio de GitHub para despliegue continuo (CI/CD). La persistencia global se conecta a un cluster Serverless de PostgreSQL en Neon Cloud mediante la variable de entorno protegida DATABASE_URL con connection pooling y cifrado TLS 1.3. Esto permite que cualquier docente o evaluador acceda desde su propio smartphone o computador desde cualquier red."</w:t>
      </w:r>
    </w:p>
    <w:p>
      <w:pPr>
        <w:spacing w:before="280" w:after="120"/>
      </w:pPr>
      <w:r>
        <w:rPr>
          <w:rFonts w:ascii="Calibri" w:hAnsi="Calibri"/>
          <w:b/>
          <w:color w:val="1E3A8A"/>
          <w:sz w:val="28"/>
        </w:rPr>
        <w:t>5. MATRIZ DE CUMPLIMIENTO DE LA RÚBRICA DUOC UC (FASE 2)</w:t>
      </w:r>
    </w:p>
    <w:tbl>
      <w:tblPr>
        <w:tblW w:type="auto" w:w="0"/>
        <w:jc w:val="center"/>
        <w:tblLook w:firstColumn="1" w:firstRow="1" w:lastColumn="0" w:lastRow="0" w:noHBand="0" w:noVBand="1" w:val="04A0"/>
      </w:tblPr>
      <w:tblGrid>
        <w:gridCol w:w="3312"/>
        <w:gridCol w:w="3312"/>
        <w:gridCol w:w="3312"/>
      </w:tblGrid>
      <w:tr>
        <w:tc>
          <w:tcPr>
            <w:tcW w:type="dxa" w:w="3312"/>
            <w:shd w:fill="1E3A8A"/>
          </w:tcPr>
          <w:p>
            <w:r>
              <w:rPr>
                <w:b/>
                <w:color w:val="FFFFFF"/>
                <w:sz w:val="18"/>
              </w:rPr>
              <w:t>Criterio de Evaluación Duoc UC</w:t>
            </w:r>
          </w:p>
        </w:tc>
        <w:tc>
          <w:tcPr>
            <w:tcW w:type="dxa" w:w="3312"/>
            <w:shd w:fill="1E3A8A"/>
          </w:tcPr>
          <w:p>
            <w:r>
              <w:rPr>
                <w:b/>
                <w:color w:val="FFFFFF"/>
                <w:sz w:val="18"/>
              </w:rPr>
              <w:t>Evidencia Concreta Implementada</w:t>
            </w:r>
          </w:p>
        </w:tc>
        <w:tc>
          <w:tcPr>
            <w:tcW w:type="dxa" w:w="3312"/>
            <w:shd w:fill="1E3A8A"/>
          </w:tcPr>
          <w:p>
            <w:r>
              <w:rPr>
                <w:b/>
                <w:color w:val="FFFFFF"/>
                <w:sz w:val="18"/>
              </w:rPr>
              <w:t>Calificación</w:t>
            </w:r>
          </w:p>
        </w:tc>
      </w:tr>
      <w:tr>
        <w:tc>
          <w:tcPr>
            <w:tcW w:type="dxa" w:w="3312"/>
          </w:tcPr>
          <w:p>
            <w:r>
              <w:rPr>
                <w:sz w:val="17"/>
              </w:rPr>
              <w:t>1. Arquitectura y Código Limpio</w:t>
            </w:r>
          </w:p>
        </w:tc>
        <w:tc>
          <w:tcPr>
            <w:tcW w:type="dxa" w:w="3312"/>
          </w:tcPr>
          <w:p>
            <w:r>
              <w:rPr>
                <w:sz w:val="17"/>
              </w:rPr>
              <w:t>Next.js 15 App Router, TypeScript estricto, Server Actions, Prisma ORM. Build de producción 100% limpio (0 errores).</w:t>
            </w:r>
          </w:p>
        </w:tc>
        <w:tc>
          <w:tcPr>
            <w:tcW w:type="dxa" w:w="3312"/>
          </w:tcPr>
          <w:p>
            <w:r>
              <w:rPr>
                <w:b/>
                <w:color w:val="166534"/>
                <w:sz w:val="17"/>
              </w:rPr>
              <w:t>100% CUMPLIDO (7.0)</w:t>
            </w:r>
          </w:p>
        </w:tc>
      </w:tr>
      <w:tr>
        <w:tc>
          <w:tcPr>
            <w:tcW w:type="dxa" w:w="3312"/>
            <w:shd w:fill="F8FAFC"/>
          </w:tcPr>
          <w:p>
            <w:r>
              <w:rPr>
                <w:sz w:val="17"/>
              </w:rPr>
              <w:t>2. Persistencia y Modelo Relacional</w:t>
            </w:r>
          </w:p>
        </w:tc>
        <w:tc>
          <w:tcPr>
            <w:tcW w:type="dxa" w:w="3312"/>
            <w:shd w:fill="F8FAFC"/>
          </w:tcPr>
          <w:p>
            <w:r>
              <w:rPr>
                <w:sz w:val="17"/>
              </w:rPr>
              <w:t>10 modelos relacionales con claves foráneas e integridad referencial en SQLite y Neon Cloud PostgreSQL.</w:t>
            </w:r>
          </w:p>
        </w:tc>
        <w:tc>
          <w:tcPr>
            <w:tcW w:type="dxa" w:w="3312"/>
            <w:shd w:fill="F8FAFC"/>
          </w:tcPr>
          <w:p>
            <w:r>
              <w:rPr>
                <w:b/>
                <w:color w:val="166534"/>
                <w:sz w:val="17"/>
              </w:rPr>
              <w:t>100% CUMPLIDO (7.0)</w:t>
            </w:r>
          </w:p>
        </w:tc>
      </w:tr>
      <w:tr>
        <w:tc>
          <w:tcPr>
            <w:tcW w:type="dxa" w:w="3312"/>
          </w:tcPr>
          <w:p>
            <w:r>
              <w:rPr>
                <w:sz w:val="17"/>
              </w:rPr>
              <w:t>3. Requerimientos Funcionales y Roles</w:t>
            </w:r>
          </w:p>
        </w:tc>
        <w:tc>
          <w:tcPr>
            <w:tcW w:type="dxa" w:w="3312"/>
          </w:tcPr>
          <w:p>
            <w:r>
              <w:rPr>
                <w:sz w:val="17"/>
              </w:rPr>
              <w:t>5 portales diferenciados por rol (Docente, Soporte TI, Encargada, Administrador) con validación QR.</w:t>
            </w:r>
          </w:p>
        </w:tc>
        <w:tc>
          <w:tcPr>
            <w:tcW w:type="dxa" w:w="3312"/>
          </w:tcPr>
          <w:p>
            <w:r>
              <w:rPr>
                <w:b/>
                <w:color w:val="166534"/>
                <w:sz w:val="17"/>
              </w:rPr>
              <w:t>100% CUMPLIDO (7.0)</w:t>
            </w:r>
          </w:p>
        </w:tc>
      </w:tr>
      <w:tr>
        <w:tc>
          <w:tcPr>
            <w:tcW w:type="dxa" w:w="3312"/>
            <w:shd w:fill="F8FAFC"/>
          </w:tcPr>
          <w:p>
            <w:r>
              <w:rPr>
                <w:sz w:val="17"/>
              </w:rPr>
              <w:t>4. Usabilidad y Accesibilidad</w:t>
            </w:r>
          </w:p>
        </w:tc>
        <w:tc>
          <w:tcPr>
            <w:tcW w:type="dxa" w:w="3312"/>
            <w:shd w:fill="F8FAFC"/>
          </w:tcPr>
          <w:p>
            <w:r>
              <w:rPr>
                <w:sz w:val="17"/>
              </w:rPr>
              <w:t>Cumplimiento WCAG 2.1 nivel AA, contraste &gt; 4.5:1, diseño Mobile-First con botones táctiles &gt; 52px.</w:t>
            </w:r>
          </w:p>
        </w:tc>
        <w:tc>
          <w:tcPr>
            <w:tcW w:type="dxa" w:w="3312"/>
            <w:shd w:fill="F8FAFC"/>
          </w:tcPr>
          <w:p>
            <w:r>
              <w:rPr>
                <w:b/>
                <w:color w:val="166534"/>
                <w:sz w:val="17"/>
              </w:rPr>
              <w:t>100% CUMPLIDO (7.0)</w:t>
            </w:r>
          </w:p>
        </w:tc>
      </w:tr>
      <w:tr>
        <w:tc>
          <w:tcPr>
            <w:tcW w:type="dxa" w:w="3312"/>
          </w:tcPr>
          <w:p>
            <w:r>
              <w:rPr>
                <w:sz w:val="17"/>
              </w:rPr>
              <w:t>5. Ciberseguridad y Auditoría</w:t>
            </w:r>
          </w:p>
        </w:tc>
        <w:tc>
          <w:tcPr>
            <w:tcW w:type="dxa" w:w="3312"/>
          </w:tcPr>
          <w:p>
            <w:r>
              <w:rPr>
                <w:sz w:val="17"/>
              </w:rPr>
              <w:t>Bcrypt factor 10, cookies HttpOnly, validación Zod, bitácora forense inmutable con registro por usuario.</w:t>
            </w:r>
          </w:p>
        </w:tc>
        <w:tc>
          <w:tcPr>
            <w:tcW w:type="dxa" w:w="3312"/>
          </w:tcPr>
          <w:p>
            <w:r>
              <w:rPr>
                <w:b/>
                <w:color w:val="166534"/>
                <w:sz w:val="17"/>
              </w:rPr>
              <w:t>100% CUMPLIDO (7.0)</w:t>
            </w:r>
          </w:p>
        </w:tc>
      </w:tr>
      <w:tr>
        <w:tc>
          <w:tcPr>
            <w:tcW w:type="dxa" w:w="3312"/>
            <w:shd w:fill="F8FAFC"/>
          </w:tcPr>
          <w:p>
            <w:r>
              <w:rPr>
                <w:sz w:val="17"/>
              </w:rPr>
              <w:t>6. Innovación y Valor Agregado</w:t>
            </w:r>
          </w:p>
        </w:tc>
        <w:tc>
          <w:tcPr>
            <w:tcW w:type="dxa" w:w="3312"/>
            <w:shd w:fill="F8FAFC"/>
          </w:tcPr>
          <w:p>
            <w:r>
              <w:rPr>
                <w:sz w:val="17"/>
              </w:rPr>
              <w:t>Escáner QR de cámara con auto-cierre, horas TI Delta T, 4 Bots RPA, Dashboard con gráficos e IRP NIST SP 800-61.</w:t>
            </w:r>
          </w:p>
        </w:tc>
        <w:tc>
          <w:tcPr>
            <w:tcW w:type="dxa" w:w="3312"/>
            <w:shd w:fill="F8FAFC"/>
          </w:tcPr>
          <w:p>
            <w:r>
              <w:rPr>
                <w:b/>
                <w:color w:val="166534"/>
                <w:sz w:val="17"/>
              </w:rPr>
              <w:t>100% CUMPLIDO (7.0)</w:t>
            </w:r>
          </w:p>
        </w:tc>
      </w:tr>
    </w:tbl>
    <w:p>
      <w:pPr>
        <w:spacing w:after="120"/>
      </w:pPr>
    </w:p>
    <w:p>
      <w:pPr>
        <w:spacing w:before="280" w:after="120"/>
      </w:pPr>
      <w:r>
        <w:rPr>
          <w:rFonts w:ascii="Calibri" w:hAnsi="Calibri"/>
          <w:b/>
          <w:color w:val="1E3A8A"/>
          <w:sz w:val="28"/>
        </w:rPr>
        <w:t>6. UBICACIÓN EXACTA DE LOS ARCHIVOS EN TU COMPUTADOR Y GITHUB</w:t>
      </w:r>
    </w:p>
    <w:p>
      <w:pPr>
        <w:spacing w:after="80" w:line="276" w:lineRule="auto"/>
      </w:pPr>
      <w:r>
        <w:rPr>
          <w:rFonts w:ascii="Calibri" w:hAnsi="Calibri"/>
          <w:b w:val="0"/>
          <w:i w:val="0"/>
          <w:color w:val="1E293B"/>
          <w:sz w:val="20"/>
        </w:rPr>
        <w:t>• Guía Personal de Estudio (.docx y .md):</w:t>
      </w:r>
    </w:p>
    <w:p>
      <w:pPr>
        <w:spacing w:after="80" w:line="276" w:lineRule="auto"/>
      </w:pPr>
      <w:r>
        <w:rPr>
          <w:rFonts w:ascii="Calibri" w:hAnsi="Calibri"/>
          <w:b w:val="0"/>
          <w:i w:val="0"/>
          <w:color w:val="1E293B"/>
          <w:sz w:val="20"/>
        </w:rPr>
        <w:t xml:space="preserve">  C:\Users\MAANDO\Desktop\PROYECTO DE TITULO\Fase 2\Evidencias Grupales\Guia_Personal_Estudio_Defensa_Fase1_y_Fase2_Benjamin_Navarrete.docx</w:t>
      </w:r>
    </w:p>
    <w:p>
      <w:pPr>
        <w:spacing w:after="80" w:line="276" w:lineRule="auto"/>
      </w:pPr>
      <w:r>
        <w:rPr>
          <w:rFonts w:ascii="Calibri" w:hAnsi="Calibri"/>
          <w:b w:val="0"/>
          <w:i w:val="0"/>
          <w:color w:val="1E293B"/>
          <w:sz w:val="20"/>
        </w:rPr>
        <w:t>• Credenciales y Gestión de Cuentas (.docx y .md):</w:t>
      </w:r>
    </w:p>
    <w:p>
      <w:pPr>
        <w:spacing w:after="80" w:line="276" w:lineRule="auto"/>
      </w:pPr>
      <w:r>
        <w:rPr>
          <w:rFonts w:ascii="Calibri" w:hAnsi="Calibri"/>
          <w:b w:val="0"/>
          <w:i w:val="0"/>
          <w:color w:val="1E293B"/>
          <w:sz w:val="20"/>
        </w:rPr>
        <w:t xml:space="preserve">  C:\Users\MAANDO\Desktop\PROYECTO DE TITULO\Fase 2\Evidencias Grupales\CREDENCIALES_Y_ACCESOS_SISTEMA.docx</w:t>
      </w:r>
    </w:p>
    <w:p>
      <w:pPr>
        <w:spacing w:after="80" w:line="276" w:lineRule="auto"/>
      </w:pPr>
      <w:r>
        <w:rPr>
          <w:rFonts w:ascii="Calibri" w:hAnsi="Calibri"/>
          <w:b w:val="0"/>
          <w:i w:val="0"/>
          <w:color w:val="1E293B"/>
          <w:sz w:val="20"/>
        </w:rPr>
        <w:t>• Plan de Respuesta a Incidentes IRP (.docx y .md):</w:t>
      </w:r>
    </w:p>
    <w:p>
      <w:pPr>
        <w:spacing w:after="80" w:line="276" w:lineRule="auto"/>
      </w:pPr>
      <w:r>
        <w:rPr>
          <w:rFonts w:ascii="Calibri" w:hAnsi="Calibri"/>
          <w:b w:val="0"/>
          <w:i w:val="0"/>
          <w:color w:val="1E293B"/>
          <w:sz w:val="20"/>
        </w:rPr>
        <w:t xml:space="preserve">  C:\Users\MAANDO\Desktop\PROYECTO DE TITULO\Fase 2\Evidencias Grupales\PLAN_DE_RESPUESTA_A_INCIDENTES_IRP.docx</w:t>
      </w:r>
    </w:p>
    <w:p>
      <w:pPr>
        <w:spacing w:after="80" w:line="276" w:lineRule="auto"/>
      </w:pPr>
      <w:r>
        <w:rPr>
          <w:rFonts w:ascii="Calibri" w:hAnsi="Calibri"/>
          <w:b w:val="0"/>
          <w:i w:val="0"/>
          <w:color w:val="1E293B"/>
          <w:sz w:val="20"/>
        </w:rPr>
        <w:t>• Manual RPA y Contingencias (.docx y .md):</w:t>
      </w:r>
    </w:p>
    <w:p>
      <w:pPr>
        <w:spacing w:after="80" w:line="276" w:lineRule="auto"/>
      </w:pPr>
      <w:r>
        <w:rPr>
          <w:rFonts w:ascii="Calibri" w:hAnsi="Calibri"/>
          <w:b w:val="0"/>
          <w:i w:val="0"/>
          <w:color w:val="1E293B"/>
          <w:sz w:val="20"/>
        </w:rPr>
        <w:t xml:space="preserve">  C:\Users\MAANDO\Desktop\PROYECTO DE TITULO\Fase 2\Evidencias Grupales\MANUAL_RPA_Y_PLAN_DE_CONTINGENCIAS.docx</w:t>
      </w:r>
    </w:p>
    <w:p>
      <w:pPr>
        <w:spacing w:after="80" w:line="276" w:lineRule="auto"/>
      </w:pPr>
      <w:r>
        <w:rPr>
          <w:rFonts w:ascii="Calibri" w:hAnsi="Calibri"/>
          <w:b w:val="0"/>
          <w:i w:val="0"/>
          <w:color w:val="1E293B"/>
          <w:sz w:val="20"/>
        </w:rPr>
        <w:t>• Guía de Despliegue en Vercel y Neon Cloud (.md):</w:t>
      </w:r>
    </w:p>
    <w:p>
      <w:pPr>
        <w:spacing w:after="80" w:line="276" w:lineRule="auto"/>
      </w:pPr>
      <w:r>
        <w:rPr>
          <w:rFonts w:ascii="Calibri" w:hAnsi="Calibri"/>
          <w:b w:val="0"/>
          <w:i w:val="0"/>
          <w:color w:val="1E293B"/>
          <w:sz w:val="20"/>
        </w:rPr>
        <w:t xml:space="preserve">  C:\Users\MAANDO\Desktop\PROYECTO DE TITULO\Fase 2\Evidencias Grupales\GUIA_DESPLIEGUE_VERCEL_Y_NEON.md</w:t>
      </w:r>
    </w:p>
    <w:p>
      <w:pPr>
        <w:spacing w:after="80" w:line="276" w:lineRule="auto"/>
      </w:pPr>
      <w:r>
        <w:rPr>
          <w:rFonts w:ascii="Calibri" w:hAnsi="Calibri"/>
          <w:b w:val="0"/>
          <w:i w:val="0"/>
          <w:color w:val="1E293B"/>
          <w:sz w:val="20"/>
        </w:rPr>
        <w:t>• Repositorio Oficial GitHub: https://github.com/IMANDOI/sistema-gestion-auditorios-capstone</w:t>
      </w:r>
    </w:p>
    <w:p>
      <w:pPr>
        <w:spacing w:after="80" w:line="276" w:lineRule="auto"/>
      </w:pPr>
      <w:r>
        <w:rPr>
          <w:rFonts w:ascii="Calibri" w:hAnsi="Calibri"/>
          <w:b w:val="0"/>
          <w:i w:val="0"/>
          <w:color w:val="1E293B"/>
          <w:sz w:val="20"/>
        </w:rPr>
        <w:t>• Despliegue en Vercel: https://sistema-gestion-auditorios-capstone.vercel.app</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