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9.png" ContentType="image/png"/>
  <Override PartName="/word/media/rId41.png" ContentType="image/png"/>
  <Override PartName="/word/media/rId45.png" ContentType="image/png"/>
  <Override PartName="/word/media/rId57.png" ContentType="image/png"/>
  <Override PartName="/word/media/rId61.png" ContentType="image/png"/>
  <Override PartName="/word/media/rId69.png" ContentType="image/png"/>
  <Override PartName="/word/media/rId53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Re-opening</w:t>
      </w:r>
      <w:r>
        <w:t xml:space="preserve"> </w:t>
      </w:r>
      <w:r>
        <w:t xml:space="preserve">a</w:t>
      </w:r>
      <w:r>
        <w:t xml:space="preserve"> </w:t>
      </w:r>
      <w:r>
        <w:t xml:space="preserve">closed</w:t>
      </w:r>
      <w:r>
        <w:t xml:space="preserve"> </w:t>
      </w:r>
      <w:r>
        <w:t xml:space="preserve">abalone</w:t>
      </w:r>
      <w:r>
        <w:t xml:space="preserve"> </w:t>
      </w:r>
      <w:r>
        <w:t xml:space="preserve">fishery:</w:t>
      </w:r>
      <w:r>
        <w:t xml:space="preserve"> </w:t>
      </w:r>
      <w:r>
        <w:t xml:space="preserve">East</w:t>
      </w:r>
      <w:r>
        <w:t xml:space="preserve"> </w:t>
      </w:r>
      <w:r>
        <w:t xml:space="preserve">Coast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Jaime</w:t>
      </w:r>
      <w:r>
        <w:t xml:space="preserve"> </w:t>
      </w:r>
      <w:r>
        <w:t xml:space="preserve">McAllister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on</w:t>
      </w:r>
      <w:r>
        <w:t xml:space="preserve"> </w:t>
      </w:r>
      <w:r>
        <w:t xml:space="preserve">01</w:t>
      </w:r>
      <w:r>
        <w:t xml:space="preserve"> </w:t>
      </w:r>
      <w:r>
        <w:t xml:space="preserve">October,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The following re-opening criteria have been extracted from various</w:t>
      </w:r>
      <w:r>
        <w:t xml:space="preserve"> </w:t>
      </w:r>
      <w:r>
        <w:t xml:space="preserve">documents pertaining to the closure of the Tasmanian East coast</w:t>
      </w:r>
      <w:r>
        <w:t xml:space="preserve"> </w:t>
      </w:r>
      <w:r>
        <w:t xml:space="preserve">commercial Abalone Fishery: From: IMAS East coast blacklip abalone</w:t>
      </w:r>
      <w:r>
        <w:t xml:space="preserve"> </w:t>
      </w:r>
      <w:r>
        <w:t xml:space="preserve">recovery plan 2020 Version 1.docx</w:t>
      </w:r>
    </w:p>
    <w:p>
      <w:pPr>
        <w:pStyle w:val="BodyText"/>
      </w:pPr>
      <w:r>
        <w:rPr>
          <w:bCs/>
          <w:b/>
        </w:rPr>
        <w:t xml:space="preserve">Density</w:t>
      </w:r>
    </w:p>
    <w:p>
      <w:pPr>
        <w:numPr>
          <w:ilvl w:val="0"/>
          <w:numId w:val="1001"/>
        </w:numPr>
        <w:pStyle w:val="Compact"/>
      </w:pPr>
      <w:r>
        <w:t xml:space="preserve">Abalone populations match or exceed the baseline abalone/10 minutes</w:t>
      </w:r>
      <w:r>
        <w:t xml:space="preserve"> </w:t>
      </w:r>
      <w:r>
        <w:t xml:space="preserve">levels observed in the early 2000s baseline.</w:t>
      </w:r>
    </w:p>
    <w:p>
      <w:pPr>
        <w:pStyle w:val="FirstParagraph"/>
      </w:pPr>
      <w:r>
        <w:rPr>
          <w:bCs/>
          <w:b/>
        </w:rPr>
        <w:t xml:space="preserve">Size Structure</w:t>
      </w:r>
    </w:p>
    <w:p>
      <w:pPr>
        <w:numPr>
          <w:ilvl w:val="0"/>
          <w:numId w:val="1002"/>
        </w:numPr>
      </w:pPr>
      <w:r>
        <w:t xml:space="preserve">The population is represented by substantial numbers in at least</w:t>
      </w:r>
      <w:r>
        <w:t xml:space="preserve"> </w:t>
      </w:r>
      <w:r>
        <w:t xml:space="preserve">four age classes above the legal minimum length.</w:t>
      </w:r>
    </w:p>
    <w:p>
      <w:pPr>
        <w:numPr>
          <w:ilvl w:val="0"/>
          <w:numId w:val="1002"/>
        </w:numPr>
      </w:pPr>
      <w:r>
        <w:t xml:space="preserve">The mean size exceeds the median of the mean size/site observed in</w:t>
      </w:r>
      <w:r>
        <w:t xml:space="preserve"> </w:t>
      </w:r>
      <w:r>
        <w:t xml:space="preserve">the early 2000s baseline.</w:t>
      </w:r>
    </w:p>
    <w:p>
      <w:pPr>
        <w:pStyle w:val="FirstParagraph"/>
      </w:pPr>
      <w:r>
        <w:rPr>
          <w:bCs/>
          <w:b/>
        </w:rPr>
        <w:t xml:space="preserve">Distribution</w:t>
      </w:r>
    </w:p>
    <w:p>
      <w:pPr>
        <w:numPr>
          <w:ilvl w:val="0"/>
          <w:numId w:val="1003"/>
        </w:numPr>
        <w:pStyle w:val="Compact"/>
      </w:pPr>
      <w:r>
        <w:t xml:space="preserve">and patchiness Abalone populations meet density and size structure</w:t>
      </w:r>
      <w:r>
        <w:t xml:space="preserve"> </w:t>
      </w:r>
      <w:r>
        <w:t xml:space="preserve">criteria in a high proportion (&gt;75%) of survey sites.</w:t>
      </w:r>
    </w:p>
    <w:bookmarkEnd w:id="20"/>
    <w:bookmarkStart w:id="74" w:name="Xdcb8c4bb0d7d01e0058e04867e2af732ca1ccfd"/>
    <w:p>
      <w:pPr>
        <w:pStyle w:val="Heading1"/>
      </w:pPr>
      <w:r>
        <w:t xml:space="preserve">Re-opening after closure: DRAFT Tasmanian Abalone Fishery Sustainable Harvest Strategy 2024</w:t>
      </w:r>
    </w:p>
    <w:p>
      <w:pPr>
        <w:pStyle w:val="FirstParagraph"/>
      </w:pPr>
      <w:r>
        <w:t xml:space="preserve">If a fishery closure occurs, the closure will be for a minimum of eight</w:t>
      </w:r>
      <w:r>
        <w:t xml:space="preserve"> </w:t>
      </w:r>
      <w:r>
        <w:t xml:space="preserve">years in the absence of fisheries independent data, or for a period less</w:t>
      </w:r>
      <w:r>
        <w:t xml:space="preserve"> </w:t>
      </w:r>
      <w:r>
        <w:t xml:space="preserve">than eight years, if fisheries independent data and associated</w:t>
      </w:r>
      <w:r>
        <w:t xml:space="preserve"> </w:t>
      </w:r>
      <w:r>
        <w:t xml:space="preserve">scientific advice supports re-opening. Criteria considered in re-opening</w:t>
      </w:r>
      <w:r>
        <w:t xml:space="preserve"> </w:t>
      </w:r>
      <w:r>
        <w:t xml:space="preserve">a closed fishery includes:</w:t>
      </w:r>
    </w:p>
    <w:p>
      <w:pPr>
        <w:pStyle w:val="BodyText"/>
      </w:pPr>
      <w:r>
        <w:t xml:space="preserve">Population density</w:t>
      </w:r>
    </w:p>
    <w:p>
      <w:pPr>
        <w:numPr>
          <w:ilvl w:val="0"/>
          <w:numId w:val="1004"/>
        </w:numPr>
        <w:pStyle w:val="Compact"/>
      </w:pPr>
      <w:r>
        <w:t xml:space="preserve">Evidence of abundance densities above a minimum threshold.</w:t>
      </w:r>
    </w:p>
    <w:p>
      <w:pPr>
        <w:pStyle w:val="FirstParagraph"/>
      </w:pPr>
      <w:r>
        <w:t xml:space="preserve">Size structure</w:t>
      </w:r>
    </w:p>
    <w:p>
      <w:pPr>
        <w:numPr>
          <w:ilvl w:val="0"/>
          <w:numId w:val="1005"/>
        </w:numPr>
        <w:pStyle w:val="Compact"/>
      </w:pPr>
      <w:r>
        <w:t xml:space="preserve">Evidence of multiple age classes above the LML and the median of the</w:t>
      </w:r>
      <w:r>
        <w:t xml:space="preserve"> </w:t>
      </w:r>
      <w:r>
        <w:t xml:space="preserve">mean size per site above that observed in the baseline.</w:t>
      </w:r>
    </w:p>
    <w:p>
      <w:pPr>
        <w:pStyle w:val="FirstParagraph"/>
      </w:pPr>
      <w:r>
        <w:t xml:space="preserve">Distribution and patchiness</w:t>
      </w:r>
    </w:p>
    <w:p>
      <w:pPr>
        <w:numPr>
          <w:ilvl w:val="0"/>
          <w:numId w:val="1006"/>
        </w:numPr>
        <w:pStyle w:val="Compact"/>
      </w:pPr>
      <w:r>
        <w:t xml:space="preserve">Evidence of SAU-wide recovery. Abalone populations meet density and</w:t>
      </w:r>
      <w:r>
        <w:t xml:space="preserve"> </w:t>
      </w:r>
      <w:r>
        <w:t xml:space="preserve">size structure criteria in a high proportion of survey sites (i.e.</w:t>
      </w:r>
      <w:r>
        <w:t xml:space="preserve"> </w:t>
      </w:r>
      <w:r>
        <w:t xml:space="preserve">not driven by a small number of sites showing high abundance).</w:t>
      </w:r>
    </w:p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year-tab1-flex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Site Percenatge Change: Summary table of sites surveyed in sample year and percentage change in abundance of legal and sub-legal abalone between sample year (2024) and previous year (2023).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  <w:gridCol w:w="1080"/>
              <w:gridCol w:w="1080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BlockNo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Sites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&lt;140 mm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&gt;140 mm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41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-3.0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15.0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-48.1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-26.2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15.8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-8.6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24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58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-4.2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-29.7</w:t>
                  </w:r>
                </w:p>
              </w:tc>
            </w:tr>
          </w:tbl>
          <w:bookmarkEnd w:id="21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2" w:name="tbl-year-tab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Reference Site Percenatge Change: Summary table of sites surveyed in sample year and percentage change in abundance of legal and sub-legal abalone between sample year (2024) and previous year (2023).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  <w:gridCol w:w="1080"/>
              <w:gridCol w:w="1080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BlockNo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Sites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&lt;140 mm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&gt;140 mm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32.6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46.4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-7.8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-32.8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26.9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6.8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24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13.4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-24.5</w:t>
                  </w:r>
                </w:p>
              </w:tc>
            </w:tr>
          </w:tbl>
          <w:bookmarkEnd w:id="22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tbl-year-tab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Site abundance: Summary of sites surveyed and average count by Block. Sites = number of sites surveyed; Average count = average number of abalone &lt;140 mm or &gt;140 mm sounted within 10 minutes between paired divers at each site within a block.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  <w:gridCol w:w="1080"/>
              <w:gridCol w:w="1080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Blockno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Sites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Average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count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&lt;140mm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Average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count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&gt;140mm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41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23.9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28.9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21.6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31.6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29.5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24.8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24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58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34.2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29.8</w:t>
                  </w:r>
                </w:p>
              </w:tc>
            </w:tr>
          </w:tbl>
          <w:bookmarkEnd w:id="23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tbl-year-tab4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4: Summary of sites surveyed by Block in 2024. Sites = number of sites surveyed; Days = number of sampling days; Sites_Day = average number of sites surveyed for each sampling day.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  <w:gridCol w:w="1080"/>
              <w:gridCol w:w="1080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Blockno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Sites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Days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Sites_Day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41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13.7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11.6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6.8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11.6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Total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191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</w:tbl>
          <w:bookmarkEnd w:id="24"/>
        </w:tc>
      </w:tr>
    </w:tbl>
    <w:p>
      <w:pPr>
        <w:pStyle w:val="BodyText"/>
      </w:pPr>
      <w:r>
        <w:t xml:space="preserve">Need to explain what average count measn .. is it the average acount between divers??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Count-site-block"/>
          <w:p>
            <w:pPr>
              <w:pStyle w:val="Compact"/>
              <w:jc w:val="center"/>
            </w:pPr>
            <w:r>
              <w:drawing>
                <wp:inline>
                  <wp:extent cx="5727700" cy="57277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EastCoast_re-Opening_files/figure-docx/fig-Count-site-block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72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Boxplot comparing the of the number of sub-legal (&lt;140 mm) and legal (&gt;140 mm) abalone counted within 10 minutes between paired divers at each site within a block between years. Red circle indicates the overall average between paired divers for the corresponding size class within the block. Number of sites sampled given above each boxplot.</w:t>
            </w:r>
          </w:p>
          <w:bookmarkEnd w:id="28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2" w:name="fig-Count-site-lineplot"/>
          <w:p>
            <w:pPr>
              <w:pStyle w:val="Compact"/>
              <w:jc w:val="center"/>
            </w:pPr>
            <w:r>
              <w:drawing>
                <wp:inline>
                  <wp:extent cx="5727700" cy="57277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EastCoast_re-Opening_files/figure-docx/fig-Count-site-lineplo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72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Average count of all legal (&gt;140 mm) and sub-legal (&lt;140 mm) abalone within 10 minutes between paired divers at each site within each block by year.</w:t>
            </w:r>
          </w:p>
          <w:bookmarkEnd w:id="32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abs-change-2020"/>
          <w:p>
            <w:pPr>
              <w:pStyle w:val="Compact"/>
              <w:jc w:val="center"/>
            </w:pPr>
            <w:r>
              <w:drawing>
                <wp:inline>
                  <wp:extent cx="5727700" cy="57277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EastCoast_re-Opening_files/figure-docx/fig-abs-change-2020-1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72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Asolute change in average abundance of all legal (&gt;140 mm) and sub-legal (&lt;140 mm) abalone counted within 10 minutes between paired divers at each site within each block and year to 2020 baselines and the hypothetical percentage changes.</w:t>
            </w:r>
          </w:p>
          <w:bookmarkEnd w:id="36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ref-abs-change-2020"/>
          <w:p>
            <w:pPr>
              <w:pStyle w:val="Compact"/>
              <w:jc w:val="center"/>
            </w:pPr>
            <w:r>
              <w:drawing>
                <wp:inline>
                  <wp:extent cx="5727700" cy="57277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EastCoast_re-Opening_files/figure-docx/fig-ref-abs-change-2020-1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72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Asolute change in average abundance of all legal (&gt;140 mm) and sub-legal (&lt;140 mm) abalone counted within 10 minutes between paired divers at each reference site within each block and year to 2020 baselines and the hypothetical percentage changes.</w:t>
            </w:r>
          </w:p>
          <w:bookmarkEnd w:id="40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fig-rel-hypo-2020"/>
          <w:p>
            <w:pPr>
              <w:pStyle w:val="Compact"/>
              <w:jc w:val="center"/>
            </w:pPr>
            <w:r>
              <w:drawing>
                <wp:inline>
                  <wp:extent cx="5727700" cy="57277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EastCoast_re-Opening_files/figure-docx/fig-rel-hypo-2020-1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72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Relative change in average abundance of all legal (&gt;140 mm) and sub-legal (&lt;140 mm) abalone counted within 10 minutes between paired divers at each site within each block and year to 2020 baselines and the hypothetical percentage changes.</w:t>
            </w:r>
          </w:p>
          <w:bookmarkEnd w:id="44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8" w:name="fig-rel-ref-hypo-2020"/>
          <w:p>
            <w:pPr>
              <w:pStyle w:val="Compact"/>
              <w:jc w:val="center"/>
            </w:pPr>
            <w:r>
              <w:drawing>
                <wp:inline>
                  <wp:extent cx="5727700" cy="57277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EastCoast_re-Opening_files/figure-docx/fig-rel-ref-hypo-2020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72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6: Relative change in average abundance of all legal (&gt;140 mm) and sub-legal (&lt;140 mm) abalone counted within 10 minutes between paired divers at each reference site within each block and year to 2020 baselines and the hypothetical percentage changes.</w:t>
            </w:r>
          </w:p>
          <w:bookmarkEnd w:id="48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2" w:name="fig-ref-site-2020"/>
          <w:p>
            <w:pPr>
              <w:pStyle w:val="Compact"/>
              <w:jc w:val="center"/>
            </w:pPr>
            <w:r>
              <w:drawing>
                <wp:inline>
                  <wp:extent cx="5727700" cy="57277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EastCoast_re-Opening_files/figure-docx/fig-ref-site-2020-1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72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7: Relative change in average abundance of all sub-legal (&lt;140 mm) abalone counted within 10 minutes between paired divers at each reference site during 2024 within each block to 2020 baselines. Green = two years of consecutive increases above 2020 baseline (current and previous year); Red = two consecutive years of decline (current and previous year) or current year decline but previous year increase or no change; Amber = current year increase or no change but previous year decline.</w:t>
            </w:r>
          </w:p>
          <w:bookmarkEnd w:id="52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6" w:name="fig-size-perc-block-year"/>
          <w:p>
            <w:pPr>
              <w:pStyle w:val="Compact"/>
              <w:jc w:val="center"/>
            </w:pPr>
            <w:r>
              <w:drawing>
                <wp:inline>
                  <wp:extent cx="5727700" cy="57277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EastCoast_re-Opening_files/figure-docx/fig-size-perc-block-year-1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72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8: Percent frequency plot of size classes by year and block.</w:t>
            </w:r>
          </w:p>
          <w:bookmarkEnd w:id="56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0" w:name="fig-size-abs-block-year"/>
          <w:p>
            <w:pPr>
              <w:pStyle w:val="Compact"/>
              <w:jc w:val="center"/>
            </w:pPr>
            <w:r>
              <w:drawing>
                <wp:inline>
                  <wp:extent cx="5727700" cy="57277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EastCoast_re-Opening_files/figure-docx/fig-size-abs-block-year-1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72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9: Absolute frequency plot of size classes by year and block.</w:t>
            </w:r>
          </w:p>
          <w:bookmarkEnd w:id="60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4" w:name="fig-size-abs-block-year-smooth"/>
          <w:p>
            <w:pPr>
              <w:pStyle w:val="Compact"/>
              <w:jc w:val="center"/>
            </w:pPr>
            <w:r>
              <w:drawing>
                <wp:inline>
                  <wp:extent cx="5727700" cy="57277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EastCoast_re-Opening_files/figure-docx/fig-size-abs-block-year-smooth-1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72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10: Smoothed absolute frequency plot of size classes by year and block.</w:t>
            </w:r>
          </w:p>
          <w:bookmarkEnd w:id="64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8" w:name="fig-size-perc-class"/>
          <w:p>
            <w:pPr>
              <w:pStyle w:val="Compact"/>
              <w:jc w:val="center"/>
            </w:pPr>
            <w:r>
              <w:drawing>
                <wp:inline>
                  <wp:extent cx="5727700" cy="57277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EastCoast_re-Opening_files/figure-docx/fig-size-perc-class-1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72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11: Absolute frequency plot of size classes by year and block.</w:t>
            </w:r>
          </w:p>
          <w:bookmarkEnd w:id="68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2" w:name="fig-size-crit"/>
          <w:p>
            <w:pPr>
              <w:pStyle w:val="Compact"/>
              <w:jc w:val="center"/>
            </w:pPr>
            <w:r>
              <w:drawing>
                <wp:inline>
                  <wp:extent cx="5727700" cy="57277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EastCoast_re-Opening_files/figure-docx/fig-size-crit-1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572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12: The median of the mean size per site above that observed in the baseline.</w:t>
            </w:r>
          </w:p>
          <w:bookmarkEnd w:id="72"/>
        </w:tc>
      </w:tr>
    </w:tbl>
    <w:bookmarkStart w:id="73" w:name="notes"/>
    <w:p>
      <w:pPr>
        <w:pStyle w:val="Heading2"/>
      </w:pPr>
      <w:r>
        <w:t xml:space="preserve">Notes:</w:t>
      </w:r>
    </w:p>
    <w:p>
      <w:pPr>
        <w:pStyle w:val="FirstParagraph"/>
      </w:pPr>
      <w:r>
        <w:t xml:space="preserve">Notes: will attempt to code a colour and/or symbol to represent the</w:t>
      </w:r>
      <w:r>
        <w:t xml:space="preserve"> </w:t>
      </w:r>
      <w:r>
        <w:t xml:space="preserve">overall trend for the block in meeting the criteria for consideration of</w:t>
      </w:r>
      <w:r>
        <w:t xml:space="preserve"> </w:t>
      </w:r>
      <w:r>
        <w:t xml:space="preserve">re-opening (i.e. &gt;75% of reference sites showing increasing abundance –</w:t>
      </w:r>
      <w:r>
        <w:t xml:space="preserve"> </w:t>
      </w:r>
      <w:r>
        <w:t xml:space="preserve">green dot or facet stripe colour with word</w:t>
      </w:r>
      <w:r>
        <w:t xml:space="preserve"> </w:t>
      </w:r>
      <w:r>
        <w:t xml:space="preserve">‘</w:t>
      </w:r>
      <w:r>
        <w:t xml:space="preserve">OPEN</w:t>
      </w:r>
      <w:r>
        <w:t xml:space="preserve">’</w:t>
      </w:r>
      <w:r>
        <w:t xml:space="preserve">; orange = ?, red =</w:t>
      </w:r>
      <w:r>
        <w:t xml:space="preserve"> </w:t>
      </w:r>
      <w:r>
        <w:t xml:space="preserve">‘</w:t>
      </w:r>
      <w:r>
        <w:t xml:space="preserve">CLOSED</w:t>
      </w:r>
      <w:r>
        <w:t xml:space="preserve">’</w:t>
      </w:r>
      <w:r>
        <w:t xml:space="preserve">). Based on the criteria of majority of sites showing increasing</w:t>
      </w:r>
      <w:r>
        <w:t xml:space="preserve"> </w:t>
      </w:r>
      <w:r>
        <w:t xml:space="preserve">sub-legal abundance (i.e. &gt;75% sites), no blocks would have met the</w:t>
      </w:r>
      <w:r>
        <w:t xml:space="preserve"> </w:t>
      </w:r>
      <w:r>
        <w:t xml:space="preserve">criteria to re-open in 2023. All but Block 27 and 28 met the criteria</w:t>
      </w:r>
      <w:r>
        <w:t xml:space="preserve"> </w:t>
      </w:r>
      <w:r>
        <w:t xml:space="preserve">for legal abundance in 2023.</w:t>
      </w:r>
    </w:p>
    <w:p>
      <w:pPr>
        <w:pStyle w:val="BodyText"/>
      </w:pPr>
      <w:r>
        <w:t xml:space="preserve">Threshold for what classifies as an increase or recovery?</w:t>
      </w:r>
    </w:p>
    <w:p>
      <w:pPr>
        <w:numPr>
          <w:ilvl w:val="0"/>
          <w:numId w:val="1007"/>
        </w:numPr>
      </w:pPr>
      <w:r>
        <w:t xml:space="preserve">A significant change in mean abundance between years?</w:t>
      </w:r>
    </w:p>
    <w:p>
      <w:pPr>
        <w:numPr>
          <w:ilvl w:val="0"/>
          <w:numId w:val="1007"/>
        </w:numPr>
      </w:pPr>
      <w:r>
        <w:t xml:space="preserve">Reaching an acceptable or globally recognised percentage threshold</w:t>
      </w:r>
      <w:r>
        <w:t xml:space="preserve"> </w:t>
      </w:r>
      <w:r>
        <w:t xml:space="preserve">(fisheries reference limit)?</w:t>
      </w:r>
    </w:p>
    <w:p>
      <w:pPr>
        <w:pStyle w:val="FirstParagraph"/>
      </w:pPr>
      <w:r>
        <w:rPr>
          <w:bCs/>
          <w:b/>
        </w:rPr>
        <w:t xml:space="preserve">Mean absolute deviation (MAD) – reference sites</w:t>
      </w:r>
    </w:p>
    <w:p>
      <w:pPr>
        <w:numPr>
          <w:ilvl w:val="0"/>
          <w:numId w:val="1008"/>
        </w:numPr>
      </w:pPr>
      <w:r>
        <w:t xml:space="preserve">Determine abalone count for each site for each year.</w:t>
      </w:r>
    </w:p>
    <w:p>
      <w:pPr>
        <w:numPr>
          <w:ilvl w:val="0"/>
          <w:numId w:val="1008"/>
        </w:numPr>
      </w:pPr>
      <w:r>
        <w:t xml:space="preserve">Determine mean site abundance for each year.</w:t>
      </w:r>
    </w:p>
    <w:p>
      <w:pPr>
        <w:numPr>
          <w:ilvl w:val="0"/>
          <w:numId w:val="1008"/>
        </w:numPr>
      </w:pPr>
      <w:r>
        <w:t xml:space="preserve">Extract mean site abundance for 2020 (baseline).</w:t>
      </w:r>
    </w:p>
    <w:p>
      <w:pPr>
        <w:numPr>
          <w:ilvl w:val="0"/>
          <w:numId w:val="1008"/>
        </w:numPr>
      </w:pPr>
      <w:r>
        <w:t xml:space="preserve">Subtract 2020 mean site abundance (baseline) from each site count</w:t>
      </w:r>
      <w:r>
        <w:t xml:space="preserve"> </w:t>
      </w:r>
      <w:r>
        <w:t xml:space="preserve">(deviation).</w:t>
      </w:r>
    </w:p>
    <w:p>
      <w:pPr>
        <w:numPr>
          <w:ilvl w:val="0"/>
          <w:numId w:val="1008"/>
        </w:numPr>
      </w:pPr>
      <w:r>
        <w:t xml:space="preserve">Determine mean deviation for each block or site.</w:t>
      </w:r>
    </w:p>
    <w:p>
      <w:pPr>
        <w:pStyle w:val="FirstParagraph"/>
      </w:pPr>
      <w:r>
        <w:t xml:space="preserve">Larger deviation = larger variation in abundance from mean baseline in</w:t>
      </w:r>
      <w:r>
        <w:t xml:space="preserve"> </w:t>
      </w:r>
      <w:r>
        <w:t xml:space="preserve">2020. Doesn’t reveal increasing or decreasing trend but when used in</w:t>
      </w:r>
      <w:r>
        <w:t xml:space="preserve"> </w:t>
      </w:r>
      <w:r>
        <w:t xml:space="preserve">combination with absolute abundance reveals the magnitude of that real</w:t>
      </w:r>
      <w:r>
        <w:t xml:space="preserve"> </w:t>
      </w:r>
      <w:r>
        <w:t xml:space="preserve">trend from the baseline?</w:t>
      </w:r>
    </w:p>
    <w:bookmarkEnd w:id="73"/>
    <w:bookmarkEnd w:id="74"/>
    <w:sectPr w:rsidR="009C64EC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AU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4200C5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4200C5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4200C5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4200C5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4200C5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4200C5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4200C5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4200C5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4200C5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4200C5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4200C5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4200C5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4200C5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4200C5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4200C5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4200C5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4200C5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4200C5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4200C5"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4200C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4200C5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4200C5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4200C5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4200C5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4200C5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4200C5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4200C5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4200C5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4200C5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9" Target="media/rId49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9" Target="media/rId69.png" /><Relationship Type="http://schemas.openxmlformats.org/officeDocument/2006/relationships/image" Id="rId53" Target="media/rId53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Re-opening a closed abalone fishery: East Coast case study</dc:title>
  <dc:creator>Jaime McAllister</dc:creator>
  <cp:keywords/>
  <dcterms:created xsi:type="dcterms:W3CDTF">2024-10-01T05:01:53Z</dcterms:created>
  <dcterms:modified xsi:type="dcterms:W3CDTF">2024-10-01T05:01:53Z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Last Updated on 01 October, 2024</vt:lpwstr>
  </property>
  <property fmtid="{D5CDD505-2E9C-101B-9397-08002B2CF9AE}" pid="8" name="date-format">
    <vt:lpwstr>[Last Updated on] DD MMMM, YYYY</vt:lpwstr>
  </property>
  <property fmtid="{D5CDD505-2E9C-101B-9397-08002B2CF9AE}" pid="9" name="editor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margin-bottom">
    <vt:lpwstr>1in</vt:lpwstr>
  </property>
  <property fmtid="{D5CDD505-2E9C-101B-9397-08002B2CF9AE}" pid="15" name="margin-left">
    <vt:lpwstr>0.75in</vt:lpwstr>
  </property>
  <property fmtid="{D5CDD505-2E9C-101B-9397-08002B2CF9AE}" pid="16" name="margin-right">
    <vt:lpwstr>0.75in</vt:lpwstr>
  </property>
  <property fmtid="{D5CDD505-2E9C-101B-9397-08002B2CF9AE}" pid="17" name="margin-top">
    <vt:lpwstr>1in</vt:lpwstr>
  </property>
  <property fmtid="{D5CDD505-2E9C-101B-9397-08002B2CF9AE}" pid="18" name="number-depth">
    <vt:lpwstr>4</vt:lpwstr>
  </property>
  <property fmtid="{D5CDD505-2E9C-101B-9397-08002B2CF9AE}" pid="19" name="papersize">
    <vt:lpwstr>A4</vt:lpwstr>
  </property>
  <property fmtid="{D5CDD505-2E9C-101B-9397-08002B2CF9AE}" pid="20" name="toc-title">
    <vt:lpwstr>Table of contents</vt:lpwstr>
  </property>
</Properties>
</file>