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63.png" ContentType="image/png"/>
  <Override PartName="/word/media/rId58.png" ContentType="image/png"/>
  <Override PartName="/word/media/rId39.png" ContentType="image/png"/>
  <Override PartName="/word/media/rId43.png" ContentType="image/png"/>
  <Override PartName="/word/media/rId4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w:t>
      </w:r>
      <w:r>
        <w:t xml:space="preserve"> </w:t>
      </w:r>
      <w:r>
        <w:t xml:space="preserve">growth</w:t>
      </w:r>
      <w:r>
        <w:t xml:space="preserve"> </w:t>
      </w:r>
      <w:r>
        <w:t xml:space="preserve">dynamics</w:t>
      </w:r>
      <w:r>
        <w:t xml:space="preserve"> </w:t>
      </w:r>
      <w:r>
        <w:t xml:space="preserve">and</w:t>
      </w:r>
      <w:r>
        <w:t xml:space="preserve"> </w:t>
      </w:r>
      <w:r>
        <w:t xml:space="preserve">connectivity</w:t>
      </w:r>
      <w:r>
        <w:t xml:space="preserve"> </w:t>
      </w:r>
      <w:r>
        <w:t xml:space="preserve">of</w:t>
      </w:r>
      <w:r>
        <w:t xml:space="preserve"> </w:t>
      </w:r>
      <w:r>
        <w:t xml:space="preserve">blacklip</w:t>
      </w:r>
      <w:r>
        <w:t xml:space="preserve"> </w:t>
      </w:r>
      <w:r>
        <w:t xml:space="preserve">abalone</w:t>
      </w:r>
      <w:r>
        <w:t xml:space="preserve"> </w:t>
      </w:r>
      <w:r>
        <w:t xml:space="preserve">(Haliotis</w:t>
      </w:r>
      <w:r>
        <w:t xml:space="preserve"> </w:t>
      </w:r>
      <w:r>
        <w:t xml:space="preserve">rubra)</w:t>
      </w:r>
      <w:r>
        <w:t xml:space="preserve"> </w:t>
      </w:r>
      <w:r>
        <w:t xml:space="preserve">populations</w:t>
      </w:r>
      <w:r>
        <w:t xml:space="preserve"> </w:t>
      </w:r>
      <w:r>
        <w:t xml:space="preserve">in</w:t>
      </w:r>
      <w:r>
        <w:t xml:space="preserve"> </w:t>
      </w:r>
      <w:r>
        <w:t xml:space="preserve">NW</w:t>
      </w:r>
      <w:r>
        <w:t xml:space="preserve"> </w:t>
      </w:r>
      <w:r>
        <w:t xml:space="preserve">Tasmania</w:t>
      </w:r>
    </w:p>
    <w:p>
      <w:pPr>
        <w:pStyle w:val="Subtitle"/>
      </w:pPr>
      <w:r>
        <w:t xml:space="preserve">AIDF</w:t>
      </w:r>
      <w:r>
        <w:t xml:space="preserve"> </w:t>
      </w:r>
      <w:r>
        <w:t xml:space="preserve">Progress</w:t>
      </w:r>
      <w:r>
        <w:t xml:space="preserve"> </w:t>
      </w:r>
      <w:r>
        <w:t xml:space="preserve">Report:</w:t>
      </w:r>
      <w:r>
        <w:t xml:space="preserve"> </w:t>
      </w:r>
      <w:r>
        <w:t xml:space="preserve">Size-at-maturity</w:t>
      </w:r>
      <w:r>
        <w:t xml:space="preserve"> </w:t>
      </w:r>
      <w:r>
        <w:t xml:space="preserve">(SAM)</w:t>
      </w:r>
    </w:p>
    <w:p>
      <w:pPr>
        <w:pStyle w:val="Author"/>
      </w:pPr>
      <w:r>
        <w:t xml:space="preserve">Jaime</w:t>
      </w:r>
      <w:r>
        <w:t xml:space="preserve"> </w:t>
      </w:r>
      <w:r>
        <w:t xml:space="preserve">McAllister</w:t>
      </w:r>
    </w:p>
    <w:p>
      <w:pPr>
        <w:pStyle w:val="Date"/>
      </w:pPr>
      <w:r>
        <w:t xml:space="preserve">Last</w:t>
      </w:r>
      <w:r>
        <w:t xml:space="preserve"> </w:t>
      </w:r>
      <w:r>
        <w:t xml:space="preserve">Updated</w:t>
      </w:r>
      <w:r>
        <w:t xml:space="preserve"> </w:t>
      </w:r>
      <w:r>
        <w:t xml:space="preserve">on</w:t>
      </w:r>
      <w:r>
        <w:t xml:space="preserve"> </w:t>
      </w:r>
      <w:r>
        <w:t xml:space="preserve">13</w:t>
      </w:r>
      <w:r>
        <w:t xml:space="preserve"> </w:t>
      </w:r>
      <w:r>
        <w:t xml:space="preserve">November,</w:t>
      </w:r>
      <w:r>
        <w:t xml:space="preserve"> </w:t>
      </w:r>
      <w:r>
        <w:t xml:space="preserve">2025</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"1-4" \h \z \u</w:instrText>
            <w:fldChar w:fldCharType="separate"/>
            <w:fldChar w:fldCharType="end"/>
          </w:r>
        </w:p>
      </w:sdtContent>
    </w:sdt>
    <w:bookmarkStart w:id="20" w:name="overview"/>
    <w:p>
      <w:pPr>
        <w:pStyle w:val="Heading1"/>
      </w:pPr>
      <w:r>
        <w:t xml:space="preserve">Overview</w:t>
      </w:r>
    </w:p>
    <w:p>
      <w:pPr>
        <w:pStyle w:val="FirstParagraph"/>
      </w:pPr>
      <w:r>
        <w:t xml:space="preserve">This milestone report provides an overview of progress to date in collecting new data to assess the reproductive condition of blacklip abalone in North West Tasmania, as part of the Abalone Industry Development Fund (AIDF) project Assessing Growth Dynamics and Connectivity of Blacklip Abalone (Haliotis rubra) Populations in NW Tasmania.</w:t>
      </w:r>
    </w:p>
    <w:bookmarkEnd w:id="20"/>
    <w:bookmarkStart w:id="22" w:name="methods"/>
    <w:p>
      <w:pPr>
        <w:pStyle w:val="Heading1"/>
      </w:pPr>
      <w:r>
        <w:t xml:space="preserve">Methods</w:t>
      </w:r>
    </w:p>
    <w:bookmarkStart w:id="21" w:name="size-at-maturity-estimation"/>
    <w:p>
      <w:pPr>
        <w:pStyle w:val="Heading2"/>
      </w:pPr>
      <w:r>
        <w:t xml:space="preserve">Size-at-maturity estimation</w:t>
      </w:r>
    </w:p>
    <w:p>
      <w:pPr>
        <w:pStyle w:val="FirstParagraph"/>
      </w:pPr>
      <w:r>
        <w:t xml:space="preserve">Size at maturity (SAM) estimation using</w:t>
      </w:r>
      <w:r>
        <w:t xml:space="preserve"> </w:t>
      </w:r>
      <w:r>
        <w:t xml:space="preserve">‘</w:t>
      </w:r>
      <w:r>
        <w:t xml:space="preserve">biology</w:t>
      </w:r>
      <w:r>
        <w:t xml:space="preserve">’</w:t>
      </w:r>
      <w:r>
        <w:t xml:space="preserve"> </w:t>
      </w:r>
      <w:r>
        <w:t xml:space="preserve">package in R developed by Malcom Haddon.</w:t>
      </w:r>
    </w:p>
    <w:p>
      <w:pPr>
        <w:pStyle w:val="BodyText"/>
      </w:pPr>
      <w:r>
        <w:t xml:space="preserve">Maturity status was determined following Jones et al. 2009:</w:t>
      </w:r>
    </w:p>
    <w:p>
      <w:pPr>
        <w:numPr>
          <w:ilvl w:val="0"/>
          <w:numId w:val="1001"/>
        </w:numPr>
        <w:pStyle w:val="Compact"/>
      </w:pPr>
      <w:r>
        <w:t xml:space="preserve">Stage 0, has no apparent development of gonad (immature).</w:t>
      </w:r>
    </w:p>
    <w:p>
      <w:pPr>
        <w:numPr>
          <w:ilvl w:val="0"/>
          <w:numId w:val="1001"/>
        </w:numPr>
        <w:pStyle w:val="Compact"/>
      </w:pPr>
      <w:r>
        <w:t xml:space="preserve">Stage 1, gonad development has started, such that it is possible to determine sex of animal, although the gonad at this stage is very slight, at its most developed form it is translucent so that the digestive gland is still visible underneath (immature).</w:t>
      </w:r>
    </w:p>
    <w:p>
      <w:pPr>
        <w:numPr>
          <w:ilvl w:val="0"/>
          <w:numId w:val="1001"/>
        </w:numPr>
        <w:pStyle w:val="Compact"/>
      </w:pPr>
      <w:r>
        <w:t xml:space="preserve">Stage 2, gonad is obvious at the extremities of the digestive gland, it is opaque but not yet fully formed. The eggs in females are visible at low magnification while males are viscous creamy yellow (mature).</w:t>
      </w:r>
    </w:p>
    <w:p>
      <w:pPr>
        <w:numPr>
          <w:ilvl w:val="0"/>
          <w:numId w:val="1001"/>
        </w:numPr>
        <w:pStyle w:val="Compact"/>
      </w:pPr>
      <w:r>
        <w:t xml:space="preserve">Stage 3, fully formed gonad (mature). Stages 1 to 3 can be grouped by sex but only stages 2 and 3 are considered mature as although in stage 1 sex may be determined, that individual is unlikely to be reproductive and so is categorised as immature male or female (mature).</w:t>
      </w:r>
    </w:p>
    <w:p>
      <w:pPr>
        <w:pStyle w:val="FirstParagraph"/>
      </w:pPr>
      <w:r>
        <w:t xml:space="preserve">A dataframe has been created to run the</w:t>
      </w:r>
      <w:r>
        <w:t xml:space="preserve"> </w:t>
      </w:r>
      <w:r>
        <w:t xml:space="preserve">‘</w:t>
      </w:r>
      <w:r>
        <w:t xml:space="preserve">fitmaturity</w:t>
      </w:r>
      <w:r>
        <w:t xml:space="preserve">’</w:t>
      </w:r>
      <w:r>
        <w:t xml:space="preserve"> </w:t>
      </w:r>
      <w:r>
        <w:t xml:space="preserve">function where maturity has been classified as:</w:t>
      </w:r>
    </w:p>
    <w:p>
      <w:pPr>
        <w:numPr>
          <w:ilvl w:val="0"/>
          <w:numId w:val="1002"/>
        </w:numPr>
        <w:pStyle w:val="Compact"/>
      </w:pPr>
      <w:r>
        <w:t xml:space="preserve">I = stages 0-1</w:t>
      </w:r>
    </w:p>
    <w:p>
      <w:pPr>
        <w:numPr>
          <w:ilvl w:val="0"/>
          <w:numId w:val="1002"/>
        </w:numPr>
        <w:pStyle w:val="Compact"/>
      </w:pPr>
      <w:r>
        <w:t xml:space="preserve">M = stages 2-3.</w:t>
      </w:r>
    </w:p>
    <w:bookmarkEnd w:id="21"/>
    <w:bookmarkEnd w:id="22"/>
    <w:bookmarkStart w:id="57" w:name="results"/>
    <w:p>
      <w:pPr>
        <w:pStyle w:val="Heading1"/>
      </w:pPr>
      <w:r>
        <w:t xml:space="preserve">Results</w:t>
      </w:r>
    </w:p>
    <w:bookmarkStart w:id="38" w:name="data-checks-and-summaries"/>
    <w:p>
      <w:pPr>
        <w:pStyle w:val="Heading2"/>
      </w:pPr>
      <w:r>
        <w:t xml:space="preserve">Data checks and summaries</w:t>
      </w:r>
    </w:p>
    <w:p>
      <w:pPr>
        <w:pStyle w:val="FirstParagraph"/>
      </w:pPr>
      <w:r>
        <w:t xml:space="preserve">Quick summary plots to look for outliers in length data. Summary counts for each of the target size classes from dive collections.</w:t>
      </w:r>
    </w:p>
    <w:p>
      <w:pPr>
        <w:pStyle w:val="BodyText"/>
      </w:pPr>
      <w:r>
        <w:drawing>
          <wp:inline>
            <wp:extent cx="4620126" cy="3696101"/>
            <wp:effectExtent b="0" l="0" r="0" t="0"/>
            <wp:docPr descr="" title="" id="24" name="Picture"/>
            <a:graphic>
              <a:graphicData uri="http://schemas.openxmlformats.org/drawingml/2006/picture">
                <pic:pic>
                  <pic:nvPicPr>
                    <pic:cNvPr descr="NW_SAM_files/figure-docx/datachecks-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27" name="Picture"/>
            <a:graphic>
              <a:graphicData uri="http://schemas.openxmlformats.org/drawingml/2006/picture">
                <pic:pic>
                  <pic:nvPicPr>
                    <pic:cNvPr descr="NW_SAM_files/figure-docx/datachecks-2.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0" name="Picture"/>
            <a:graphic>
              <a:graphicData uri="http://schemas.openxmlformats.org/drawingml/2006/picture">
                <pic:pic>
                  <pic:nvPicPr>
                    <pic:cNvPr descr="NW_SAM_files/figure-docx/datachecks-3.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3" name="Picture"/>
            <a:graphic>
              <a:graphicData uri="http://schemas.openxmlformats.org/drawingml/2006/picture">
                <pic:pic>
                  <pic:nvPicPr>
                    <pic:cNvPr descr="NW_SAM_files/figure-docx/datachecks-4.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6" name="Picture"/>
            <a:graphic>
              <a:graphicData uri="http://schemas.openxmlformats.org/drawingml/2006/picture">
                <pic:pic>
                  <pic:nvPicPr>
                    <pic:cNvPr descr="NW_SAM_files/figure-docx/datachecks-5.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Initial examination of the raw data revealed no obvious outliers that warranted exclusion from further analysis.</w:t>
      </w:r>
    </w:p>
    <w:bookmarkEnd w:id="38"/>
    <w:bookmarkStart w:id="51" w:name="size-at-maturity-by-site"/>
    <w:p>
      <w:pPr>
        <w:pStyle w:val="Heading2"/>
      </w:pPr>
      <w:r>
        <w:t xml:space="preserve">Size-at-maturity by site</w:t>
      </w:r>
    </w:p>
    <w:p>
      <w:pPr>
        <w:pStyle w:val="SourceCode"/>
      </w:pPr>
      <w:r>
        <w:rPr>
          <w:rStyle w:val="FunctionTok"/>
        </w:rPr>
        <w:t xml:space="preserve">library</w:t>
      </w:r>
      <w:r>
        <w:rPr>
          <w:rStyle w:val="NormalTok"/>
        </w:rPr>
        <w:t xml:space="preserve">(biology)</w:t>
      </w:r>
      <w:r>
        <w:br/>
      </w:r>
      <w:r>
        <w:rPr>
          <w:rStyle w:val="FunctionTok"/>
        </w:rPr>
        <w:t xml:space="preserve">library</w:t>
      </w:r>
      <w:r>
        <w:rPr>
          <w:rStyle w:val="NormalTok"/>
        </w:rPr>
        <w:t xml:space="preserve">(hplot)</w:t>
      </w:r>
      <w:r>
        <w:br/>
      </w:r>
      <w:r>
        <w:rPr>
          <w:rStyle w:val="FunctionTok"/>
        </w:rPr>
        <w:t xml:space="preserve">library</w:t>
      </w:r>
      <w:r>
        <w:rPr>
          <w:rStyle w:val="NormalTok"/>
        </w:rPr>
        <w:t xml:space="preserve">(codeutils)</w:t>
      </w:r>
      <w:r>
        <w:br/>
      </w:r>
      <w:r>
        <w:br/>
      </w:r>
      <w:r>
        <w:rPr>
          <w:rStyle w:val="CommentTok"/>
        </w:rPr>
        <w:t xml:space="preserve"># Convert lowercase to uppercase sex.</w:t>
      </w:r>
      <w:r>
        <w:br/>
      </w:r>
      <w:r>
        <w:rPr>
          <w:rStyle w:val="NormalTok"/>
        </w:rPr>
        <w:t xml:space="preserve">sam_dat </w:t>
      </w:r>
      <w:r>
        <w:rPr>
          <w:rStyle w:val="OtherTok"/>
        </w:rPr>
        <w:t xml:space="preserve">&lt;-</w:t>
      </w:r>
      <w:r>
        <w:rPr>
          <w:rStyle w:val="NormalTok"/>
        </w:rPr>
        <w:t xml:space="preserve"> sam_dat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sex =</w:t>
      </w:r>
      <w:r>
        <w:rPr>
          <w:rStyle w:val="NormalTok"/>
        </w:rPr>
        <w:t xml:space="preserve"> </w:t>
      </w:r>
      <w:r>
        <w:rPr>
          <w:rStyle w:val="FunctionTok"/>
        </w:rPr>
        <w:t xml:space="preserve">toupper</w:t>
      </w:r>
      <w:r>
        <w:rPr>
          <w:rStyle w:val="NormalTok"/>
        </w:rPr>
        <w:t xml:space="preserve">(sex))</w:t>
      </w:r>
      <w:r>
        <w:br/>
      </w:r>
      <w:r>
        <w:br/>
      </w:r>
      <w:r>
        <w:rPr>
          <w:rStyle w:val="CommentTok"/>
        </w:rPr>
        <w:t xml:space="preserve"># Classify gonad stage 1 abalone as immature.</w:t>
      </w:r>
      <w:r>
        <w:br/>
      </w:r>
      <w:r>
        <w:rPr>
          <w:rStyle w:val="NormalTok"/>
        </w:rPr>
        <w:t xml:space="preserve">sam_dat </w:t>
      </w:r>
      <w:r>
        <w:rPr>
          <w:rStyle w:val="OtherTok"/>
        </w:rPr>
        <w:t xml:space="preserve">&lt;-</w:t>
      </w:r>
      <w:r>
        <w:rPr>
          <w:rStyle w:val="NormalTok"/>
        </w:rPr>
        <w:t xml:space="preserve"> sam_dat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sex_adj =</w:t>
      </w:r>
      <w:r>
        <w:rPr>
          <w:rStyle w:val="NormalTok"/>
        </w:rPr>
        <w:t xml:space="preserve"> </w:t>
      </w:r>
      <w:r>
        <w:rPr>
          <w:rStyle w:val="FunctionTok"/>
        </w:rPr>
        <w:t xml:space="preserve">case_when</w:t>
      </w:r>
      <w:r>
        <w:rPr>
          <w:rStyle w:val="NormalTok"/>
        </w:rPr>
        <w:t xml:space="preserve">(gonad_score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'I'</w:t>
      </w:r>
      <w:r>
        <w:rPr>
          <w:rStyle w:val="NormalTok"/>
        </w:rPr>
        <w:t xml:space="preserve">,</w:t>
      </w:r>
      <w:r>
        <w:br/>
      </w:r>
      <w:r>
        <w:rPr>
          <w:rStyle w:val="NormalTok"/>
        </w:rPr>
        <w:t xml:space="preserve">                            gonad_score </w:t>
      </w:r>
      <w:r>
        <w:rPr>
          <w:rStyle w:val="SpecialCharTok"/>
        </w:rPr>
        <w:t xml:space="preserve">&gt;=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sex),</w:t>
      </w:r>
      <w:r>
        <w:br/>
      </w:r>
      <w:r>
        <w:rPr>
          <w:rStyle w:val="NormalTok"/>
        </w:rPr>
        <w:t xml:space="preserve">        </w:t>
      </w:r>
      <w:r>
        <w:rPr>
          <w:rStyle w:val="AttributeTok"/>
        </w:rPr>
        <w:t xml:space="preserve">mature =</w:t>
      </w:r>
      <w:r>
        <w:rPr>
          <w:rStyle w:val="NormalTok"/>
        </w:rPr>
        <w:t xml:space="preserve"> </w:t>
      </w:r>
      <w:r>
        <w:rPr>
          <w:rStyle w:val="FunctionTok"/>
        </w:rPr>
        <w:t xml:space="preserve">case_when</w:t>
      </w:r>
      <w:r>
        <w:rPr>
          <w:rStyle w:val="NormalTok"/>
        </w:rPr>
        <w:t xml:space="preserve">(gonad_score </w:t>
      </w:r>
      <w:r>
        <w:rPr>
          <w:rStyle w:val="SpecialCharTok"/>
        </w:rPr>
        <w:t xml:space="preserve">&gt;=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gonad_score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CommentTok"/>
        </w:rPr>
        <w:t xml:space="preserve"># Create dataframe for fitmaturity function (site, sex, length, maturity)</w:t>
      </w:r>
      <w:r>
        <w:br/>
      </w:r>
      <w:r>
        <w:rPr>
          <w:rStyle w:val="NormalTok"/>
        </w:rPr>
        <w:t xml:space="preserve">tas_ab </w:t>
      </w:r>
      <w:r>
        <w:rPr>
          <w:rStyle w:val="OtherTok"/>
        </w:rPr>
        <w:t xml:space="preserve">&lt;-</w:t>
      </w:r>
      <w:r>
        <w:rPr>
          <w:rStyle w:val="NormalTok"/>
        </w:rPr>
        <w:t xml:space="preserve"> sam_dat </w:t>
      </w:r>
      <w:r>
        <w:rPr>
          <w:rStyle w:val="SpecialCharTok"/>
        </w:rPr>
        <w:t xml:space="preserve">%&gt;%</w:t>
      </w:r>
      <w:r>
        <w:br/>
      </w:r>
      <w:r>
        <w:rPr>
          <w:rStyle w:val="NormalTok"/>
        </w:rPr>
        <w:t xml:space="preserve"> </w:t>
      </w:r>
      <w:r>
        <w:rPr>
          <w:rStyle w:val="FunctionTok"/>
        </w:rPr>
        <w:t xml:space="preserve">select</w:t>
      </w:r>
      <w:r>
        <w:rPr>
          <w:rStyle w:val="NormalTok"/>
        </w:rPr>
        <w:t xml:space="preserve">(site, sex_adj, shell_length, mature)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sex =</w:t>
      </w:r>
      <w:r>
        <w:rPr>
          <w:rStyle w:val="NormalTok"/>
        </w:rPr>
        <w:t xml:space="preserve"> </w:t>
      </w:r>
      <w:r>
        <w:rPr>
          <w:rStyle w:val="StringTok"/>
        </w:rPr>
        <w:t xml:space="preserve">'sex_adj'</w:t>
      </w:r>
      <w:r>
        <w:rPr>
          <w:rStyle w:val="NormalTok"/>
        </w:rPr>
        <w:t xml:space="preserve">,</w:t>
      </w:r>
      <w:r>
        <w:br/>
      </w:r>
      <w:r>
        <w:rPr>
          <w:rStyle w:val="NormalTok"/>
        </w:rPr>
        <w:t xml:space="preserve">               </w:t>
      </w:r>
      <w:r>
        <w:rPr>
          <w:rStyle w:val="AttributeTok"/>
        </w:rPr>
        <w:t xml:space="preserve">length =</w:t>
      </w:r>
      <w:r>
        <w:rPr>
          <w:rStyle w:val="NormalTok"/>
        </w:rPr>
        <w:t xml:space="preserve"> </w:t>
      </w:r>
      <w:r>
        <w:rPr>
          <w:rStyle w:val="StringTok"/>
        </w:rPr>
        <w:t xml:space="preserve">'shell_length'</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'T'</w:t>
      </w:r>
      <w:r>
        <w:rPr>
          <w:rStyle w:val="NormalTok"/>
        </w:rPr>
        <w:t xml:space="preserve">) </w:t>
      </w:r>
      <w:r>
        <w:rPr>
          <w:rStyle w:val="CommentTok"/>
        </w:rPr>
        <w:t xml:space="preserve">#filter any trematodes</w:t>
      </w:r>
      <w:r>
        <w:br/>
      </w:r>
      <w:r>
        <w:br/>
      </w:r>
      <w:r>
        <w:rPr>
          <w:rStyle w:val="CommentTok"/>
        </w:rPr>
        <w:t xml:space="preserve"># Re-classify sex as mature or immature</w:t>
      </w:r>
      <w:r>
        <w:br/>
      </w:r>
      <w:r>
        <w:rPr>
          <w:rStyle w:val="NormalTok"/>
        </w:rPr>
        <w:t xml:space="preserve">tas_ab </w:t>
      </w:r>
      <w:r>
        <w:rPr>
          <w:rStyle w:val="OtherTok"/>
        </w:rPr>
        <w:t xml:space="preserve">&lt;-</w:t>
      </w:r>
      <w:r>
        <w:rPr>
          <w:rStyle w:val="NormalTok"/>
        </w:rPr>
        <w:t xml:space="preserve"> tas_ab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sex =</w:t>
      </w:r>
      <w:r>
        <w:rPr>
          <w:rStyle w:val="NormalTok"/>
        </w:rPr>
        <w:t xml:space="preserve"> </w:t>
      </w:r>
      <w:r>
        <w:rPr>
          <w:rStyle w:val="FunctionTok"/>
        </w:rPr>
        <w:t xml:space="preserve">case_when</w:t>
      </w:r>
      <w:r>
        <w:rPr>
          <w:rStyle w:val="NormalTok"/>
        </w:rPr>
        <w:t xml:space="preserve">(sex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'M'</w:t>
      </w:r>
      <w:r>
        <w:rPr>
          <w:rStyle w:val="NormalTok"/>
        </w:rPr>
        <w:t xml:space="preserve">, </w:t>
      </w:r>
      <w:r>
        <w:rPr>
          <w:rStyle w:val="StringTok"/>
        </w:rPr>
        <w:t xml:space="preserve">'F'</w:t>
      </w:r>
      <w:r>
        <w:rPr>
          <w:rStyle w:val="NormalTok"/>
        </w:rPr>
        <w:t xml:space="preserve">) </w:t>
      </w:r>
      <w:r>
        <w:rPr>
          <w:rStyle w:val="SpecialCharTok"/>
        </w:rPr>
        <w:t xml:space="preserve">~</w:t>
      </w:r>
      <w:r>
        <w:rPr>
          <w:rStyle w:val="NormalTok"/>
        </w:rPr>
        <w:t xml:space="preserve"> </w:t>
      </w:r>
      <w:r>
        <w:rPr>
          <w:rStyle w:val="StringTok"/>
        </w:rPr>
        <w:t xml:space="preserve">'M'</w:t>
      </w:r>
      <w:r>
        <w:rPr>
          <w:rStyle w:val="NormalTok"/>
        </w:rPr>
        <w:t xml:space="preserve">,</w:t>
      </w:r>
      <w:r>
        <w:br/>
      </w:r>
      <w:r>
        <w:rPr>
          <w:rStyle w:val="NormalTok"/>
        </w:rPr>
        <w:t xml:space="preserve">                        sex </w:t>
      </w:r>
      <w:r>
        <w:rPr>
          <w:rStyle w:val="SpecialCharTok"/>
        </w:rPr>
        <w:t xml:space="preserve">==</w:t>
      </w:r>
      <w:r>
        <w:rPr>
          <w:rStyle w:val="NormalTok"/>
        </w:rPr>
        <w:t xml:space="preserve"> </w:t>
      </w:r>
      <w:r>
        <w:rPr>
          <w:rStyle w:val="StringTok"/>
        </w:rPr>
        <w:t xml:space="preserve">'I'</w:t>
      </w:r>
      <w:r>
        <w:rPr>
          <w:rStyle w:val="NormalTok"/>
        </w:rPr>
        <w:t xml:space="preserve"> </w:t>
      </w:r>
      <w:r>
        <w:rPr>
          <w:rStyle w:val="SpecialCharTok"/>
        </w:rPr>
        <w:t xml:space="preserve">~</w:t>
      </w:r>
      <w:r>
        <w:rPr>
          <w:rStyle w:val="NormalTok"/>
        </w:rPr>
        <w:t xml:space="preserve"> </w:t>
      </w:r>
      <w:r>
        <w:rPr>
          <w:rStyle w:val="StringTok"/>
        </w:rPr>
        <w:t xml:space="preserve">'I'</w:t>
      </w:r>
      <w:r>
        <w:rPr>
          <w:rStyle w:val="NormalTok"/>
        </w:rPr>
        <w:t xml:space="preserve">))</w:t>
      </w:r>
      <w:r>
        <w:br/>
      </w:r>
      <w:r>
        <w:br/>
      </w:r>
      <w:r>
        <w:rPr>
          <w:rStyle w:val="CommentTok"/>
        </w:rPr>
        <w:t xml:space="preserve"># Quick summary of samples by site and maturity status(sex)</w:t>
      </w:r>
      <w:r>
        <w:br/>
      </w:r>
      <w:r>
        <w:rPr>
          <w:rStyle w:val="FunctionTok"/>
        </w:rPr>
        <w:t xml:space="preserve">table</w:t>
      </w:r>
      <w:r>
        <w:rPr>
          <w:rStyle w:val="NormalTok"/>
        </w:rPr>
        <w:t xml:space="preserve">(tas_ab</w:t>
      </w:r>
      <w:r>
        <w:rPr>
          <w:rStyle w:val="SpecialCharTok"/>
        </w:rPr>
        <w:t xml:space="preserve">$</w:t>
      </w:r>
      <w:r>
        <w:rPr>
          <w:rStyle w:val="NormalTok"/>
        </w:rPr>
        <w:t xml:space="preserve">site, tas_ab</w:t>
      </w:r>
      <w:r>
        <w:rPr>
          <w:rStyle w:val="SpecialCharTok"/>
        </w:rPr>
        <w:t xml:space="preserve">$</w:t>
      </w:r>
      <w:r>
        <w:rPr>
          <w:rStyle w:val="NormalTok"/>
        </w:rPr>
        <w:t xml:space="preserve">sex)</w:t>
      </w:r>
    </w:p>
    <w:p>
      <w:pPr>
        <w:pStyle w:val="SourceCode"/>
      </w:pPr>
      <w:r>
        <w:rPr>
          <w:rStyle w:val="VerbatimChar"/>
        </w:rPr>
        <w:t xml:space="preserve">                     </w:t>
      </w:r>
      <w:r>
        <w:br/>
      </w:r>
      <w:r>
        <w:rPr>
          <w:rStyle w:val="VerbatimChar"/>
        </w:rPr>
        <w:t xml:space="preserve">                        I   M</w:t>
      </w:r>
      <w:r>
        <w:br/>
      </w:r>
      <w:r>
        <w:rPr>
          <w:rStyle w:val="VerbatimChar"/>
        </w:rPr>
        <w:t xml:space="preserve">  AB-NW-SAM-2024-5-1   77  75</w:t>
      </w:r>
      <w:r>
        <w:br/>
      </w:r>
      <w:r>
        <w:rPr>
          <w:rStyle w:val="VerbatimChar"/>
        </w:rPr>
        <w:t xml:space="preserve">  AB-NW-SAM-2024-5-10  53  99</w:t>
      </w:r>
      <w:r>
        <w:br/>
      </w:r>
      <w:r>
        <w:rPr>
          <w:rStyle w:val="VerbatimChar"/>
        </w:rPr>
        <w:t xml:space="preserve">  AB-NW-SAM-2024-5-13 103  88</w:t>
      </w:r>
      <w:r>
        <w:br/>
      </w:r>
      <w:r>
        <w:rPr>
          <w:rStyle w:val="VerbatimChar"/>
        </w:rPr>
        <w:t xml:space="preserve">  AB-NW-SAM-2024-5-17 121  63</w:t>
      </w:r>
      <w:r>
        <w:br/>
      </w:r>
      <w:r>
        <w:rPr>
          <w:rStyle w:val="VerbatimChar"/>
        </w:rPr>
        <w:t xml:space="preserve">  AB-NW-SAM-2024-5-2   97  58</w:t>
      </w:r>
      <w:r>
        <w:br/>
      </w:r>
      <w:r>
        <w:rPr>
          <w:rStyle w:val="VerbatimChar"/>
        </w:rPr>
        <w:t xml:space="preserve">  AB-NW-SAM-2024-5-3  141  61</w:t>
      </w:r>
      <w:r>
        <w:br/>
      </w:r>
      <w:r>
        <w:rPr>
          <w:rStyle w:val="VerbatimChar"/>
        </w:rPr>
        <w:t xml:space="preserve">  AB-NW-SAM-2024-5-4   92  64</w:t>
      </w:r>
      <w:r>
        <w:br/>
      </w:r>
      <w:r>
        <w:rPr>
          <w:rStyle w:val="VerbatimChar"/>
        </w:rPr>
        <w:t xml:space="preserve">  AB-NW-SAM-2024-5-5  130  98</w:t>
      </w:r>
      <w:r>
        <w:br/>
      </w:r>
      <w:r>
        <w:rPr>
          <w:rStyle w:val="VerbatimChar"/>
        </w:rPr>
        <w:t xml:space="preserve">  AB-NW-SAM-2024-5-6  107  87</w:t>
      </w:r>
      <w:r>
        <w:br/>
      </w:r>
      <w:r>
        <w:rPr>
          <w:rStyle w:val="VerbatimChar"/>
        </w:rPr>
        <w:t xml:space="preserve">  AB-NW-SAM-2024-5-7   80  66</w:t>
      </w:r>
      <w:r>
        <w:br/>
      </w:r>
      <w:r>
        <w:rPr>
          <w:rStyle w:val="VerbatimChar"/>
        </w:rPr>
        <w:t xml:space="preserve">  AB-NW-SAM-2024-5-8  135  67</w:t>
      </w:r>
      <w:r>
        <w:br/>
      </w:r>
      <w:r>
        <w:rPr>
          <w:rStyle w:val="VerbatimChar"/>
        </w:rPr>
        <w:t xml:space="preserve">  AB-NW-SAM-2024-5-9   79  75</w:t>
      </w:r>
    </w:p>
    <w:p>
      <w:pPr>
        <w:pStyle w:val="SourceCode"/>
      </w:pPr>
      <w:r>
        <w:rPr>
          <w:rStyle w:val="CommentTok"/>
        </w:rPr>
        <w:t xml:space="preserve"># Create parameters for loop and plots</w:t>
      </w:r>
      <w:r>
        <w:br/>
      </w:r>
      <w:r>
        <w:rPr>
          <w:rStyle w:val="NormalTok"/>
        </w:rPr>
        <w:t xml:space="preserve">sites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(tas_ab</w:t>
      </w:r>
      <w:r>
        <w:rPr>
          <w:rStyle w:val="SpecialCharTok"/>
        </w:rPr>
        <w:t xml:space="preserve">$</w:t>
      </w:r>
      <w:r>
        <w:rPr>
          <w:rStyle w:val="NormalTok"/>
        </w:rPr>
        <w:t xml:space="preserve">site))</w:t>
      </w:r>
      <w:r>
        <w:br/>
      </w:r>
      <w:r>
        <w:rPr>
          <w:rStyle w:val="NormalTok"/>
        </w:rPr>
        <w:t xml:space="preserve">nsite </w:t>
      </w:r>
      <w:r>
        <w:rPr>
          <w:rStyle w:val="OtherTok"/>
        </w:rPr>
        <w:t xml:space="preserve">&lt;-</w:t>
      </w:r>
      <w:r>
        <w:rPr>
          <w:rStyle w:val="NormalTok"/>
        </w:rPr>
        <w:t xml:space="preserve"> </w:t>
      </w:r>
      <w:r>
        <w:rPr>
          <w:rStyle w:val="FunctionTok"/>
        </w:rPr>
        <w:t xml:space="preserve">length</w:t>
      </w:r>
      <w:r>
        <w:rPr>
          <w:rStyle w:val="NormalTok"/>
        </w:rPr>
        <w:t xml:space="preserve">(sites)</w:t>
      </w:r>
      <w:r>
        <w:br/>
      </w:r>
      <w:r>
        <w:rPr>
          <w:rStyle w:val="NormalTok"/>
        </w:rPr>
        <w:t xml:space="preserve">scenes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"AB-NW-SAM-2024-5-1"</w:t>
      </w:r>
      <w:r>
        <w:rPr>
          <w:rStyle w:val="NormalTok"/>
        </w:rPr>
        <w:t xml:space="preserve">, </w:t>
      </w:r>
      <w:r>
        <w:rPr>
          <w:rStyle w:val="StringTok"/>
        </w:rPr>
        <w:t xml:space="preserve">"AB-NW-SAM-2024-5-2"</w:t>
      </w:r>
      <w:r>
        <w:rPr>
          <w:rStyle w:val="NormalTok"/>
        </w:rPr>
        <w:t xml:space="preserve">, </w:t>
      </w:r>
      <w:r>
        <w:rPr>
          <w:rStyle w:val="StringTok"/>
        </w:rPr>
        <w:t xml:space="preserve">"AB-NW-SAM-2024-5-3"</w:t>
      </w:r>
      <w:r>
        <w:rPr>
          <w:rStyle w:val="NormalTok"/>
        </w:rPr>
        <w:t xml:space="preserve">, </w:t>
      </w:r>
      <w:r>
        <w:rPr>
          <w:rStyle w:val="StringTok"/>
        </w:rPr>
        <w:t xml:space="preserve">"AB-NW-SAM-2024-5-4"</w:t>
      </w:r>
      <w:r>
        <w:rPr>
          <w:rStyle w:val="NormalTok"/>
        </w:rPr>
        <w:t xml:space="preserve">,</w:t>
      </w:r>
      <w:r>
        <w:br/>
      </w:r>
      <w:r>
        <w:rPr>
          <w:rStyle w:val="NormalTok"/>
        </w:rPr>
        <w:t xml:space="preserve">            </w:t>
      </w:r>
      <w:r>
        <w:rPr>
          <w:rStyle w:val="StringTok"/>
        </w:rPr>
        <w:t xml:space="preserve">"AB-NW-SAM-2024-5-5"</w:t>
      </w:r>
      <w:r>
        <w:rPr>
          <w:rStyle w:val="NormalTok"/>
        </w:rPr>
        <w:t xml:space="preserve">, </w:t>
      </w:r>
      <w:r>
        <w:rPr>
          <w:rStyle w:val="StringTok"/>
        </w:rPr>
        <w:t xml:space="preserve">"AB-NW-SAM-2024-5-6"</w:t>
      </w:r>
      <w:r>
        <w:rPr>
          <w:rStyle w:val="NormalTok"/>
        </w:rPr>
        <w:t xml:space="preserve">,  </w:t>
      </w:r>
      <w:r>
        <w:rPr>
          <w:rStyle w:val="StringTok"/>
        </w:rPr>
        <w:t xml:space="preserve">"AB-NW-SAM-2024-5-8"</w:t>
      </w:r>
      <w:r>
        <w:rPr>
          <w:rStyle w:val="NormalTok"/>
        </w:rPr>
        <w:t xml:space="preserve">,</w:t>
      </w:r>
      <w:r>
        <w:br/>
      </w:r>
      <w:r>
        <w:rPr>
          <w:rStyle w:val="NormalTok"/>
        </w:rPr>
        <w:t xml:space="preserve">            </w:t>
      </w:r>
      <w:r>
        <w:rPr>
          <w:rStyle w:val="StringTok"/>
        </w:rPr>
        <w:t xml:space="preserve">"AB-NW-SAM-2024-5-9"</w:t>
      </w:r>
      <w:r>
        <w:rPr>
          <w:rStyle w:val="NormalTok"/>
        </w:rPr>
        <w:t xml:space="preserve">, </w:t>
      </w:r>
      <w:r>
        <w:rPr>
          <w:rStyle w:val="StringTok"/>
        </w:rPr>
        <w:t xml:space="preserve">"AB-NW-SAM-2024-5-10"</w:t>
      </w:r>
      <w:r>
        <w:rPr>
          <w:rStyle w:val="NormalTok"/>
        </w:rPr>
        <w:t xml:space="preserve">,</w:t>
      </w:r>
      <w:r>
        <w:rPr>
          <w:rStyle w:val="StringTok"/>
        </w:rPr>
        <w:t xml:space="preserve">"AB-NW-SAM-2024-5-13"</w:t>
      </w:r>
      <w:r>
        <w:rPr>
          <w:rStyle w:val="NormalTok"/>
        </w:rPr>
        <w:t xml:space="preserve">, </w:t>
      </w:r>
      <w:r>
        <w:rPr>
          <w:rStyle w:val="StringTok"/>
        </w:rPr>
        <w:t xml:space="preserve">"AB-NW-SAM-2024-5-17"</w:t>
      </w:r>
      <w:r>
        <w:rPr>
          <w:rStyle w:val="NormalTok"/>
        </w:rPr>
        <w:t xml:space="preserve">, </w:t>
      </w:r>
      <w:r>
        <w:rPr>
          <w:rStyle w:val="StringTok"/>
        </w:rPr>
        <w:t xml:space="preserve">"AB-NW-SAM-2024-5-18"</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makelist</w:t>
      </w:r>
      <w:r>
        <w:rPr>
          <w:rStyle w:val="NormalTok"/>
        </w:rPr>
        <w:t xml:space="preserve">(scenes)</w:t>
      </w:r>
      <w:r>
        <w:br/>
      </w:r>
      <w:r>
        <w:rPr>
          <w:rStyle w:val="NormalTok"/>
        </w:rPr>
        <w:t xml:space="preserve">count </w:t>
      </w:r>
      <w:r>
        <w:rPr>
          <w:rStyle w:val="OtherTok"/>
        </w:rPr>
        <w:t xml:space="preserve">&lt;-</w:t>
      </w:r>
      <w:r>
        <w:rPr>
          <w:rStyle w:val="NormalTok"/>
        </w:rPr>
        <w:t xml:space="preserve"> </w:t>
      </w:r>
      <w:r>
        <w:rPr>
          <w:rStyle w:val="DecValTok"/>
        </w:rPr>
        <w:t xml:space="preserve">0</w:t>
      </w:r>
      <w:r>
        <w:br/>
      </w:r>
      <w:r>
        <w:br/>
      </w:r>
      <w:r>
        <w:rPr>
          <w:rStyle w:val="CommentTok"/>
        </w:rPr>
        <w:t xml:space="preserve"># Run model across each site for sexes combined</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nsite) { </w:t>
      </w:r>
      <w:r>
        <w:rPr>
          <w:rStyle w:val="CommentTok"/>
        </w:rPr>
        <w:t xml:space="preserve">#  i = 1</w:t>
      </w:r>
      <w:r>
        <w:br/>
      </w:r>
      <w:r>
        <w:rPr>
          <w:rStyle w:val="NormalTok"/>
        </w:rPr>
        <w:t xml:space="preserve">    count </w:t>
      </w:r>
      <w:r>
        <w:rPr>
          <w:rStyle w:val="OtherTok"/>
        </w:rPr>
        <w:t xml:space="preserve">&lt;-</w:t>
      </w:r>
      <w:r>
        <w:rPr>
          <w:rStyle w:val="NormalTok"/>
        </w:rPr>
        <w:t xml:space="preserve"> count </w:t>
      </w:r>
      <w:r>
        <w:rPr>
          <w:rStyle w:val="SpecialCharTok"/>
        </w:rPr>
        <w:t xml:space="preserve">+</w:t>
      </w:r>
      <w:r>
        <w:rPr>
          <w:rStyle w:val="NormalTok"/>
        </w:rPr>
        <w:t xml:space="preserve"> </w:t>
      </w:r>
      <w:r>
        <w:rPr>
          <w:rStyle w:val="DecValTok"/>
        </w:rPr>
        <w:t xml:space="preserve">1</w:t>
      </w:r>
      <w:r>
        <w:br/>
      </w:r>
      <w:r>
        <w:rPr>
          <w:rStyle w:val="NormalTok"/>
        </w:rPr>
        <w:t xml:space="preserve">    picksite </w:t>
      </w:r>
      <w:r>
        <w:rPr>
          <w:rStyle w:val="OtherTok"/>
        </w:rPr>
        <w:t xml:space="preserve">&lt;-</w:t>
      </w:r>
      <w:r>
        <w:rPr>
          <w:rStyle w:val="NormalTok"/>
        </w:rPr>
        <w:t xml:space="preserve"> </w:t>
      </w:r>
      <w:r>
        <w:rPr>
          <w:rStyle w:val="FunctionTok"/>
        </w:rPr>
        <w:t xml:space="preserve">which</w:t>
      </w:r>
      <w:r>
        <w:rPr>
          <w:rStyle w:val="NormalTok"/>
        </w:rPr>
        <w:t xml:space="preserve">(tas_ab</w:t>
      </w:r>
      <w:r>
        <w:rPr>
          <w:rStyle w:val="SpecialCharTok"/>
        </w:rPr>
        <w:t xml:space="preserve">$</w:t>
      </w:r>
      <w:r>
        <w:rPr>
          <w:rStyle w:val="NormalTok"/>
        </w:rPr>
        <w:t xml:space="preserve">site </w:t>
      </w:r>
      <w:r>
        <w:rPr>
          <w:rStyle w:val="SpecialCharTok"/>
        </w:rPr>
        <w:t xml:space="preserve">==</w:t>
      </w:r>
      <w:r>
        <w:rPr>
          <w:rStyle w:val="NormalTok"/>
        </w:rPr>
        <w:t xml:space="preserve"> sites[i])</w:t>
      </w:r>
      <w:r>
        <w:br/>
      </w:r>
      <w:r>
        <w:rPr>
          <w:rStyle w:val="NormalTok"/>
        </w:rPr>
        <w:t xml:space="preserve">    models[[count]] </w:t>
      </w:r>
      <w:r>
        <w:rPr>
          <w:rStyle w:val="OtherTok"/>
        </w:rPr>
        <w:t xml:space="preserve">&lt;-</w:t>
      </w:r>
      <w:r>
        <w:rPr>
          <w:rStyle w:val="NormalTok"/>
        </w:rPr>
        <w:t xml:space="preserve"> </w:t>
      </w:r>
      <w:r>
        <w:rPr>
          <w:rStyle w:val="FunctionTok"/>
        </w:rPr>
        <w:t xml:space="preserve">fitmaturity</w:t>
      </w:r>
      <w:r>
        <w:rPr>
          <w:rStyle w:val="NormalTok"/>
        </w:rPr>
        <w:t xml:space="preserve">(tas_ab[picksite,],</w:t>
      </w:r>
      <w:r>
        <w:br/>
      </w:r>
      <w:r>
        <w:rPr>
          <w:rStyle w:val="NormalTok"/>
        </w:rPr>
        <w:t xml:space="preserve">                                   </w:t>
      </w:r>
      <w:r>
        <w:rPr>
          <w:rStyle w:val="AttributeTok"/>
        </w:rPr>
        <w:t xml:space="preserve">length=</w:t>
      </w:r>
      <w:r>
        <w:rPr>
          <w:rStyle w:val="StringTok"/>
        </w:rPr>
        <w:t xml:space="preserve">"length"</w:t>
      </w:r>
      <w:r>
        <w:rPr>
          <w:rStyle w:val="NormalTok"/>
        </w:rPr>
        <w:t xml:space="preserve">,</w:t>
      </w:r>
      <w:r>
        <w:rPr>
          <w:rStyle w:val="AttributeTok"/>
        </w:rPr>
        <w:t xml:space="preserve">mature=</w:t>
      </w:r>
      <w:r>
        <w:rPr>
          <w:rStyle w:val="StringTok"/>
        </w:rPr>
        <w:t xml:space="preserve">"mature"</w:t>
      </w:r>
      <w:r>
        <w:rPr>
          <w:rStyle w:val="NormalTok"/>
        </w:rPr>
        <w:t xml:space="preserve">,</w:t>
      </w:r>
      <w:r>
        <w:rPr>
          <w:rStyle w:val="AttributeTok"/>
        </w:rPr>
        <w:t xml:space="preserve">lower=</w:t>
      </w:r>
      <w:r>
        <w:rPr>
          <w:rStyle w:val="DecValTok"/>
        </w:rPr>
        <w:t xml:space="preserve">50</w:t>
      </w:r>
      <w:r>
        <w:rPr>
          <w:rStyle w:val="NormalTok"/>
        </w:rPr>
        <w:t xml:space="preserve">,</w:t>
      </w:r>
      <w:r>
        <w:rPr>
          <w:rStyle w:val="AttributeTok"/>
        </w:rPr>
        <w:t xml:space="preserve">upper=</w:t>
      </w:r>
      <w:r>
        <w:rPr>
          <w:rStyle w:val="DecValTok"/>
        </w:rPr>
        <w:t xml:space="preserve">160</w:t>
      </w:r>
      <w:r>
        <w:rPr>
          <w:rStyle w:val="NormalTok"/>
        </w:rPr>
        <w:t xml:space="preserve">)</w:t>
      </w:r>
      <w:r>
        <w:br/>
      </w:r>
      <w:r>
        <w:rPr>
          <w:rStyle w:val="NormalTok"/>
        </w:rPr>
        <w:t xml:space="preserve">  }</w:t>
      </w:r>
      <w:r>
        <w:br/>
      </w:r>
      <w:r>
        <w:br/>
      </w:r>
      <w:r>
        <w:rPr>
          <w:rStyle w:val="FunctionTok"/>
        </w:rPr>
        <w:t xml:space="preserve">str1</w:t>
      </w:r>
      <w:r>
        <w:rPr>
          <w:rStyle w:val="NormalTok"/>
        </w:rPr>
        <w:t xml:space="preserve">(models)</w:t>
      </w:r>
    </w:p>
    <w:p>
      <w:pPr>
        <w:pStyle w:val="SourceCode"/>
      </w:pPr>
      <w:r>
        <w:rPr>
          <w:rStyle w:val="VerbatimChar"/>
        </w:rPr>
        <w:t xml:space="preserve">List of 12</w:t>
      </w:r>
      <w:r>
        <w:br/>
      </w:r>
      <w:r>
        <w:rPr>
          <w:rStyle w:val="VerbatimChar"/>
        </w:rPr>
        <w:t xml:space="preserve"> $ AB-NW-SAM-2024-5-1 :List of 4</w:t>
      </w:r>
      <w:r>
        <w:br/>
      </w:r>
      <w:r>
        <w:rPr>
          <w:rStyle w:val="VerbatimChar"/>
        </w:rPr>
        <w:t xml:space="preserve"> $ AB-NW-SAM-2024-5-2 :List of 4</w:t>
      </w:r>
      <w:r>
        <w:br/>
      </w:r>
      <w:r>
        <w:rPr>
          <w:rStyle w:val="VerbatimChar"/>
        </w:rPr>
        <w:t xml:space="preserve"> $ AB-NW-SAM-2024-5-3 :List of 4</w:t>
      </w:r>
      <w:r>
        <w:br/>
      </w:r>
      <w:r>
        <w:rPr>
          <w:rStyle w:val="VerbatimChar"/>
        </w:rPr>
        <w:t xml:space="preserve"> $ AB-NW-SAM-2024-5-4 :List of 4</w:t>
      </w:r>
      <w:r>
        <w:br/>
      </w:r>
      <w:r>
        <w:rPr>
          <w:rStyle w:val="VerbatimChar"/>
        </w:rPr>
        <w:t xml:space="preserve"> $ AB-NW-SAM-2024-5-5 :List of 4</w:t>
      </w:r>
      <w:r>
        <w:br/>
      </w:r>
      <w:r>
        <w:rPr>
          <w:rStyle w:val="VerbatimChar"/>
        </w:rPr>
        <w:t xml:space="preserve"> $ AB-NW-SAM-2024-5-6 :List of 4</w:t>
      </w:r>
      <w:r>
        <w:br/>
      </w:r>
      <w:r>
        <w:rPr>
          <w:rStyle w:val="VerbatimChar"/>
        </w:rPr>
        <w:t xml:space="preserve"> $ AB-NW-SAM-2024-5-8 :List of 4</w:t>
      </w:r>
      <w:r>
        <w:br/>
      </w:r>
      <w:r>
        <w:rPr>
          <w:rStyle w:val="VerbatimChar"/>
        </w:rPr>
        <w:t xml:space="preserve"> $ AB-NW-SAM-2024-5-9 :List of 4</w:t>
      </w:r>
      <w:r>
        <w:br/>
      </w:r>
      <w:r>
        <w:rPr>
          <w:rStyle w:val="VerbatimChar"/>
        </w:rPr>
        <w:t xml:space="preserve"> $ AB-NW-SAM-2024-5-10:List of 4</w:t>
      </w:r>
      <w:r>
        <w:br/>
      </w:r>
      <w:r>
        <w:rPr>
          <w:rStyle w:val="VerbatimChar"/>
        </w:rPr>
        <w:t xml:space="preserve"> $ AB-NW-SAM-2024-5-13:List of 4</w:t>
      </w:r>
      <w:r>
        <w:br/>
      </w:r>
      <w:r>
        <w:rPr>
          <w:rStyle w:val="VerbatimChar"/>
        </w:rPr>
        <w:t xml:space="preserve"> $ AB-NW-SAM-2024-5-17:List of 4</w:t>
      </w:r>
      <w:r>
        <w:br/>
      </w:r>
      <w:r>
        <w:rPr>
          <w:rStyle w:val="VerbatimChar"/>
        </w:rPr>
        <w:t xml:space="preserve"> $ AB-NW-SAM-2024-5-18:List of 4</w:t>
      </w:r>
    </w:p>
    <w:p>
      <w:pPr>
        <w:pStyle w:val="SourceCode"/>
      </w:pPr>
      <w:r>
        <w:rPr>
          <w:rStyle w:val="FunctionTok"/>
        </w:rPr>
        <w:t xml:space="preserve">str1</w:t>
      </w:r>
      <w:r>
        <w:rPr>
          <w:rStyle w:val="NormalTok"/>
        </w:rPr>
        <w:t xml:space="preserve">(models[[</w:t>
      </w:r>
      <w:r>
        <w:rPr>
          <w:rStyle w:val="StringTok"/>
        </w:rPr>
        <w:t xml:space="preserve">"Site1"</w:t>
      </w:r>
      <w:r>
        <w:rPr>
          <w:rStyle w:val="NormalTok"/>
        </w:rPr>
        <w:t xml:space="preserve">]])</w:t>
      </w:r>
    </w:p>
    <w:p>
      <w:pPr>
        <w:pStyle w:val="SourceCode"/>
      </w:pPr>
      <w:r>
        <w:rPr>
          <w:rStyle w:val="VerbatimChar"/>
        </w:rPr>
        <w:t xml:space="preserve"> NULL</w:t>
      </w:r>
    </w:p>
    <w:p>
      <w:pPr>
        <w:pStyle w:val="SourceCode"/>
      </w:pPr>
      <w:r>
        <w:rPr>
          <w:rStyle w:val="CommentTok"/>
        </w:rPr>
        <w:t xml:space="preserve"># Create maturity plots for each site</w:t>
      </w:r>
      <w:r>
        <w:br/>
      </w:r>
      <w:r>
        <w:rPr>
          <w:rStyle w:val="FunctionTok"/>
        </w:rPr>
        <w:t xml:space="preserve">plotprep</w:t>
      </w:r>
      <w:r>
        <w:rPr>
          <w:rStyle w:val="NormalTok"/>
        </w:rPr>
        <w:t xml:space="preserve">(</w:t>
      </w:r>
      <w:r>
        <w:rPr>
          <w:rStyle w:val="AttributeTok"/>
        </w:rPr>
        <w:t xml:space="preserve">width=</w:t>
      </w:r>
      <w:r>
        <w:rPr>
          <w:rStyle w:val="DecValTok"/>
        </w:rPr>
        <w:t xml:space="preserve">10</w:t>
      </w:r>
      <w:r>
        <w:rPr>
          <w:rStyle w:val="NormalTok"/>
        </w:rPr>
        <w:t xml:space="preserve">, </w:t>
      </w:r>
      <w:r>
        <w:rPr>
          <w:rStyle w:val="AttributeTok"/>
        </w:rPr>
        <w:t xml:space="preserve">height=</w:t>
      </w:r>
      <w:r>
        <w:rPr>
          <w:rStyle w:val="DecValTok"/>
        </w:rPr>
        <w:t xml:space="preserve">8</w:t>
      </w:r>
      <w:r>
        <w:rPr>
          <w:rStyle w:val="NormalTok"/>
        </w:rPr>
        <w:t xml:space="preserve">)</w:t>
      </w:r>
      <w:r>
        <w:br/>
      </w:r>
      <w:r>
        <w:rPr>
          <w:rStyle w:val="FunctionTok"/>
        </w:rPr>
        <w:t xml:space="preserve">parset</w:t>
      </w:r>
      <w:r>
        <w:rPr>
          <w:rStyle w:val="NormalTok"/>
        </w:rPr>
        <w:t xml:space="preserve">(</w:t>
      </w:r>
      <w:r>
        <w:rPr>
          <w:rStyle w:val="AttributeTok"/>
        </w:rPr>
        <w:t xml:space="preserve">plots=</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(models)) {</w:t>
      </w:r>
      <w:r>
        <w:br/>
      </w:r>
      <w:r>
        <w:rPr>
          <w:rStyle w:val="NormalTok"/>
        </w:rPr>
        <w:t xml:space="preserve">  </w:t>
      </w:r>
      <w:r>
        <w:rPr>
          <w:rStyle w:val="FunctionTok"/>
        </w:rPr>
        <w:t xml:space="preserve">plotmaturity</w:t>
      </w:r>
      <w:r>
        <w:rPr>
          <w:rStyle w:val="NormalTok"/>
        </w:rPr>
        <w:t xml:space="preserve">(models[[i]],</w:t>
      </w:r>
      <w:r>
        <w:rPr>
          <w:rStyle w:val="AttributeTok"/>
        </w:rPr>
        <w:t xml:space="preserve">label=</w:t>
      </w:r>
      <w:r>
        <w:rPr>
          <w:rStyle w:val="NormalTok"/>
        </w:rPr>
        <w:t xml:space="preserve">scenes[i],</w:t>
      </w:r>
      <w:r>
        <w:rPr>
          <w:rStyle w:val="AttributeTok"/>
        </w:rPr>
        <w:t xml:space="preserve">col=</w:t>
      </w:r>
      <w:r>
        <w:rPr>
          <w:rStyle w:val="DecValTok"/>
        </w:rPr>
        <w:t xml:space="preserve">2</w:t>
      </w:r>
      <w:r>
        <w:rPr>
          <w:rStyle w:val="NormalTok"/>
        </w:rPr>
        <w:t xml:space="preserve">,</w:t>
      </w:r>
      <w:r>
        <w:rPr>
          <w:rStyle w:val="AttributeTok"/>
        </w:rPr>
        <w:t xml:space="preserve">xmin=</w:t>
      </w:r>
      <w:r>
        <w:rPr>
          <w:rStyle w:val="DecValTok"/>
        </w:rPr>
        <w:t xml:space="preserve">0</w:t>
      </w:r>
      <w:r>
        <w:rPr>
          <w:rStyle w:val="NormalTok"/>
        </w:rPr>
        <w:t xml:space="preserve">,</w:t>
      </w:r>
      <w:r>
        <w:rPr>
          <w:rStyle w:val="AttributeTok"/>
        </w:rPr>
        <w:t xml:space="preserve">xmax=</w:t>
      </w:r>
      <w:r>
        <w:rPr>
          <w:rStyle w:val="DecValTok"/>
        </w:rPr>
        <w:t xml:space="preserve">0</w:t>
      </w:r>
      <w:r>
        <w:rPr>
          <w:rStyle w:val="NormalTok"/>
        </w:rPr>
        <w:t xml:space="preserve">,</w:t>
      </w:r>
      <w:r>
        <w:rPr>
          <w:rStyle w:val="AttributeTok"/>
        </w:rPr>
        <w:t xml:space="preserve">CI=</w:t>
      </w:r>
      <w:r>
        <w:rPr>
          <w:rStyle w:val="ConstantTok"/>
        </w:rPr>
        <w:t xml:space="preserve">FALSE</w:t>
      </w:r>
      <w:r>
        <w:rPr>
          <w:rStyle w:val="NormalTok"/>
        </w:rPr>
        <w:t xml:space="preserve">,</w:t>
      </w:r>
      <w:r>
        <w:br/>
      </w:r>
      <w:r>
        <w:rPr>
          <w:rStyle w:val="NormalTok"/>
        </w:rPr>
        <w:t xml:space="preserve">                           </w:t>
      </w:r>
      <w:r>
        <w:rPr>
          <w:rStyle w:val="AttributeTok"/>
        </w:rPr>
        <w:t xml:space="preserve">setpar=</w:t>
      </w:r>
      <w:r>
        <w:rPr>
          <w:rStyle w:val="ConstantTok"/>
        </w:rPr>
        <w:t xml:space="preserve">FALSE</w:t>
      </w:r>
      <w:r>
        <w:rPr>
          <w:rStyle w:val="NormalTok"/>
        </w:rPr>
        <w:t xml:space="preserve">,</w:t>
      </w:r>
      <w:r>
        <w:rPr>
          <w:rStyle w:val="AttributeTok"/>
        </w:rPr>
        <w:t xml:space="preserve">lwd=</w:t>
      </w:r>
      <w:r>
        <w:rPr>
          <w:rStyle w:val="DecValTok"/>
        </w:rPr>
        <w:t xml:space="preserve">2</w:t>
      </w:r>
      <w:r>
        <w:rPr>
          <w:rStyle w:val="NormalTok"/>
        </w:rPr>
        <w:t xml:space="preserve">)  </w:t>
      </w:r>
      <w:r>
        <w:br/>
      </w:r>
      <w:r>
        <w:rPr>
          <w:rStyle w:val="NormalTok"/>
        </w:rP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2" w:name="fig-prop-mature-1"/>
          <w:p>
            <w:pPr>
              <w:pStyle w:val="Compact"/>
              <w:jc w:val="center"/>
            </w:pPr>
            <w:r>
              <w:drawing>
                <wp:inline>
                  <wp:extent cx="4620126" cy="3696101"/>
                  <wp:effectExtent b="0" l="0" r="0" t="0"/>
                  <wp:docPr descr="" title="" id="40" name="Picture"/>
                  <a:graphic>
                    <a:graphicData uri="http://schemas.openxmlformats.org/drawingml/2006/picture">
                      <pic:pic>
                        <pic:nvPicPr>
                          <pic:cNvPr descr="NW_SAM_files/figure-docx/fig-prop-mature-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Proportion mature at length for blacklip abalone maturity data at each surveyed site in Block 5 (NW Tasmania) in 2025. Length at 50% maturity is indicated by the green vertical line, and sample size is presented in the top-left corner of the plot.</w:t>
            </w:r>
          </w:p>
          <w:bookmarkEnd w:id="42"/>
        </w:tc>
      </w:tr>
    </w:tbl>
    <w:tbl>
      <w:tblPr>
        <w:tblStyle w:val="Table"/>
        <w:tblW w:type="pct" w:w="5000"/>
        <w:tblLook w:firstRow="0" w:lastRow="0" w:firstColumn="0" w:lastColumn="0" w:noHBand="0" w:noVBand="0" w:val="0000"/>
        <w:jc w:val="start"/>
        <w:tblLayout w:type="fixed"/>
      </w:tblPr>
      <w:tblGrid>
        <w:gridCol w:w="7920"/>
      </w:tblGrid>
      <w:tr>
        <w:tc>
          <w:tcPr/>
          <w:bookmarkStart w:id="46" w:name="fig-prop-mature-2"/>
          <w:p>
            <w:pPr>
              <w:pStyle w:val="Compact"/>
              <w:jc w:val="center"/>
            </w:pPr>
            <w:r>
              <w:drawing>
                <wp:inline>
                  <wp:extent cx="4620126" cy="3696101"/>
                  <wp:effectExtent b="0" l="0" r="0" t="0"/>
                  <wp:docPr descr="" title="" id="44" name="Picture"/>
                  <a:graphic>
                    <a:graphicData uri="http://schemas.openxmlformats.org/drawingml/2006/picture">
                      <pic:pic>
                        <pic:nvPicPr>
                          <pic:cNvPr descr="NW_SAM_files/figure-docx/fig-prop-mature-2.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mature at length for blacklip abalone maturity data at each surveyed site in Block 5 (NW Tasmania) in 2025. Length at 50% maturity is indicated by the green vertical line, and sample size is presented in the top-left corner of the plot.</w:t>
            </w:r>
          </w:p>
          <w:bookmarkEnd w:id="46"/>
        </w:tc>
      </w:tr>
    </w:tbl>
    <w:tbl>
      <w:tblPr>
        <w:tblStyle w:val="Table"/>
        <w:tblW w:type="pct" w:w="5000"/>
        <w:tblLook w:firstRow="0" w:lastRow="0" w:firstColumn="0" w:lastColumn="0" w:noHBand="0" w:noVBand="0" w:val="0000"/>
        <w:jc w:val="start"/>
        <w:tblLayout w:type="fixed"/>
      </w:tblPr>
      <w:tblGrid>
        <w:gridCol w:w="7920"/>
      </w:tblGrid>
      <w:tr>
        <w:tc>
          <w:tcPr/>
          <w:bookmarkStart w:id="50" w:name="fig-prop-mature-3"/>
          <w:p>
            <w:pPr>
              <w:pStyle w:val="Compact"/>
              <w:jc w:val="center"/>
            </w:pPr>
            <w:r>
              <w:drawing>
                <wp:inline>
                  <wp:extent cx="4620126" cy="3696101"/>
                  <wp:effectExtent b="0" l="0" r="0" t="0"/>
                  <wp:docPr descr="" title="" id="48" name="Picture"/>
                  <a:graphic>
                    <a:graphicData uri="http://schemas.openxmlformats.org/drawingml/2006/picture">
                      <pic:pic>
                        <pic:nvPicPr>
                          <pic:cNvPr descr="NW_SAM_files/figure-docx/fig-prop-mature-3.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 mature at length for blacklip abalone maturity data at each surveyed site in Block 5 (NW Tasmania) in 2025. Length at 50% maturity is indicated by the green vertical line, and sample size is presented in the top-left corner of the plot.</w:t>
            </w:r>
          </w:p>
          <w:bookmarkEnd w:id="50"/>
        </w:tc>
      </w:tr>
    </w:tbl>
    <w:p>
      <w:pPr>
        <w:pStyle w:val="BodyText"/>
      </w:pPr>
      <w:r>
        <w:t xml:space="preserve">There was a broad range in size-at-maturity across the 12 sampled sites, ranging from 96.6 mm at Site 10 to 122.2 mm at Site 6 (</w:t>
      </w:r>
      <w:r>
        <w:rPr>
          <w:bCs/>
          <w:b/>
        </w:rPr>
        <w:t xml:space="preserve">?@fig-prop-mature</w:t>
      </w:r>
      <w:r>
        <w:t xml:space="preserve">). This variation is consistent with our understanding of the spatial complexity and distinct population characteristics of abalone in this region of the fishery</w:t>
      </w:r>
    </w:p>
    <w:bookmarkEnd w:id="51"/>
    <w:bookmarkStart w:id="56" w:name="size-at-maturity-across-block"/>
    <w:p>
      <w:pPr>
        <w:pStyle w:val="Heading2"/>
      </w:pPr>
      <w:r>
        <w:t xml:space="preserve">Size-at-maturity across block</w:t>
      </w:r>
    </w:p>
    <w:p>
      <w:pPr>
        <w:pStyle w:val="FirstParagraph"/>
      </w:pPr>
      <w:r>
        <w:t xml:space="preserve">Preliminary analysis combining all sites sampled to data suggests that the overall size-at-maturity for Block 5 is approximately 109.3 mm (</w:t>
      </w:r>
      <w:hyperlink w:anchor="fig-prop-mature-block">
        <w:r>
          <w:rPr>
            <w:rStyle w:val="Hyperlink"/>
          </w:rPr>
          <w:t xml:space="preserve">Figure 4</w:t>
        </w:r>
      </w:hyperlink>
      <w:r>
        <w:t xml:space="preserve">).</w:t>
      </w:r>
    </w:p>
    <w:p>
      <w:pPr>
        <w:pStyle w:val="SourceCode"/>
      </w:pPr>
      <w:r>
        <w:rPr>
          <w:rStyle w:val="CommentTok"/>
        </w:rPr>
        <w:t xml:space="preserve"># Run model across block for sexes combined</w:t>
      </w:r>
      <w:r>
        <w:br/>
      </w:r>
      <w:r>
        <w:rPr>
          <w:rStyle w:val="NormalTok"/>
        </w:rPr>
        <w:t xml:space="preserve">models </w:t>
      </w:r>
      <w:r>
        <w:rPr>
          <w:rStyle w:val="OtherTok"/>
        </w:rPr>
        <w:t xml:space="preserve">&lt;-</w:t>
      </w:r>
      <w:r>
        <w:rPr>
          <w:rStyle w:val="NormalTok"/>
        </w:rPr>
        <w:t xml:space="preserve"> </w:t>
      </w:r>
      <w:r>
        <w:rPr>
          <w:rStyle w:val="FunctionTok"/>
        </w:rPr>
        <w:t xml:space="preserve">fitmaturity</w:t>
      </w:r>
      <w:r>
        <w:rPr>
          <w:rStyle w:val="NormalTok"/>
        </w:rPr>
        <w:t xml:space="preserve">(tas_ab, </w:t>
      </w:r>
      <w:r>
        <w:rPr>
          <w:rStyle w:val="AttributeTok"/>
        </w:rPr>
        <w:t xml:space="preserve">length =</w:t>
      </w:r>
      <w:r>
        <w:rPr>
          <w:rStyle w:val="NormalTok"/>
        </w:rPr>
        <w:t xml:space="preserve"> </w:t>
      </w:r>
      <w:r>
        <w:rPr>
          <w:rStyle w:val="StringTok"/>
        </w:rPr>
        <w:t xml:space="preserve">"length"</w:t>
      </w:r>
      <w:r>
        <w:rPr>
          <w:rStyle w:val="NormalTok"/>
        </w:rPr>
        <w:t xml:space="preserve">, </w:t>
      </w:r>
      <w:r>
        <w:rPr>
          <w:rStyle w:val="AttributeTok"/>
        </w:rPr>
        <w:t xml:space="preserve">mature =</w:t>
      </w:r>
      <w:r>
        <w:rPr>
          <w:rStyle w:val="NormalTok"/>
        </w:rPr>
        <w:t xml:space="preserve"> </w:t>
      </w:r>
      <w:r>
        <w:rPr>
          <w:rStyle w:val="StringTok"/>
        </w:rPr>
        <w:t xml:space="preserve">"mature"</w:t>
      </w:r>
      <w:r>
        <w:rPr>
          <w:rStyle w:val="NormalTok"/>
        </w:rPr>
        <w:t xml:space="preserve">, </w:t>
      </w:r>
      <w:r>
        <w:rPr>
          <w:rStyle w:val="AttributeTok"/>
        </w:rPr>
        <w:t xml:space="preserve">lower =</w:t>
      </w:r>
      <w:r>
        <w:rPr>
          <w:rStyle w:val="NormalTok"/>
        </w:rPr>
        <w:t xml:space="preserve"> </w:t>
      </w:r>
      <w:r>
        <w:rPr>
          <w:rStyle w:val="DecValTok"/>
        </w:rPr>
        <w:t xml:space="preserve">50</w:t>
      </w:r>
      <w:r>
        <w:rPr>
          <w:rStyle w:val="NormalTok"/>
        </w:rPr>
        <w:t xml:space="preserve">,</w:t>
      </w:r>
      <w:r>
        <w:rPr>
          <w:rStyle w:val="AttributeTok"/>
        </w:rPr>
        <w:t xml:space="preserve">upper =</w:t>
      </w:r>
      <w:r>
        <w:rPr>
          <w:rStyle w:val="NormalTok"/>
        </w:rPr>
        <w:t xml:space="preserve"> </w:t>
      </w:r>
      <w:r>
        <w:rPr>
          <w:rStyle w:val="DecValTok"/>
        </w:rPr>
        <w:t xml:space="preserve">160</w:t>
      </w:r>
      <w:r>
        <w:rPr>
          <w:rStyle w:val="NormalTok"/>
        </w:rPr>
        <w:t xml:space="preserve">)</w:t>
      </w:r>
      <w:r>
        <w:br/>
      </w:r>
      <w:r>
        <w:br/>
      </w:r>
      <w:r>
        <w:rPr>
          <w:rStyle w:val="CommentTok"/>
        </w:rPr>
        <w:t xml:space="preserve"># Create maturity plots for entire Block 5</w:t>
      </w:r>
      <w:r>
        <w:br/>
      </w:r>
      <w:r>
        <w:rPr>
          <w:rStyle w:val="FunctionTok"/>
        </w:rPr>
        <w:t xml:space="preserve">plotprep</w:t>
      </w:r>
      <w:r>
        <w:rPr>
          <w:rStyle w:val="NormalTok"/>
        </w:rPr>
        <w:t xml:space="preserve">(</w:t>
      </w:r>
      <w:r>
        <w:rPr>
          <w:rStyle w:val="AttributeTok"/>
        </w:rPr>
        <w:t xml:space="preserve">width=</w:t>
      </w:r>
      <w:r>
        <w:rPr>
          <w:rStyle w:val="DecValTok"/>
        </w:rPr>
        <w:t xml:space="preserve">10</w:t>
      </w:r>
      <w:r>
        <w:rPr>
          <w:rStyle w:val="NormalTok"/>
        </w:rPr>
        <w:t xml:space="preserve">, </w:t>
      </w:r>
      <w:r>
        <w:rPr>
          <w:rStyle w:val="AttributeTok"/>
        </w:rPr>
        <w:t xml:space="preserve">height=</w:t>
      </w:r>
      <w:r>
        <w:rPr>
          <w:rStyle w:val="DecValTok"/>
        </w:rPr>
        <w:t xml:space="preserve">8</w:t>
      </w:r>
      <w:r>
        <w:rPr>
          <w:rStyle w:val="NormalTok"/>
        </w:rPr>
        <w:t xml:space="preserve">)</w:t>
      </w:r>
      <w:r>
        <w:br/>
      </w:r>
      <w:r>
        <w:rPr>
          <w:rStyle w:val="CommentTok"/>
        </w:rPr>
        <w:t xml:space="preserve"># parset(plots=c(2,2))</w:t>
      </w:r>
      <w:r>
        <w:br/>
      </w:r>
      <w:r>
        <w:rPr>
          <w:rStyle w:val="FunctionTok"/>
        </w:rPr>
        <w:t xml:space="preserve">plotmaturity</w:t>
      </w:r>
      <w:r>
        <w:rPr>
          <w:rStyle w:val="NormalTok"/>
        </w:rPr>
        <w:t xml:space="preserve">(models, </w:t>
      </w:r>
      <w:r>
        <w:rPr>
          <w:rStyle w:val="AttributeTok"/>
        </w:rPr>
        <w:t xml:space="preserve">label =</w:t>
      </w:r>
      <w:r>
        <w:rPr>
          <w:rStyle w:val="NormalTok"/>
        </w:rPr>
        <w:t xml:space="preserve"> </w:t>
      </w:r>
      <w:r>
        <w:rPr>
          <w:rStyle w:val="StringTok"/>
        </w:rPr>
        <w:t xml:space="preserve">'AB-NW-SAM-2024-Block-5'</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xmax =</w:t>
      </w:r>
      <w:r>
        <w:rPr>
          <w:rStyle w:val="NormalTok"/>
        </w:rPr>
        <w:t xml:space="preserve"> </w:t>
      </w:r>
      <w:r>
        <w:rPr>
          <w:rStyle w:val="DecValTok"/>
        </w:rPr>
        <w:t xml:space="preserve">0</w:t>
      </w:r>
      <w:r>
        <w:rPr>
          <w:rStyle w:val="NormalTok"/>
        </w:rPr>
        <w:t xml:space="preserve">, </w:t>
      </w:r>
      <w:r>
        <w:rPr>
          <w:rStyle w:val="AttributeTok"/>
        </w:rPr>
        <w:t xml:space="preserve">CI =</w:t>
      </w:r>
      <w:r>
        <w:rPr>
          <w:rStyle w:val="NormalTok"/>
        </w:rPr>
        <w:t xml:space="preserve"> F, </w:t>
      </w:r>
      <w:r>
        <w:rPr>
          <w:rStyle w:val="AttributeTok"/>
        </w:rPr>
        <w:t xml:space="preserve">setpar =</w:t>
      </w:r>
      <w:r>
        <w:rPr>
          <w:rStyle w:val="NormalTok"/>
        </w:rPr>
        <w:t xml:space="preserve"> F, </w:t>
      </w:r>
      <w:r>
        <w:rPr>
          <w:rStyle w:val="AttributeTok"/>
        </w:rPr>
        <w:t xml:space="preserve">lwd =</w:t>
      </w:r>
      <w:r>
        <w:rPr>
          <w:rStyle w:val="NormalTok"/>
        </w:rPr>
        <w:t xml:space="preserve"> </w:t>
      </w:r>
      <w:r>
        <w:rPr>
          <w:rStyle w:val="DecValTok"/>
        </w:rPr>
        <w:t xml:space="preserve">2</w:t>
      </w:r>
      <w:r>
        <w:rPr>
          <w:rStyle w:val="NormalTok"/>
        </w:rP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5" w:name="fig-prop-mature-block"/>
          <w:p>
            <w:pPr>
              <w:pStyle w:val="Compact"/>
              <w:jc w:val="center"/>
            </w:pPr>
            <w:r>
              <w:drawing>
                <wp:inline>
                  <wp:extent cx="4620126" cy="3696101"/>
                  <wp:effectExtent b="0" l="0" r="0" t="0"/>
                  <wp:docPr descr="" title="" id="53" name="Picture"/>
                  <a:graphic>
                    <a:graphicData uri="http://schemas.openxmlformats.org/drawingml/2006/picture">
                      <pic:pic>
                        <pic:nvPicPr>
                          <pic:cNvPr descr="NW_SAM_files/figure-docx/fig-prop-mature-block-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 mature at length for blacklip abalone maturity data for Block 5 (NW Tasmania) in 2025. Length at 50% maturity is indicated by the green vertical line, and sample size is presented in the top-left corner of the plot.</w:t>
            </w:r>
          </w:p>
          <w:bookmarkEnd w:id="55"/>
        </w:tc>
      </w:tr>
    </w:tbl>
    <w:bookmarkEnd w:id="56"/>
    <w:bookmarkEnd w:id="57"/>
    <w:bookmarkStart w:id="68" w:name="shellology-maturity-status"/>
    <w:p>
      <w:pPr>
        <w:pStyle w:val="Heading1"/>
      </w:pPr>
      <w:r>
        <w:t xml:space="preserve">Shellology maturity status</w:t>
      </w:r>
    </w:p>
    <w:p>
      <w:pPr>
        <w:pStyle w:val="FirstParagraph"/>
      </w:pPr>
      <w:r>
        <w:t xml:space="preserve">The following analyses were conducted as part of the collaborative AIDF project,</w:t>
      </w:r>
      <w:r>
        <w:t xml:space="preserve"> </w:t>
      </w:r>
      <w:r>
        <w:t xml:space="preserve">‘</w:t>
      </w:r>
      <w:r>
        <w:t xml:space="preserve">Assessing the Potential of SPR Methods to Improve Fishery Assessments and Management Decisions</w:t>
      </w:r>
      <w:r>
        <w:t xml:space="preserve">’</w:t>
      </w:r>
      <w:r>
        <w:t xml:space="preserve">, sub-contracted to Dr Jeremy Prince.</w:t>
      </w:r>
    </w:p>
    <w:bookmarkStart w:id="62" w:name="internal-shell-scaring-vs-maturity"/>
    <w:p>
      <w:pPr>
        <w:pStyle w:val="Heading2"/>
      </w:pPr>
      <w:r>
        <w:t xml:space="preserve">Internal shell scaring vs maturity</w:t>
      </w:r>
    </w:p>
    <w:p>
      <w:pPr>
        <w:pStyle w:val="FirstParagraph"/>
      </w:pPr>
      <w:r>
        <w:t xml:space="preserve">A quick summary plot comparing Prince</w:t>
      </w:r>
      <w:r>
        <w:t xml:space="preserve"> </w:t>
      </w:r>
      <w:r>
        <w:t xml:space="preserve">‘</w:t>
      </w:r>
      <w:r>
        <w:t xml:space="preserve">shellology</w:t>
      </w:r>
      <w:r>
        <w:t xml:space="preserve">’</w:t>
      </w:r>
      <w:r>
        <w:t xml:space="preserve"> </w:t>
      </w:r>
      <w:r>
        <w:t xml:space="preserve">classification of internal shell scaring and maturity status determined from macroscopic examination of gonads. A summary of the Shell_internal_score:</w:t>
      </w:r>
    </w:p>
    <w:p>
      <w:pPr>
        <w:numPr>
          <w:ilvl w:val="0"/>
          <w:numId w:val="1003"/>
        </w:numPr>
        <w:pStyle w:val="Compact"/>
      </w:pPr>
      <w:r>
        <w:t xml:space="preserve">No scar formation.</w:t>
      </w:r>
    </w:p>
    <w:p>
      <w:pPr>
        <w:numPr>
          <w:ilvl w:val="0"/>
          <w:numId w:val="1003"/>
        </w:numPr>
        <w:pStyle w:val="Compact"/>
      </w:pPr>
      <w:r>
        <w:t xml:space="preserve">Some pitting.</w:t>
      </w:r>
    </w:p>
    <w:p>
      <w:pPr>
        <w:numPr>
          <w:ilvl w:val="0"/>
          <w:numId w:val="1003"/>
        </w:numPr>
        <w:pStyle w:val="Compact"/>
      </w:pPr>
      <w:r>
        <w:t xml:space="preserve">Quite pitted.</w:t>
      </w:r>
    </w:p>
    <w:p>
      <w:pPr>
        <w:numPr>
          <w:ilvl w:val="0"/>
          <w:numId w:val="1003"/>
        </w:numPr>
        <w:pStyle w:val="Compact"/>
      </w:pPr>
      <w:r>
        <w:t xml:space="preserve">Secondary deposition forming.</w:t>
      </w:r>
    </w:p>
    <w:p>
      <w:pPr>
        <w:numPr>
          <w:ilvl w:val="0"/>
          <w:numId w:val="1003"/>
        </w:numPr>
        <w:pStyle w:val="Compact"/>
      </w:pPr>
      <w:r>
        <w:t xml:space="preserve">Secondary deposition covers most of muscle attachment site.</w:t>
      </w:r>
    </w:p>
    <w:p>
      <w:pPr>
        <w:numPr>
          <w:ilvl w:val="0"/>
          <w:numId w:val="1003"/>
        </w:numPr>
        <w:pStyle w:val="Compact"/>
      </w:pPr>
      <w:r>
        <w:t xml:space="preserve">Secondary deposition covers all of muscle attachment site.</w:t>
      </w:r>
    </w:p>
    <w:tbl>
      <w:tblPr>
        <w:tblStyle w:val="Table"/>
        <w:tblW w:type="pct" w:w="5000"/>
        <w:tblLook w:firstRow="0" w:lastRow="0" w:firstColumn="0" w:lastColumn="0" w:noHBand="0" w:noVBand="0" w:val="0000"/>
        <w:jc w:val="start"/>
        <w:tblLayout w:type="fixed"/>
      </w:tblPr>
      <w:tblGrid>
        <w:gridCol w:w="7920"/>
      </w:tblGrid>
      <w:tr>
        <w:tc>
          <w:tcPr/>
          <w:bookmarkStart w:id="61" w:name="fig-int-shell-count"/>
          <w:p>
            <w:pPr>
              <w:pStyle w:val="Compact"/>
              <w:jc w:val="center"/>
            </w:pPr>
            <w:r>
              <w:drawing>
                <wp:inline>
                  <wp:extent cx="4620126" cy="3696101"/>
                  <wp:effectExtent b="0" l="0" r="0" t="0"/>
                  <wp:docPr descr="" title="" id="59" name="Picture"/>
                  <a:graphic>
                    <a:graphicData uri="http://schemas.openxmlformats.org/drawingml/2006/picture">
                      <pic:pic>
                        <pic:nvPicPr>
                          <pic:cNvPr descr="NW_SAM_files/figure-docx/fig-int-shell-count-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count of abalone for each internal shell classification from specimens sampled in Block 5 (NW Tasmania) in 2025.</w:t>
            </w:r>
          </w:p>
          <w:bookmarkEnd w:id="61"/>
        </w:tc>
      </w:tr>
    </w:tbl>
    <w:p>
      <w:pPr>
        <w:pStyle w:val="BodyText"/>
      </w:pPr>
      <w:r>
        <w:t xml:space="preserve">Preliminary observations of internal shell condition suggest that scarring and secondary deposition become increasingly evident with maturation, supporting its potential use as an indicator of reproductive status (</w:t>
      </w:r>
      <w:hyperlink w:anchor="fig-int-shell-count">
        <w:r>
          <w:rPr>
            <w:rStyle w:val="Hyperlink"/>
          </w:rPr>
          <w:t xml:space="preserve">Figure 5</w:t>
        </w:r>
      </w:hyperlink>
      <w:r>
        <w:t xml:space="preserve">). However, it is important to note that this remains a destructive sampling method, requiring animals to be removed from their shells to assess internal shell features.</w:t>
      </w:r>
    </w:p>
    <w:bookmarkEnd w:id="62"/>
    <w:bookmarkStart w:id="67" w:name="external-shell-appearance-vs-maturity"/>
    <w:p>
      <w:pPr>
        <w:pStyle w:val="Heading2"/>
      </w:pPr>
      <w:r>
        <w:t xml:space="preserve">External shell appearance vs maturity</w:t>
      </w:r>
    </w:p>
    <w:p>
      <w:pPr>
        <w:pStyle w:val="FirstParagraph"/>
      </w:pPr>
      <w:r>
        <w:t xml:space="preserve">A quick summary plot comparing Prince</w:t>
      </w:r>
      <w:r>
        <w:t xml:space="preserve"> </w:t>
      </w:r>
      <w:r>
        <w:t xml:space="preserve">‘</w:t>
      </w:r>
      <w:r>
        <w:t xml:space="preserve">shellology</w:t>
      </w:r>
      <w:r>
        <w:t xml:space="preserve">’</w:t>
      </w:r>
      <w:r>
        <w:t xml:space="preserve"> </w:t>
      </w:r>
      <w:r>
        <w:t xml:space="preserve">classification of external shell appearance and maturity status determined from external appearance and fouling of shell. A summary of the Shell_external_score:</w:t>
      </w:r>
    </w:p>
    <w:p>
      <w:pPr>
        <w:numPr>
          <w:ilvl w:val="0"/>
          <w:numId w:val="1004"/>
        </w:numPr>
        <w:pStyle w:val="Compact"/>
      </w:pPr>
      <w:r>
        <w:t xml:space="preserve">Clean shell; no epiphytic growth.</w:t>
      </w:r>
    </w:p>
    <w:p>
      <w:pPr>
        <w:numPr>
          <w:ilvl w:val="0"/>
          <w:numId w:val="1004"/>
        </w:numPr>
        <w:pStyle w:val="Compact"/>
      </w:pPr>
      <w:r>
        <w:t xml:space="preserve">Some epiphytic fouling but not advanced.</w:t>
      </w:r>
    </w:p>
    <w:p>
      <w:pPr>
        <w:numPr>
          <w:ilvl w:val="0"/>
          <w:numId w:val="1004"/>
        </w:numPr>
        <w:pStyle w:val="Compact"/>
      </w:pPr>
      <w:r>
        <w:t xml:space="preserve">Hard fouling commenced around spire.</w:t>
      </w:r>
    </w:p>
    <w:p>
      <w:pPr>
        <w:numPr>
          <w:ilvl w:val="0"/>
          <w:numId w:val="1004"/>
        </w:numPr>
        <w:pStyle w:val="Compact"/>
      </w:pPr>
      <w:r>
        <w:t xml:space="preserve">Fleshy fouling and coraline covering spire but ripple texture of shell apparent.</w:t>
      </w:r>
    </w:p>
    <w:p>
      <w:pPr>
        <w:numPr>
          <w:ilvl w:val="0"/>
          <w:numId w:val="1004"/>
        </w:numPr>
        <w:pStyle w:val="Compact"/>
      </w:pPr>
      <w:r>
        <w:t xml:space="preserve">Fleshy fouling and coraline covering most of shell and ripple texture of shell non-apparent</w:t>
      </w:r>
    </w:p>
    <w:p>
      <w:pPr>
        <w:numPr>
          <w:ilvl w:val="0"/>
          <w:numId w:val="1004"/>
        </w:numPr>
        <w:pStyle w:val="Compact"/>
      </w:pPr>
      <w:r>
        <w:t xml:space="preserve">Shell completely overgrown with hard fouling to growing edge.</w:t>
      </w:r>
    </w:p>
    <w:p>
      <w:pPr>
        <w:numPr>
          <w:ilvl w:val="0"/>
          <w:numId w:val="1004"/>
        </w:numPr>
        <w:pStyle w:val="Compact"/>
      </w:pPr>
      <w:r>
        <w:t xml:space="preserve">Very thick fouling and shell completely overgrown.</w:t>
      </w:r>
    </w:p>
    <w:tbl>
      <w:tblPr>
        <w:tblStyle w:val="Table"/>
        <w:tblW w:type="pct" w:w="5000"/>
        <w:tblLook w:firstRow="0" w:lastRow="0" w:firstColumn="0" w:lastColumn="0" w:noHBand="0" w:noVBand="0" w:val="0000"/>
        <w:jc w:val="start"/>
        <w:tblLayout w:type="fixed"/>
      </w:tblPr>
      <w:tblGrid>
        <w:gridCol w:w="7920"/>
      </w:tblGrid>
      <w:tr>
        <w:tc>
          <w:tcPr/>
          <w:bookmarkStart w:id="66" w:name="fig-ext-shell-count"/>
          <w:p>
            <w:pPr>
              <w:pStyle w:val="Compact"/>
              <w:jc w:val="center"/>
            </w:pPr>
            <w:r>
              <w:drawing>
                <wp:inline>
                  <wp:extent cx="4620126" cy="3696101"/>
                  <wp:effectExtent b="0" l="0" r="0" t="0"/>
                  <wp:docPr descr="" title="" id="64" name="Picture"/>
                  <a:graphic>
                    <a:graphicData uri="http://schemas.openxmlformats.org/drawingml/2006/picture">
                      <pic:pic>
                        <pic:nvPicPr>
                          <pic:cNvPr descr="NW_SAM_files/figure-docx/fig-ext-shell-count-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Total count of abalone for each external shell classification from specimens sampled in Block 5 (NW Tasmania) in 2025.</w:t>
            </w:r>
          </w:p>
          <w:bookmarkEnd w:id="66"/>
        </w:tc>
      </w:tr>
    </w:tbl>
    <w:p>
      <w:pPr>
        <w:pStyle w:val="BodyText"/>
      </w:pPr>
      <w:r>
        <w:t xml:space="preserve">Preliminary observations align with our understanding of emergence patterns, with immature juvenile abalone typically exhibiting clean external shells and minimal coralline growth or other fouling (</w:t>
      </w:r>
      <w:hyperlink w:anchor="fig-ext-shell-count">
        <w:r>
          <w:rPr>
            <w:rStyle w:val="Hyperlink"/>
          </w:rPr>
          <w:t xml:space="preserve">Figure 6</w:t>
        </w:r>
      </w:hyperlink>
      <w:r>
        <w:t xml:space="preserve">). As animals mature, external fouling becomes increasingly apparent, supporting its potential use as a non-destructive macroscopic indicator of reproductive condition.</w:t>
      </w:r>
    </w:p>
    <w:bookmarkEnd w:id="67"/>
    <w:bookmarkEnd w:id="68"/>
    <w:bookmarkStart w:id="69" w:name="summary"/>
    <w:p>
      <w:pPr>
        <w:pStyle w:val="Heading1"/>
      </w:pPr>
      <w:r>
        <w:t xml:space="preserve">Summary</w:t>
      </w:r>
    </w:p>
    <w:p>
      <w:pPr>
        <w:pStyle w:val="FirstParagraph"/>
      </w:pPr>
      <w:r>
        <w:t xml:space="preserve">Preliminary analysis of data from the 12 sampled sites revealed clear variation in size-at-maturity across the block, consistent with our initial understanding of abalone population dynamics in the region. The inclusion of additional shell classification metrics has provided a complementary means of validating reproductive condition, which will be further explored as the project progresses.</w:t>
      </w:r>
    </w:p>
    <w:p>
      <w:pPr>
        <w:pStyle w:val="BodyText"/>
      </w:pPr>
      <w:r>
        <w:t xml:space="preserve">This work has now been incorporated into the broader AIRF 2023-64 project, which aims to examine abalone population dynamics across the region. The expanded scope includes additional size-at-maturity sampling, tagging and growth experiments, genetic and physiological assessments, and continued development of shell condition metrics to support SPR-based assessment approaches.</w:t>
      </w:r>
    </w:p>
    <w:p>
      <w:pPr>
        <w:pStyle w:val="BodyText"/>
      </w:pPr>
      <w:r>
        <w:t xml:space="preserve">Estimates of legal minimum length, defined as size-at-maturity plus three years of post-maturity growth, have not yet been updated, pending further data from ongoing tagging studies. These updates will form part of the broader project, which is currently underway and scheduled for completion by late 2026.</w:t>
      </w:r>
    </w:p>
    <w:bookmarkEnd w:id="69"/>
    <w:sectPr w:rsidR="009C64EC">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n-AU"/>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4200C5"/>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4200C5"/>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4200C5"/>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4200C5"/>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4200C5"/>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4200C5"/>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4200C5"/>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4200C5"/>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4200C5"/>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200C5"/>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4200C5"/>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4200C5"/>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4200C5"/>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4200C5"/>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4200C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4200C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4200C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4200C5"/>
    <w:rPr>
      <w:rFonts w:cstheme="majorBidi" w:eastAsiaTheme="majorEastAsia"/>
      <w:color w:themeColor="text1" w:themeTint="D8" w:val="272727"/>
    </w:rPr>
  </w:style>
  <w:style w:styleId="Title" w:type="paragraph">
    <w:name w:val="Title"/>
    <w:basedOn w:val="Normal"/>
    <w:next w:val="Normal"/>
    <w:link w:val="TitleChar"/>
    <w:uiPriority w:val="10"/>
    <w:qFormat/>
    <w:rsid w:val="004200C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4200C5"/>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4200C5"/>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4200C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4200C5"/>
    <w:pPr>
      <w:spacing w:before="160"/>
      <w:jc w:val="center"/>
    </w:pPr>
    <w:rPr>
      <w:i/>
      <w:iCs/>
      <w:color w:themeColor="text1" w:themeTint="BF" w:val="404040"/>
    </w:rPr>
  </w:style>
  <w:style w:customStyle="1" w:styleId="QuoteChar" w:type="character">
    <w:name w:val="Quote Char"/>
    <w:basedOn w:val="DefaultParagraphFont"/>
    <w:link w:val="Quote"/>
    <w:uiPriority w:val="29"/>
    <w:rsid w:val="004200C5"/>
    <w:rPr>
      <w:i/>
      <w:iCs/>
      <w:color w:themeColor="text1" w:themeTint="BF" w:val="404040"/>
    </w:rPr>
  </w:style>
  <w:style w:styleId="ListParagraph" w:type="paragraph">
    <w:name w:val="List Paragraph"/>
    <w:basedOn w:val="Normal"/>
    <w:uiPriority w:val="34"/>
    <w:qFormat/>
    <w:rsid w:val="004200C5"/>
    <w:pPr>
      <w:ind w:left="720"/>
      <w:contextualSpacing/>
    </w:pPr>
  </w:style>
  <w:style w:styleId="IntenseEmphasis" w:type="character">
    <w:name w:val="Intense Emphasis"/>
    <w:basedOn w:val="DefaultParagraphFont"/>
    <w:uiPriority w:val="21"/>
    <w:qFormat/>
    <w:rsid w:val="004200C5"/>
    <w:rPr>
      <w:i/>
      <w:iCs/>
      <w:color w:themeColor="accent1" w:themeShade="BF" w:val="0F4761"/>
    </w:rPr>
  </w:style>
  <w:style w:styleId="IntenseQuote" w:type="paragraph">
    <w:name w:val="Intense Quote"/>
    <w:basedOn w:val="Normal"/>
    <w:next w:val="Normal"/>
    <w:link w:val="IntenseQuoteChar"/>
    <w:uiPriority w:val="30"/>
    <w:qFormat/>
    <w:rsid w:val="004200C5"/>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4200C5"/>
    <w:rPr>
      <w:i/>
      <w:iCs/>
      <w:color w:themeColor="accent1" w:themeShade="BF" w:val="0F4761"/>
    </w:rPr>
  </w:style>
  <w:style w:styleId="IntenseReference" w:type="character">
    <w:name w:val="Intense Reference"/>
    <w:basedOn w:val="DefaultParagraphFont"/>
    <w:uiPriority w:val="32"/>
    <w:qFormat/>
    <w:rsid w:val="004200C5"/>
    <w:rPr>
      <w:b/>
      <w:bCs/>
      <w:smallCaps/>
      <w:color w:themeColor="accent1" w:themeShade="BF" w:val="0F4761"/>
      <w:spacing w:val="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63" Target="media/rId63.png" /><Relationship Type="http://schemas.openxmlformats.org/officeDocument/2006/relationships/image" Id="rId58" Target="media/rId58.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growth dynamics and connectivity of blacklip abalone (Haliotis rubra) populations in NW Tasmania</dc:title>
  <dc:creator>Jaime McAllister</dc:creator>
  <cp:keywords/>
  <dcterms:created xsi:type="dcterms:W3CDTF">2025-11-13T04:21:42Z</dcterms:created>
  <dcterms:modified xsi:type="dcterms:W3CDTF">2025-11-13T04:21:42Z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Last Updated on 13 November, 2025</vt:lpwstr>
  </property>
  <property fmtid="{D5CDD505-2E9C-101B-9397-08002B2CF9AE}" pid="8" name="date-format">
    <vt:lpwstr>[Last Updated on] DD MMMM, YYYY</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argin-bottom">
    <vt:lpwstr>1in</vt:lpwstr>
  </property>
  <property fmtid="{D5CDD505-2E9C-101B-9397-08002B2CF9AE}" pid="15" name="margin-left">
    <vt:lpwstr>0.75in</vt:lpwstr>
  </property>
  <property fmtid="{D5CDD505-2E9C-101B-9397-08002B2CF9AE}" pid="16" name="margin-right">
    <vt:lpwstr>0.75in</vt:lpwstr>
  </property>
  <property fmtid="{D5CDD505-2E9C-101B-9397-08002B2CF9AE}" pid="17" name="margin-top">
    <vt:lpwstr>1in</vt:lpwstr>
  </property>
  <property fmtid="{D5CDD505-2E9C-101B-9397-08002B2CF9AE}" pid="18" name="number-depth">
    <vt:lpwstr>4</vt:lpwstr>
  </property>
  <property fmtid="{D5CDD505-2E9C-101B-9397-08002B2CF9AE}" pid="19" name="papersize">
    <vt:lpwstr>A4</vt:lpwstr>
  </property>
  <property fmtid="{D5CDD505-2E9C-101B-9397-08002B2CF9AE}" pid="20" name="subtitle">
    <vt:lpwstr>AIDF Progress Report: Size-at-maturity (SAM)</vt:lpwstr>
  </property>
  <property fmtid="{D5CDD505-2E9C-101B-9397-08002B2CF9AE}" pid="21" name="toc-title">
    <vt:lpwstr>Table of contents</vt:lpwstr>
  </property>
</Properties>
</file>