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Title"/>
      </w:pPr>
      <w:r>
        <w:t xml:space="preserve">Article Template for IMAV 2026</w:t>
      </w:r>
    </w:p>
    <w:p>
      <w:pPr>
        <w:pStyle w:val="Author"/>
      </w:pPr>
      <w:r>
        <w:t xml:space="preserve">A. AuthorName1</w:t>
      </w:r>
      <w:r>
        <w:rPr>
          <w:rStyle w:val="FootnoteReference"/>
        </w:rPr>
        <w:footnoteReference w:customMarkFollows="1" w:id="1"/>
      </w:r>
      <w:r>
        <w:rPr>
          <w:rStyle w:val="FootnoteReference"/>
        </w:rPr>
        <w:t>*</w:t>
      </w:r>
      <w:r>
        <w:t xml:space="preserve">, S.B. AuthorName2, and C. AuthorName3</w:t>
      </w:r>
    </w:p>
    <w:p>
      <w:pPr>
        <w:pStyle w:val="Affiliation"/>
        <w:sectPr>
          <w:pgSz w:w="12240" w:h="15840"/>
          <w:pgMar w:top="1130" w:right="1080" w:bottom="1730" w:left="1080" w:header="0" w:footer="0" w:gutter="0"/>
          <w:cols w:space="0"/>
        </w:sectPr>
      </w:pPr>
      <w:r>
        <w:t xml:space="preserve">University of A, Z road, Country</w:t>
      </w:r>
    </w:p>
    <w:p>
      <w:pPr>
        <w:pStyle w:val="AbstractHeading"/>
      </w:pPr>
      <w:r>
        <w:t xml:space="preserve">Abstract</w:t>
      </w:r>
    </w:p>
    <w:p>
      <w:pPr>
        <w:pStyle w:val="Abstract"/>
      </w:pPr>
      <w:r>
        <w:t xml:space="preserve">This is the article template for the IMAV 2026 to be used with Latex. The abstract should contain a short description of the research. It can maximally be 300 words.</w:t>
      </w:r>
    </w:p>
    <w:p>
      <w:pPr>
        <w:pStyle w:val="Heading1"/>
      </w:pPr>
      <w:r>
        <w:t xml:space="preserve">1 Introduction</w:t>
      </w:r>
    </w:p>
    <w:p>
      <w:pPr>
        <w:pStyle w:val="BodyText"/>
      </w:pPr>
      <w:r>
        <w:t xml:space="preserve">In Latex, you do not have to worry much about the style. It is best to use the ‘imav_template.tex’-file as a template. Just remove our text and put your text in its place. Copy the code for figures and tables, and put your data in them. Most comments in this document are best understood by looking at the latex source file. We include a ‘build.bat’ (Windows) and a ‘Makefile’ (Linux/MacOS) files that transforms the tex-file into a pdf.</w:t>
      </w:r>
    </w:p>
    <w:p>
      <w:pPr>
        <w:pStyle w:val="Heading1"/>
      </w:pPr>
      <w:r>
        <w:t xml:space="preserve">2 Figures and Tables</w:t>
      </w:r>
    </w:p>
    <w:p>
      <w:pPr>
        <w:pStyle w:val="Heading2"/>
      </w:pPr>
      <w:r>
        <w:t xml:space="preserve">2.1 Figures</w:t>
      </w:r>
    </w:p>
    <w:p>
      <w:pPr>
        <w:pStyle w:val="BodyText"/>
      </w:pPr>
      <w:r>
        <w:t xml:space="preserve">To insert images in Latex, use the template below. The figure caption should be below the figure. Images can be included in colour, since the proceedings will only be released in digital form.</w:t>
      </w:r>
    </w:p>
    <w:p>
      <w:pPr>
        <w:pStyle w:val="Figure"/>
      </w:pPr>
      <w:r>
        <w:drawing>
          <wp:inline distT="0" distB="0" distL="0" distR="0">
            <wp:extent cx="2468880" cy="1647875"/>
            <wp:docPr id="1" name="Figure 1"/>
            <a:graphic>
              <a:graphicData uri="http://schemas.openxmlformats.org/drawingml/2006/picture">
                <pic:pic>
                  <pic:nvPicPr>
                    <pic:cNvPr id="1" name="IMAV2026_logo.png"/>
                    <pic:cNvPicPr/>
                  </pic:nvPicPr>
                  <pic:blipFill>
                    <a:blip r:embed="rIdLogo"/>
                    <a:stretch>
                      <a:fillRect/>
                    </a:stretch>
                  </pic:blipFill>
                  <pic:spPr>
                    <a:xfrm>
                      <a:off x="0" y="0"/>
                      <a:ext cx="2468880" cy="1647875"/>
                    </a:xfrm>
                    <a:prstGeom prst="rect">
                      <a:avLst/>
                    </a:prstGeom>
                  </pic:spPr>
                </pic:pic>
              </a:graphicData>
            </a:graphic>
          </wp:inline>
        </w:drawing>
      </w:r>
    </w:p>
    <w:p>
      <w:pPr>
        <w:pStyle w:val="Caption"/>
      </w:pPr>
      <w:r>
        <w:t xml:space="preserve">Figure 1: Be sure to select the figure caption style.</w:t>
      </w:r>
    </w:p>
    <w:p>
      <w:pPr>
        <w:pStyle w:val="Heading2"/>
      </w:pPr>
      <w:r>
        <w:t xml:space="preserve">2.2 Tables</w:t>
      </w:r>
    </w:p>
    <w:p>
      <w:pPr>
        <w:pStyle w:val="BodyText"/>
      </w:pPr>
      <w:r>
        <w:t xml:space="preserve">When inserting a table, you can choose the appropriate style - Table 1 below is an example. Put the caption under the table.</w:t>
      </w:r>
    </w:p>
    <w:p>
      <w:pPr>
        <w:pStyle w:val="Heading1"/>
      </w:pPr>
      <w:r>
        <w:t xml:space="preserve">3 Math and Units</w:t>
      </w:r>
    </w:p>
    <w:p>
      <w:pPr>
        <w:pStyle w:val="Heading2"/>
      </w:pPr>
      <w:r>
        <w:t xml:space="preserve">3.1 Math</w:t>
      </w:r>
    </w:p>
    <w:p>
      <w:pPr>
        <w:pStyle w:val="BodyText"/>
      </w:pPr>
      <w:r>
        <w:t xml:space="preserve">Include equations in Latex with the equation environment:</w:t>
      </w:r>
    </w:p>
    <w:tbl>
      <w:tblPr>
        <w:tblW w:w="4860" w:type="dxa"/>
        <w:jc w:val="center"/>
        <w:tblLayout w:type="fixed"/>
        <w:tblCellMar>
          <w:left w:w="0" w:type="dxa"/>
          <w:right w:w="0" w:type="dxa"/>
        </w:tblCellMar>
      </w:tblPr>
      <w:tblGrid>
        <w:gridCol w:w="1890"/>
        <w:gridCol w:w="270"/>
        <w:gridCol w:w="270"/>
        <w:gridCol w:w="270"/>
        <w:gridCol w:w="270"/>
        <w:gridCol w:w="1890"/>
      </w:tblGrid>
      <w:tr>
        <w:tc>
          <w:tcPr>
            <w:tcW w:w="1890" w:type="dxa"/>
            <w:tcBorders>
              <w:top w:val="nil" w:sz="4" w:space="0" w:color="000000"/>
              <w:left w:val="nil" w:sz="4" w:space="0" w:color="000000"/>
              <w:bottom w:val="nil" w:sz="4" w:space="0" w:color="000000"/>
              <w:right w:val="nil" w:sz="4" w:space="0" w:color="000000"/>
            </w:tcBorders>
          </w:tcPr>
          <w:p>
            <w:pPr>
              <w:pStyle w:val="TableText"/>
              <w:jc w:val="left"/>
            </w:pPr>
          </w:p>
        </w:tc>
        <w:tc>
          <w:tcPr>
            <w:tcW w:w="270" w:type="dxa"/>
            <w:tcBorders>
              <w:top w:val="single" w:sz="4" w:space="0" w:color="000000"/>
              <w:left w:val="single" w:sz="4" w:space="0" w:color="000000"/>
              <w:bottom w:val="single" w:sz="4" w:space="0" w:color="000000"/>
              <w:right w:val="single" w:sz="4" w:space="0" w:color="000000"/>
            </w:tcBorders>
          </w:tcPr>
          <w:p>
            <w:pPr>
              <w:pStyle w:val="TableText"/>
              <w:jc w:val="left"/>
            </w:pPr>
          </w:p>
        </w:tc>
        <w:tc>
          <w:tcPr>
            <w:tcW w:w="270" w:type="dxa"/>
            <w:tcBorders>
              <w:top w:val="single" w:sz="4" w:space="0" w:color="000000"/>
              <w:left w:val="nil" w:sz="4" w:space="0" w:color="000000"/>
              <w:bottom w:val="single" w:sz="4" w:space="0" w:color="000000"/>
              <w:right w:val="single" w:sz="4" w:space="0" w:color="000000"/>
            </w:tcBorders>
          </w:tcPr>
          <w:p>
            <w:pPr>
              <w:pStyle w:val="TableText"/>
              <w:jc w:val="center"/>
            </w:pPr>
            <w:r>
              <w:t xml:space="preserve">A</w:t>
            </w:r>
          </w:p>
        </w:tc>
        <w:tc>
          <w:tcPr>
            <w:tcW w:w="270" w:type="dxa"/>
            <w:tcBorders>
              <w:top w:val="single" w:sz="4" w:space="0" w:color="000000"/>
              <w:left w:val="nil" w:sz="4" w:space="0" w:color="000000"/>
              <w:bottom w:val="single" w:sz="4" w:space="0" w:color="000000"/>
              <w:right w:val="single" w:sz="4" w:space="0" w:color="000000"/>
            </w:tcBorders>
          </w:tcPr>
          <w:p>
            <w:pPr>
              <w:pStyle w:val="TableText"/>
              <w:jc w:val="center"/>
            </w:pPr>
            <w:r>
              <w:t xml:space="preserve">B</w:t>
            </w:r>
          </w:p>
        </w:tc>
        <w:tc>
          <w:tcPr>
            <w:tcW w:w="270" w:type="dxa"/>
            <w:tcBorders>
              <w:top w:val="single" w:sz="4" w:space="0" w:color="000000"/>
              <w:left w:val="nil" w:sz="4" w:space="0" w:color="000000"/>
              <w:bottom w:val="single" w:sz="4" w:space="0" w:color="000000"/>
              <w:right w:val="single" w:sz="4" w:space="0" w:color="000000"/>
            </w:tcBorders>
          </w:tcPr>
          <w:p>
            <w:pPr>
              <w:pStyle w:val="TableText"/>
              <w:jc w:val="center"/>
            </w:pPr>
            <w:r>
              <w:t xml:space="preserve">C</w:t>
            </w:r>
          </w:p>
        </w:tc>
        <w:tc>
          <w:tcPr>
            <w:tcW w:w="1890" w:type="dxa"/>
            <w:tcBorders>
              <w:top w:val="nil" w:sz="4" w:space="0" w:color="000000"/>
              <w:left w:val="nil" w:sz="4" w:space="0" w:color="000000"/>
              <w:bottom w:val="nil" w:sz="4" w:space="0" w:color="000000"/>
              <w:right w:val="nil" w:sz="4" w:space="0" w:color="000000"/>
            </w:tcBorders>
          </w:tcPr>
          <w:p>
            <w:pPr>
              <w:pStyle w:val="TableText"/>
              <w:jc w:val="left"/>
            </w:pPr>
          </w:p>
        </w:tc>
      </w:tr>
      <w:tr>
        <w:tc>
          <w:tcPr>
            <w:tcW w:w="1890" w:type="dxa"/>
            <w:tcBorders>
              <w:top w:val="nil" w:sz="4" w:space="0" w:color="000000"/>
              <w:left w:val="nil" w:sz="4" w:space="0" w:color="000000"/>
              <w:bottom w:val="nil" w:sz="4" w:space="0" w:color="000000"/>
              <w:right w:val="nil" w:sz="4" w:space="0" w:color="000000"/>
            </w:tcBorders>
          </w:tcPr>
          <w:p>
            <w:pPr>
              <w:pStyle w:val="TableText"/>
              <w:jc w:val="left"/>
            </w:pPr>
          </w:p>
        </w:tc>
        <w:tc>
          <w:tcPr>
            <w:tcW w:w="270" w:type="dxa"/>
            <w:tcBorders>
              <w:top w:val="single" w:sz="4" w:space="0" w:color="000000"/>
              <w:left w:val="single" w:sz="4" w:space="0" w:color="000000"/>
              <w:bottom w:val="nil" w:sz="4" w:space="0" w:color="000000"/>
              <w:right w:val="single" w:sz="4" w:space="0" w:color="000000"/>
            </w:tcBorders>
          </w:tcPr>
          <w:p>
            <w:pPr>
              <w:pStyle w:val="TableText"/>
              <w:jc w:val="left"/>
            </w:pPr>
            <w:r>
              <w:t xml:space="preserve">X</w:t>
            </w:r>
          </w:p>
        </w:tc>
        <w:tc>
          <w:tcPr>
            <w:tcW w:w="270" w:type="dxa"/>
            <w:tcBorders>
              <w:top w:val="single" w:sz="4" w:space="0" w:color="000000"/>
              <w:left w:val="nil" w:sz="4" w:space="0" w:color="000000"/>
              <w:bottom w:val="nil" w:sz="4" w:space="0" w:color="000000"/>
              <w:right w:val="single" w:sz="4" w:space="0" w:color="000000"/>
            </w:tcBorders>
          </w:tcPr>
          <w:p>
            <w:pPr>
              <w:pStyle w:val="TableText"/>
              <w:jc w:val="center"/>
            </w:pPr>
            <w:r>
              <w:t xml:space="preserve">1</w:t>
            </w:r>
          </w:p>
        </w:tc>
        <w:tc>
          <w:tcPr>
            <w:tcW w:w="270" w:type="dxa"/>
            <w:tcBorders>
              <w:top w:val="single" w:sz="4" w:space="0" w:color="000000"/>
              <w:left w:val="nil" w:sz="4" w:space="0" w:color="000000"/>
              <w:bottom w:val="nil" w:sz="4" w:space="0" w:color="000000"/>
              <w:right w:val="single" w:sz="4" w:space="0" w:color="000000"/>
            </w:tcBorders>
          </w:tcPr>
          <w:p>
            <w:pPr>
              <w:pStyle w:val="TableText"/>
              <w:jc w:val="center"/>
            </w:pPr>
            <w:r>
              <w:t xml:space="preserve">2</w:t>
            </w:r>
          </w:p>
        </w:tc>
        <w:tc>
          <w:tcPr>
            <w:tcW w:w="270" w:type="dxa"/>
            <w:tcBorders>
              <w:top w:val="single" w:sz="4" w:space="0" w:color="000000"/>
              <w:left w:val="nil" w:sz="4" w:space="0" w:color="000000"/>
              <w:bottom w:val="nil" w:sz="4" w:space="0" w:color="000000"/>
              <w:right w:val="single" w:sz="4" w:space="0" w:color="000000"/>
            </w:tcBorders>
          </w:tcPr>
          <w:p>
            <w:pPr>
              <w:pStyle w:val="TableText"/>
              <w:jc w:val="center"/>
            </w:pPr>
            <w:r>
              <w:t xml:space="preserve">3</w:t>
            </w:r>
          </w:p>
        </w:tc>
        <w:tc>
          <w:tcPr>
            <w:tcW w:w="1890" w:type="dxa"/>
            <w:tcBorders>
              <w:top w:val="nil" w:sz="4" w:space="0" w:color="000000"/>
              <w:left w:val="nil" w:sz="4" w:space="0" w:color="000000"/>
              <w:bottom w:val="nil" w:sz="4" w:space="0" w:color="000000"/>
              <w:right w:val="nil" w:sz="4" w:space="0" w:color="000000"/>
            </w:tcBorders>
          </w:tcPr>
          <w:p>
            <w:pPr>
              <w:pStyle w:val="TableText"/>
              <w:jc w:val="left"/>
            </w:pPr>
          </w:p>
        </w:tc>
      </w:tr>
      <w:tr>
        <w:tc>
          <w:tcPr>
            <w:tcW w:w="1890" w:type="dxa"/>
            <w:tcBorders>
              <w:top w:val="nil" w:sz="4" w:space="0" w:color="000000"/>
              <w:left w:val="nil" w:sz="4" w:space="0" w:color="000000"/>
              <w:bottom w:val="nil" w:sz="4" w:space="0" w:color="000000"/>
              <w:right w:val="nil" w:sz="4" w:space="0" w:color="000000"/>
            </w:tcBorders>
          </w:tcPr>
          <w:p>
            <w:pPr>
              <w:pStyle w:val="TableText"/>
              <w:jc w:val="left"/>
            </w:pPr>
          </w:p>
        </w:tc>
        <w:tc>
          <w:tcPr>
            <w:tcW w:w="270" w:type="dxa"/>
            <w:tcBorders>
              <w:top w:val="nil" w:sz="4" w:space="0" w:color="000000"/>
              <w:left w:val="single" w:sz="4" w:space="0" w:color="000000"/>
              <w:bottom w:val="single" w:sz="4" w:space="0" w:color="000000"/>
              <w:right w:val="single" w:sz="4" w:space="0" w:color="000000"/>
            </w:tcBorders>
          </w:tcPr>
          <w:p>
            <w:pPr>
              <w:pStyle w:val="TableText"/>
              <w:jc w:val="left"/>
            </w:pPr>
            <w:r>
              <w:t xml:space="preserve">Y</w:t>
            </w:r>
          </w:p>
        </w:tc>
        <w:tc>
          <w:tcPr>
            <w:tcW w:w="270" w:type="dxa"/>
            <w:tcBorders>
              <w:top w:val="nil" w:sz="4" w:space="0" w:color="000000"/>
              <w:left w:val="nil" w:sz="4" w:space="0" w:color="000000"/>
              <w:bottom w:val="single" w:sz="4" w:space="0" w:color="000000"/>
              <w:right w:val="single" w:sz="4" w:space="0" w:color="000000"/>
            </w:tcBorders>
          </w:tcPr>
          <w:p>
            <w:pPr>
              <w:pStyle w:val="TableText"/>
              <w:jc w:val="center"/>
            </w:pPr>
            <w:r>
              <w:t xml:space="preserve">1</w:t>
            </w:r>
          </w:p>
        </w:tc>
        <w:tc>
          <w:tcPr>
            <w:tcW w:w="270" w:type="dxa"/>
            <w:tcBorders>
              <w:top w:val="nil" w:sz="4" w:space="0" w:color="000000"/>
              <w:left w:val="nil" w:sz="4" w:space="0" w:color="000000"/>
              <w:bottom w:val="single" w:sz="4" w:space="0" w:color="000000"/>
              <w:right w:val="single" w:sz="4" w:space="0" w:color="000000"/>
            </w:tcBorders>
          </w:tcPr>
          <w:p>
            <w:pPr>
              <w:pStyle w:val="TableText"/>
              <w:jc w:val="center"/>
            </w:pPr>
            <w:r>
              <w:t xml:space="preserve">2</w:t>
            </w:r>
          </w:p>
        </w:tc>
        <w:tc>
          <w:tcPr>
            <w:tcW w:w="270" w:type="dxa"/>
            <w:tcBorders>
              <w:top w:val="nil" w:sz="4" w:space="0" w:color="000000"/>
              <w:left w:val="nil" w:sz="4" w:space="0" w:color="000000"/>
              <w:bottom w:val="single" w:sz="4" w:space="0" w:color="000000"/>
              <w:right w:val="single" w:sz="4" w:space="0" w:color="000000"/>
            </w:tcBorders>
          </w:tcPr>
          <w:p>
            <w:pPr>
              <w:pStyle w:val="TableText"/>
              <w:jc w:val="center"/>
            </w:pPr>
            <w:r>
              <w:t xml:space="preserve">3</w:t>
            </w:r>
          </w:p>
        </w:tc>
        <w:tc>
          <w:tcPr>
            <w:tcW w:w="1890" w:type="dxa"/>
            <w:tcBorders>
              <w:top w:val="nil" w:sz="4" w:space="0" w:color="000000"/>
              <w:left w:val="nil" w:sz="4" w:space="0" w:color="000000"/>
              <w:bottom w:val="nil" w:sz="4" w:space="0" w:color="000000"/>
              <w:right w:val="nil" w:sz="4" w:space="0" w:color="000000"/>
            </w:tcBorders>
          </w:tcPr>
          <w:p>
            <w:pPr>
              <w:pStyle w:val="TableText"/>
              <w:jc w:val="left"/>
            </w:pPr>
          </w:p>
        </w:tc>
      </w:tr>
      <w:tr>
        <w:trPr>
          <w:trHeight w:val="840" w:hRule="atLeast"/>
        </w:trPr>
        <w:tc>
          <w:tcPr>
            <w:tcW w:w="4860" w:type="dxa"/>
            <w:gridSpan w:val="6"/>
            <w:tcBorders>
              <w:top w:val="nil" w:sz="4" w:space="0" w:color="000000"/>
              <w:left w:val="nil" w:sz="4" w:space="0" w:color="000000"/>
              <w:bottom w:val="nil" w:sz="4" w:space="0" w:color="000000"/>
              <w:right w:val="nil" w:sz="4" w:space="0" w:color="000000"/>
            </w:tcBorders>
          </w:tcPr>
          <w:p>
            <w:pPr>
              <w:pStyle w:val="TableCaption"/>
              <w:jc w:val="center"/>
            </w:pPr>
            <w:r>
              <w:t xml:space="preserve">Table 1: Results of the experiment.</w:t>
            </w:r>
          </w:p>
        </w:tc>
      </w:tr>
    </w:tbl>
    <w:p>
      <w:pPr>
        <w:pStyle w:val="Equation"/>
      </w:pPr>
      <w:r>
        <w:tab/>
      </w:r>
      <m:oMath>
        <m:r>
          <m:t>n=</m:t>
        </m:r>
        <m:rad>
          <m:radPr>
            <m:degHide m:val="1"/>
          </m:radPr>
          <m:deg/>
          <m:e>
            <m:f>
              <m:num>
                <m:r>
                  <m:t>a</m:t>
                </m:r>
              </m:num>
              <m:den>
                <m:r>
                  <m:t>b</m:t>
                </m:r>
              </m:den>
            </m:f>
          </m:e>
        </m:rad>
      </m:oMath>
      <w:r>
        <w:tab/>
        <w:t>(1)</w:t>
      </w:r>
    </w:p>
    <w:p>
      <w:pPr>
        <w:pStyle w:val="BodyText"/>
      </w:pPr>
      <w:r>
        <w:t xml:space="preserve">If used inside the text, use the $-sign: </w:t>
      </w:r>
      <m:oMath>
        <m:r>
          <m:t>a=b−c</m:t>
        </m:r>
      </m:oMath>
      <w:r>
        <w:t xml:space="preserve">. Only do this for short formulas.</w:t>
      </w:r>
    </w:p>
    <w:p>
      <w:pPr>
        <w:pStyle w:val="Heading2"/>
      </w:pPr>
      <w:r>
        <w:t xml:space="preserve">3.2 Units</w:t>
      </w:r>
    </w:p>
    <w:p>
      <w:pPr>
        <w:pStyle w:val="BodyText"/>
      </w:pPr>
      <w:r>
        <w:t xml:space="preserve">Always use SI units first, possibly adding other units in parentheses.</w:t>
      </w:r>
    </w:p>
    <w:p>
      <w:pPr>
        <w:pStyle w:val="Heading1"/>
      </w:pPr>
      <w:r>
        <w:t xml:space="preserve">4 Referencing</w:t>
      </w:r>
    </w:p>
    <w:p>
      <w:pPr>
        <w:pStyle w:val="Heading2"/>
      </w:pPr>
      <w:r>
        <w:t xml:space="preserve">4.1 In-document referencing</w:t>
      </w:r>
    </w:p>
    <w:p>
      <w:pPr>
        <w:pStyle w:val="BodyText"/>
      </w:pPr>
      <w:r>
        <w:t xml:space="preserve">Always introduce a figure as ‘Figure X’, as in “Figure 1 shows the IMAV logo.”, or “The IMAV logo is shown in Figure 1.” Subsequently, the word ‘figure’ can be used. The same goes for tables (‘Table 1’). Equations do not have to be introduced this way. If they are referenced to, ‘Equation 1’ should be used. Sections are referred to as ‘Section 1’</w:t>
      </w:r>
      <w:r>
        <w:rPr>
          <w:rStyle w:val="FootnoteReference"/>
        </w:rPr>
        <w:footnoteReference w:id="2"/>
      </w:r>
    </w:p>
    <w:p>
      <w:pPr>
        <w:pStyle w:val="Heading2"/>
      </w:pPr>
      <w:r>
        <w:t xml:space="preserve">4.2 Referencing to literature</w:t>
      </w:r>
    </w:p>
    <w:p>
      <w:pPr>
        <w:pStyle w:val="BodyText"/>
      </w:pPr>
      <w:r>
        <w:t xml:space="preserve">Citations are numbered consecutively with square brackets [1] - this is determined by the bibliography style ‘unsrt’. The references can be described in bibtex format in a separate bib-file (see the bibliography statement close to the end of the tex-file). The sentence punctuation follows the brackets [2]. Multiple references [1, 2] are each numbered with separate brackets or in sequence as [1, 2, 3]. Follow the reference style at the end of this document. Papers that have not been published should be cited as “unpublished”. Papers that have been submitted for publication should be cited as “submitted for publication”. Papers that have been accepted for publication, but not yet specified for an issue should be cited as “to appear”. Capitalize only the first word in a paper title, except for proper nouns and element symbols. Below, [1] is a reference to a conference paper, [2] to a journal paper, and [3] to a book.</w:t>
      </w:r>
    </w:p>
    <w:p>
      <w:pPr>
        <w:pStyle w:val="Heading1"/>
      </w:pPr>
      <w:r>
        <w:t xml:space="preserve">5 Publishing Policy</w:t>
      </w:r>
    </w:p>
    <w:p>
      <w:pPr>
        <w:pStyle w:val="BodyText"/>
      </w:pPr>
      <w:r>
        <w:t xml:space="preserve">The IMAV proceedings will only be distributed in digital form. The submitting author is responsible for obtaining agreement of all his / her coauthors and any consent required from sponsors before submitting a paper. The authors are obliged to cite relevant prior work.</w:t>
      </w:r>
    </w:p>
    <w:p>
      <w:pPr>
        <w:pStyle w:val="Heading1"/>
      </w:pPr>
      <w:r>
        <w:t xml:space="preserve">6 Conclusion</w:t>
      </w:r>
    </w:p>
    <w:p>
      <w:pPr>
        <w:pStyle w:val="BodyText"/>
      </w:pPr>
      <w:r>
        <w:t xml:space="preserve">Conclusion of the paper.</w:t>
      </w:r>
    </w:p>
    <w:p>
      <w:pPr>
        <w:pStyle w:val="Heading1"/>
      </w:pPr>
      <w:r>
        <w:t xml:space="preserve">Acknowledgements</w:t>
      </w:r>
    </w:p>
    <w:p>
      <w:pPr>
        <w:pStyle w:val="BodyText"/>
      </w:pPr>
      <w:r>
        <w:t xml:space="preserve">Here you can place your acknowledgment.</w:t>
      </w:r>
    </w:p>
    <w:p>
      <w:pPr>
        <w:pStyle w:val="Heading1"/>
      </w:pPr>
      <w:r>
        <w:t xml:space="preserve">References</w:t>
      </w:r>
    </w:p>
    <w:p>
      <w:pPr>
        <w:pStyle w:val="Reference"/>
      </w:pPr>
      <w:r>
        <w:t xml:space="preserve">[1]</w:t>
      </w:r>
      <w:r>
        <w:tab/>
      </w:r>
      <w:r>
        <w:t xml:space="preserve">C. De Wagter, S. Tijmons, B.D.W. Remes, and G.C.H.E. de Croon. Autonomous flight of a 20-gram flapping wing mav with a 4-gram onboard stereo vision system. In </w:t>
      </w:r>
      <w:r>
        <w:rPr>
          <w:i/>
        </w:rPr>
        <w:t xml:space="preserve">IEEE Conference on Robotics and Automation (ICRA)</w:t>
      </w:r>
      <w:r>
        <w:t xml:space="preserve">, 2014.</w:t>
      </w:r>
    </w:p>
    <w:p>
      <w:pPr>
        <w:pStyle w:val="Reference"/>
      </w:pPr>
      <w:r>
        <w:t xml:space="preserve">[2]</w:t>
      </w:r>
      <w:r>
        <w:tab/>
      </w:r>
      <w:r>
        <w:t xml:space="preserve">S. Nolfi. Power and the limits of reactive agents. </w:t>
      </w:r>
      <w:r>
        <w:rPr>
          <w:i/>
        </w:rPr>
        <w:t xml:space="preserve">Neurocomputing</w:t>
      </w:r>
      <w:r>
        <w:t xml:space="preserve">, 42(1–4):119–145, 2002.</w:t>
      </w:r>
    </w:p>
    <w:p>
      <w:pPr>
        <w:pStyle w:val="Reference"/>
      </w:pPr>
      <w:r>
        <w:t xml:space="preserve">[3]</w:t>
      </w:r>
      <w:r>
        <w:tab/>
      </w:r>
      <w:r>
        <w:t xml:space="preserve">C.M. Bishop. </w:t>
      </w:r>
      <w:r>
        <w:rPr>
          <w:i/>
        </w:rPr>
        <w:t xml:space="preserve">Pattern recognition and machine learning</w:t>
      </w:r>
      <w:r>
        <w:t xml:space="preserve">. Springer Science and Business Media, LLC, New York, NY, 2006.</w:t>
      </w:r>
    </w:p>
    <w:p>
      <w:pPr>
        <w:pStyle w:val="Heading1"/>
      </w:pPr>
      <w:r>
        <w:t xml:space="preserve">Appendix A: Data</w:t>
      </w:r>
    </w:p>
    <w:p>
      <w:pPr>
        <w:pStyle w:val="BodyText"/>
      </w:pPr>
      <w:r>
        <w:t xml:space="preserve">If appendices are necessary, they appear at the end of the document. Use ‘appsection’ instead of ‘section’.</w:t>
      </w:r>
    </w:p>
    <w:p>
      <w:pPr>
        <w:pStyle w:val="Heading1"/>
      </w:pPr>
      <w:r>
        <w:t xml:space="preserve">Appendix B: More data</w:t>
      </w:r>
    </w:p>
    <w:p>
      <w:pPr>
        <w:pStyle w:val="BodyText"/>
      </w:pPr>
      <w:r>
        <w:t xml:space="preserve">Even more data.</w:t>
      </w:r>
    </w:p>
    <w:sectPr>
      <w:type w:val="continuous"/>
      <w:pgSz w:w="12240" w:h="15840"/>
      <w:pgMar w:top="1130" w:right="1080" w:bottom="1730" w:left="1080" w:header="0" w:footer="0" w:gutter="0"/>
      <w:cols w:num="2" w:space="360"/>
    </w:sectPr>
  </w:body>
</w:document>
</file>

<file path=word/footnotes.xml><?xml version="1.0" encoding="utf-8"?>
<w:footnotes xmlns:w="http://schemas.openxmlformats.org/wordprocessingml/2006/main">
  <w:footnote w:type="separator" w:id="-1">
    <w:p>
      <w:pPr>
        <w:spacing w:after="0" w:line="160" w:lineRule="exact"/>
      </w:pPr>
      <w:r>
        <w:separator/>
      </w:r>
    </w:p>
  </w:footnote>
  <w:footnote w:type="continuationSeparator" w:id="0">
    <w:p>
      <w:pPr>
        <w:spacing w:after="0" w:line="160" w:lineRule="exact"/>
      </w:pPr>
      <w:r>
        <w:continuationSeparator/>
      </w:r>
    </w:p>
  </w:footnote>
  <w:footnote w:id="1">
    <w:p>
      <w:pPr>
        <w:pStyle w:val="FootnoteText"/>
      </w:pPr>
      <w:r>
        <w:rPr>
          <w:rStyle w:val="FootnoteReference"/>
        </w:rPr>
        <w:t>*</w:t>
      </w:r>
      <w:r>
        <w:t xml:space="preserve"> Email address(es): contact_author@mail.com</w:t>
      </w:r>
    </w:p>
  </w:footnote>
  <w:footnote w:id="2">
    <w:p>
      <w:pPr>
        <w:pStyle w:val="FootnoteText"/>
      </w:pPr>
      <w:r>
        <w:rPr>
          <w:rStyle w:val="FootnoteReference"/>
        </w:rPr>
        <w:footnoteRef/>
      </w:r>
      <w:r>
        <w:t xml:space="preserve"> Footnotes are placed like this.</w:t>
      </w:r>
    </w:p>
  </w:footnote>
</w:footnotes>
</file>

<file path=word/settings.xml><?xml version="1.0" encoding="utf-8"?>
<w:settings xmlns:w="http://schemas.openxmlformats.org/wordprocessingml/2006/main">
  <w:autoHyphenation/>
  <w:defaultTabStop w:val="720"/>
  <w:footnotePr>
    <w:numFmt w:val="decimal"/>
  </w:footnotePr>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Times New Roman" w:cs="Times New Roman"/>
        <w:sz w:val="20"/>
        <w:szCs w:val="20"/>
        <w:lang w:val="en-US"/>
      </w:rPr>
    </w:rPrDefault>
    <w:pPrDefault>
      <w:pPr>
        <w:spacing w:before="0" w:after="0" w:line="240" w:lineRule="exact"/>
      </w:pPr>
    </w:pPrDefault>
  </w:docDefaults>
  <w:style w:type="paragraph" w:styleId="Normal">
    <w:name w:val="Normal"/>
    <w:qFormat/>
    <w:pPr>
      <w:spacing w:before="0" w:after="0" w:line="240" w:lineRule="exact"/>
      <w:jc w:val="both"/>
    </w:pPr>
    <w:rPr/>
  </w:style>
  <w:style w:type="paragraph" w:styleId="BodyText">
    <w:name w:val="Body Text"/>
    <w:basedOn w:val="Normal"/>
    <w:qFormat/>
    <w:pPr>
      <w:ind w:firstLine="299"/>
    </w:pPr>
    <w:rPr/>
  </w:style>
  <w:style w:type="paragraph" w:styleId="Title">
    <w:name w:val="Title"/>
    <w:basedOn w:val="Normal"/>
    <w:qFormat/>
    <w:pPr>
      <w:spacing w:before="0" w:after="98" w:line="398" w:lineRule="exact"/>
      <w:jc w:val="center"/>
    </w:pPr>
    <w:rPr>
      <w:b/>
      <w:sz w:val="41"/>
      <w:szCs w:val="41"/>
    </w:rPr>
  </w:style>
  <w:style w:type="paragraph" w:styleId="Author">
    <w:name w:val="Author"/>
    <w:basedOn w:val="Normal"/>
    <w:qFormat/>
    <w:pPr>
      <w:jc w:val="center"/>
    </w:pPr>
    <w:rPr/>
  </w:style>
  <w:style w:type="paragraph" w:styleId="Affiliation">
    <w:name w:val="Affiliation"/>
    <w:basedOn w:val="Normal"/>
    <w:qFormat/>
    <w:pPr>
      <w:spacing w:before="0" w:after="452" w:line="240" w:lineRule="exact"/>
      <w:jc w:val="center"/>
    </w:pPr>
    <w:rPr/>
  </w:style>
  <w:style w:type="paragraph" w:styleId="AbstractHeading">
    <w:name w:val="Abstract Heading"/>
    <w:basedOn w:val="Normal"/>
    <w:qFormat/>
    <w:pPr>
      <w:spacing w:before="0" w:after="258" w:line="240" w:lineRule="exact"/>
      <w:jc w:val="center"/>
    </w:pPr>
    <w:rPr>
      <w:b/>
      <w:smallCaps/>
    </w:rPr>
  </w:style>
  <w:style w:type="paragraph" w:styleId="Abstract">
    <w:name w:val="Abstract"/>
    <w:basedOn w:val="Normal"/>
    <w:qFormat/>
    <w:pPr>
      <w:spacing w:before="0" w:after="66" w:line="240" w:lineRule="exact"/>
      <w:ind w:left="498" w:right="498"/>
    </w:pPr>
    <w:rPr/>
  </w:style>
  <w:style w:type="paragraph" w:styleId="Heading1">
    <w:name w:val="heading 1"/>
    <w:basedOn w:val="Normal"/>
    <w:qFormat/>
    <w:pPr>
      <w:spacing w:before="116" w:after="72" w:line="240" w:lineRule="exact"/>
      <w:keepNext/>
      <w:jc w:val="center"/>
      <w:outlineLvl w:val="0"/>
    </w:pPr>
    <w:rPr>
      <w:b/>
      <w:smallCaps/>
    </w:rPr>
  </w:style>
  <w:style w:type="paragraph" w:styleId="Heading2">
    <w:name w:val="heading 2"/>
    <w:basedOn w:val="Normal"/>
    <w:qFormat/>
    <w:pPr>
      <w:spacing w:before="72" w:after="48" w:line="240" w:lineRule="exact"/>
      <w:keepNext/>
      <w:jc w:val="left"/>
      <w:outlineLvl w:val="1"/>
    </w:pPr>
    <w:rPr>
      <w:i/>
    </w:rPr>
  </w:style>
  <w:style w:type="paragraph" w:styleId="Figure">
    <w:name w:val="Figure"/>
    <w:basedOn w:val="Normal"/>
    <w:qFormat/>
    <w:pPr>
      <w:spacing w:before="152" w:after="304" w:line="240" w:lineRule="auto"/>
      <w:keepNext/>
      <w:jc w:val="center"/>
    </w:pPr>
    <w:rPr/>
  </w:style>
  <w:style w:type="paragraph" w:styleId="Caption">
    <w:name w:val="caption"/>
    <w:basedOn w:val="Normal"/>
    <w:qFormat/>
    <w:pPr>
      <w:spacing w:before="0" w:after="290" w:line="240" w:lineRule="exact"/>
      <w:jc w:val="center"/>
    </w:pPr>
    <w:rPr/>
  </w:style>
  <w:style w:type="paragraph" w:styleId="TableCaption">
    <w:name w:val="table caption"/>
    <w:basedOn w:val="Caption"/>
    <w:qFormat/>
    <w:pPr>
      <w:spacing w:before="200" w:after="0" w:line="240" w:lineRule="exact"/>
      <w:jc w:val="center"/>
    </w:pPr>
    <w:rPr/>
  </w:style>
  <w:style w:type="paragraph" w:styleId="TableText">
    <w:name w:val="Table Text"/>
    <w:basedOn w:val="Normal"/>
    <w:qFormat/>
    <w:pPr>
      <w:spacing w:before="0" w:after="0" w:line="240" w:lineRule="exact"/>
    </w:pPr>
    <w:rPr/>
  </w:style>
  <w:style w:type="paragraph" w:styleId="Equation">
    <w:name w:val="Equation"/>
    <w:basedOn w:val="Normal"/>
    <w:qFormat/>
    <w:pPr>
      <w:spacing w:before="190" w:after="120" w:line="680" w:lineRule="exact"/>
      <w:tabs>
        <w:tab w:val="center" w:pos="2430"/>
        <w:tab w:val="right" w:pos="4860"/>
      </w:tabs>
    </w:pPr>
    <w:rPr/>
  </w:style>
  <w:style w:type="paragraph" w:styleId="Reference">
    <w:name w:val="Reference"/>
    <w:basedOn w:val="Normal"/>
    <w:qFormat/>
    <w:pPr>
      <w:spacing w:before="0" w:after="158" w:line="240" w:lineRule="exact"/>
      <w:tabs>
        <w:tab w:val="left" w:pos="332"/>
      </w:tabs>
      <w:ind w:left="332" w:hanging="332"/>
    </w:pPr>
    <w:rPr/>
  </w:style>
  <w:style w:type="paragraph" w:styleId="FootnoteText">
    <w:name w:val="footnote text"/>
    <w:basedOn w:val="Normal"/>
    <w:qFormat/>
    <w:pPr>
      <w:spacing w:before="0" w:after="0" w:line="160" w:lineRule="exact"/>
      <w:ind w:firstLine="218"/>
    </w:pPr>
    <w:rPr>
      <w:sz w:val="16"/>
      <w:szCs w:val="16"/>
    </w:rPr>
  </w:style>
  <w:style w:type="character" w:styleId="FootnoteReference">
    <w:name w:val="footnote reference"/>
    <w:qFormat/>
    <w:pPr/>
    <w:rPr>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Logo" Type="http://schemas.openxmlformats.org/officeDocument/2006/relationships/image" Target="media/IMAV2026_logo.png"/></Relationships>
</file>