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147DF4F4"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xml:space="preserve">, and possible enabling conditions (e.g., effective coaching strategies) are less often </w:t>
      </w:r>
      <w:r w:rsidR="00140866">
        <w:t>judged</w:t>
      </w:r>
      <w:r w:rsidR="001C1FE5">
        <w:t xml:space="preserve">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547CD1D1"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40866">
        <w:t>Therefore, the idea u</w:t>
      </w:r>
      <w:r w:rsidR="001C1FE5">
        <w:t>nderlying counterfactual theories of causality</w:t>
      </w:r>
      <w:r w:rsidR="00140866">
        <w:t xml:space="preserve"> is that</w:t>
      </w:r>
      <w:r w:rsidR="001C1FE5">
        <w:t xml:space="preserve">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4840665C" w:rsidR="00053325" w:rsidRDefault="00CB736F" w:rsidP="00742AD3">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 xml:space="preserve">counterfactual theories </w:t>
      </w:r>
      <w:r>
        <w:t xml:space="preserve">by using eye movements to </w:t>
      </w:r>
      <w:r w:rsidR="00140866">
        <w:t>characterize the</w:t>
      </w:r>
      <w:r>
        <w:t xml:space="preserve"> internal thoughts</w:t>
      </w:r>
      <w:r w:rsidR="00731243">
        <w:t xml:space="preserve"> engaged during casual reasoning</w:t>
      </w:r>
      <w:r>
        <w:t xml:space="preserve">. </w:t>
      </w:r>
      <w:r w:rsidR="00AA5825">
        <w:t xml:space="preserve">This approach was </w:t>
      </w:r>
      <w:r w:rsidR="00742AD3">
        <w:t>empirically</w:t>
      </w:r>
      <w:r w:rsidR="00AA5825">
        <w:t xml:space="preserve">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FE2D80">
        <w:t>reveal what visuospatial information is</w:t>
      </w:r>
      <w:r w:rsidR="00A42506">
        <w:t xml:space="preserve"> overtly</w:t>
      </w:r>
      <w:r w:rsidR="00FE2D80">
        <w:t xml:space="preserve"> attended,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w:t>
      </w:r>
      <w:r w:rsidR="00742AD3">
        <w:t xml:space="preserve"> (Balls A and B)</w:t>
      </w:r>
      <w:r w:rsidR="00D5117B">
        <w:t xml:space="preserve"> moving toward a goal </w:t>
      </w:r>
      <w:r w:rsidR="00EE4432">
        <w:t>and</w:t>
      </w:r>
      <w:r w:rsidR="00D5117B">
        <w:t xml:space="preserve"> colliding with each other. Prior to viewing, and as a between-subject design, participants were instructed to engage in one of three possible thoughts</w:t>
      </w:r>
      <w:r w:rsidR="00742AD3">
        <w:t xml:space="preserve"> while watching the video</w:t>
      </w:r>
      <w:r w:rsidR="00D5117B">
        <w:t xml:space="preserve">: </w:t>
      </w:r>
      <w:r w:rsidR="00140866">
        <w:t xml:space="preserve">1) </w:t>
      </w:r>
      <w:r w:rsidR="00742AD3">
        <w:t>assess</w:t>
      </w:r>
      <w:r w:rsidR="00140866">
        <w:t xml:space="preserve"> the extent to which Ball B did or did not score into the goal (outcome assessment), 2) </w:t>
      </w:r>
      <w:r w:rsidR="00742AD3">
        <w:t>think about</w:t>
      </w:r>
      <w:r w:rsidR="00140866">
        <w:t xml:space="preserve"> what would have happened to Ball B had Ball A not been present (counterfactual thinking) or, 3</w:t>
      </w:r>
      <w:r w:rsidR="00D5117B">
        <w:t xml:space="preserve">) </w:t>
      </w:r>
      <w:r w:rsidR="00742AD3">
        <w:t>judge</w:t>
      </w:r>
      <w:r w:rsidR="00D5117B">
        <w:t xml:space="preserve"> whether Ball A colliding into Ball B caused or prevented Ball B from scoring in the goal (causal reasoning)</w:t>
      </w:r>
      <w:r w:rsidR="00140866">
        <w:t>.</w:t>
      </w:r>
      <w:r w:rsidR="00D5117B">
        <w:t xml:space="preserve"> The authors then compared </w:t>
      </w:r>
      <w:r w:rsidR="00A42506">
        <w:t>eye movements</w:t>
      </w:r>
      <w:r w:rsidR="00D5117B">
        <w:t xml:space="preserve"> across these three conditions to </w:t>
      </w:r>
      <w:r w:rsidR="00742AD3">
        <w:t>gauge whether gaze behaviors evoked during</w:t>
      </w:r>
      <w:r w:rsidR="00D5117B">
        <w:t xml:space="preserve"> causal reasoning </w:t>
      </w:r>
      <w:r w:rsidR="00742AD3">
        <w:t>were</w:t>
      </w:r>
      <w:r w:rsidR="00D5117B">
        <w:t xml:space="preserve"> more similar </w:t>
      </w:r>
      <w:r w:rsidR="00742AD3">
        <w:t>those evoked during</w:t>
      </w:r>
      <w:r w:rsidR="00D5117B">
        <w:t xml:space="preserve"> counterfactual thinking or outcome assessment. </w:t>
      </w:r>
    </w:p>
    <w:p w14:paraId="6A09B34E" w14:textId="05AA8CA7" w:rsidR="007F2948" w:rsidRDefault="00053325" w:rsidP="004B05F5">
      <w:pPr>
        <w:spacing w:line="360" w:lineRule="auto"/>
        <w:ind w:firstLine="720"/>
      </w:pPr>
      <w:r>
        <w:t>Findings showed that</w:t>
      </w:r>
      <w:r w:rsidR="00A8290A">
        <w:t xml:space="preserve"> the</w:t>
      </w:r>
      <w:r>
        <w:t xml:space="preserve"> participants </w:t>
      </w:r>
      <w:r w:rsidR="00A8290A">
        <w:t>who engaged in</w:t>
      </w:r>
      <w:r>
        <w:t xml:space="preserve"> causal reasoning and counterfactual thinking</w:t>
      </w:r>
      <w:r w:rsidR="00A8290A">
        <w:t xml:space="preserve"> </w:t>
      </w:r>
      <w:r w:rsidR="00487AB6">
        <w:t>showed the most similar gaze behaviors:</w:t>
      </w:r>
      <w:r w:rsidR="008C5521">
        <w:t xml:space="preserve"> before the balls collided, participants</w:t>
      </w:r>
      <w:r w:rsidR="00487AB6">
        <w:t xml:space="preserve"> </w:t>
      </w:r>
      <w:r w:rsidR="00A42506">
        <w:t>showed a greater tendency to</w:t>
      </w:r>
      <w:r>
        <w:t xml:space="preserve"> look</w:t>
      </w:r>
      <w:r w:rsidR="00A42506">
        <w:t xml:space="preserve"> at a location in space were</w:t>
      </w:r>
      <w:r>
        <w:t xml:space="preserve"> Ball B</w:t>
      </w:r>
      <w:r w:rsidR="00A8290A">
        <w:t xml:space="preserve"> </w:t>
      </w:r>
      <w:r w:rsidR="00A42506">
        <w:t>would have traveled had</w:t>
      </w:r>
      <w:r>
        <w:t xml:space="preserve"> Ball A not interfere</w:t>
      </w:r>
      <w:r w:rsidR="002577E0">
        <w:t>d</w:t>
      </w:r>
      <w:r w:rsidR="00487AB6">
        <w:t>.</w:t>
      </w:r>
      <w:r w:rsidR="00A8290A">
        <w:t xml:space="preserve"> </w:t>
      </w:r>
      <w:r w:rsidR="00A42506">
        <w:t>In comparison, t</w:t>
      </w:r>
      <w:r w:rsidR="00A8290A">
        <w:t>hose engaged in</w:t>
      </w:r>
      <w:r w:rsidR="00537CCA">
        <w:t xml:space="preserve"> outcome </w:t>
      </w:r>
      <w:r w:rsidR="00A8290A">
        <w:t>assessment tended</w:t>
      </w:r>
      <w:r w:rsidR="00537CCA">
        <w:t xml:space="preserve"> </w:t>
      </w:r>
      <w:r>
        <w:t xml:space="preserve">to just look directly at Ball B. </w:t>
      </w:r>
      <w:r w:rsidR="00487AB6">
        <w:t>These</w:t>
      </w:r>
      <w:r w:rsidR="00537CCA">
        <w:t xml:space="preserve"> results</w:t>
      </w:r>
      <w:r>
        <w:t xml:space="preserve"> w</w:t>
      </w:r>
      <w:r w:rsidR="00487AB6">
        <w:t>ere</w:t>
      </w:r>
      <w:r>
        <w:t xml:space="preserve"> mo</w:t>
      </w:r>
      <w:r w:rsidR="002577E0">
        <w:t>st</w:t>
      </w:r>
      <w:r>
        <w:t xml:space="preserve"> robust when Ball B did not score (i.e., a </w:t>
      </w:r>
      <w:r>
        <w:lastRenderedPageBreak/>
        <w:t xml:space="preserve">negative outcome). </w:t>
      </w:r>
      <w:r w:rsidR="002577E0">
        <w:t>The authors</w:t>
      </w:r>
      <w:r>
        <w:t xml:space="preserve"> t</w:t>
      </w:r>
      <w:r w:rsidR="00F82A48">
        <w:t>herefore suggest</w:t>
      </w:r>
      <w:r w:rsidR="002577E0">
        <w:t>ed</w:t>
      </w:r>
      <w:r>
        <w:t xml:space="preserve"> that participants engaged in causal reasoning were</w:t>
      </w:r>
      <w:r w:rsidR="00537CCA">
        <w:t>, to some degree,</w:t>
      </w:r>
      <w:r>
        <w:t xml:space="preserve"> relying on counterfactual thinking to determine causality. </w:t>
      </w:r>
      <w:r w:rsidR="00150F1F">
        <w:t>The authors acknowledged</w:t>
      </w:r>
      <w:r w:rsidR="0059067D">
        <w:t>, though,</w:t>
      </w:r>
      <w:r w:rsidR="00150F1F">
        <w:t xml:space="preserve"> that gaze behaviors</w:t>
      </w:r>
      <w:r w:rsidR="00A8290A">
        <w:t xml:space="preserve"> during causal reasoning </w:t>
      </w:r>
      <w:r w:rsidR="00150F1F">
        <w:t xml:space="preserve">might not be counterfactual per se but </w:t>
      </w:r>
      <w:r w:rsidR="004B05F5">
        <w:t xml:space="preserve">instead reflect </w:t>
      </w:r>
      <w:r w:rsidR="008C5521">
        <w:t>anticipatory or</w:t>
      </w:r>
      <w:r w:rsidR="004B05F5">
        <w:t xml:space="preserve"> hypothetical simulation. Even so, the authors argued </w:t>
      </w:r>
      <w:r w:rsidR="00150F1F">
        <w:t xml:space="preserve">that the information </w:t>
      </w:r>
      <w:r w:rsidR="0059067D">
        <w:t>overtly attended</w:t>
      </w:r>
      <w:r w:rsidR="00150F1F">
        <w:t xml:space="preserve"> during </w:t>
      </w:r>
      <w:r w:rsidR="0059067D">
        <w:t>causal reasoning could</w:t>
      </w:r>
      <w:r w:rsidR="00A42506">
        <w:t xml:space="preserve"> at least</w:t>
      </w:r>
      <w:r w:rsidR="0059067D">
        <w:t xml:space="preserve"> be used for counterfactual contrasts once the visual input was removed.</w:t>
      </w:r>
      <w:r w:rsidR="00A42506">
        <w:t xml:space="preserve"> Just looking directly at the actual course of Ball</w:t>
      </w:r>
      <w:r w:rsidR="0059067D">
        <w:t xml:space="preserve"> </w:t>
      </w:r>
      <w:r w:rsidR="00A42506">
        <w:t xml:space="preserve">B would not afford such contrasts. </w:t>
      </w:r>
      <w:r w:rsidR="0059067D">
        <w:t>This idea</w:t>
      </w:r>
      <w:r w:rsidR="00A42506">
        <w:t>, though,</w:t>
      </w:r>
      <w:r w:rsidR="0059067D">
        <w:t xml:space="preserve"> could not be tested</w:t>
      </w:r>
      <w:r w:rsidR="00A42506">
        <w:t xml:space="preserve"> directly</w:t>
      </w:r>
      <w:r w:rsidR="0059067D">
        <w:t>,</w:t>
      </w:r>
      <w:r w:rsidR="008C5521">
        <w:t xml:space="preserve"> given that the eye movements were recorded online as the stimuli remained visually available.</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04925174" w:rsidR="00F529BA" w:rsidRPr="006B37F1" w:rsidRDefault="00F82A48" w:rsidP="00F82A48">
      <w:pPr>
        <w:tabs>
          <w:tab w:val="left" w:pos="630"/>
          <w:tab w:val="left" w:pos="720"/>
        </w:tabs>
        <w:spacing w:line="360" w:lineRule="auto"/>
        <w:ind w:firstLine="720"/>
      </w:pPr>
      <w:r>
        <w:t>The current research</w:t>
      </w:r>
      <w:r w:rsidR="00A42506">
        <w:t xml:space="preserve"> will</w:t>
      </w:r>
      <w:r>
        <w:t xml:space="preserve"> build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9B6A70">
        <w:t>. Specifically,</w:t>
      </w:r>
      <w:r w:rsidR="00F529BA">
        <w:t xml:space="preserve"> </w:t>
      </w:r>
      <w:r w:rsidR="00054885">
        <w:t>gaze behaviors</w:t>
      </w:r>
      <w:r w:rsidR="009B6A70">
        <w:t xml:space="preserve"> and percept-related </w:t>
      </w:r>
      <w:r w:rsidR="00054885">
        <w:t xml:space="preserve">event </w:t>
      </w:r>
      <w:r w:rsidR="009B6A70">
        <w:t xml:space="preserve">judgements will be used to predict the extent to which counterfactual thinking, as opposed to just outcome assessment, </w:t>
      </w:r>
      <w:r w:rsidR="00286D0B">
        <w:t>i</w:t>
      </w:r>
      <w:r w:rsidR="009B6A70">
        <w:t xml:space="preserve">s </w:t>
      </w:r>
      <w:r w:rsidR="00054885">
        <w:t>used</w:t>
      </w:r>
      <w:r w:rsidR="009B6A70">
        <w:t xml:space="preserve"> </w:t>
      </w:r>
      <w:r w:rsidR="00054885">
        <w:t>for</w:t>
      </w:r>
      <w:r w:rsidR="009B6A70">
        <w:t xml:space="preserve"> causal reasoning. </w:t>
      </w:r>
      <w:r w:rsidR="00F529BA">
        <w:t>Participants will complete a ball-shooting-paradigm where they will try to shoot a ball into a goal</w:t>
      </w:r>
      <w:r w:rsidR="001E169A">
        <w:t xml:space="preserve"> and </w:t>
      </w:r>
      <w:r w:rsidR="00F529BA">
        <w:t xml:space="preserve">retrospectively reflect on the outcome. </w:t>
      </w:r>
      <w:r w:rsidR="009B6A70">
        <w:t>To do this</w:t>
      </w:r>
      <w:r w:rsidR="00F529BA">
        <w:t xml:space="preserve">,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3)</w:t>
      </w:r>
      <w:r w:rsidR="006B37F1">
        <w:t xml:space="preserve"> </w:t>
      </w:r>
      <w:r w:rsidR="001E169A">
        <w:t xml:space="preserve">retrospectively </w:t>
      </w:r>
      <w:r w:rsidR="00F529BA">
        <w:t>think about</w:t>
      </w:r>
      <w:r w:rsidR="001E169A">
        <w:t xml:space="preserv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6B37F1">
        <w:t xml:space="preserve"> (within-subject manipulation), and 4) answer percept-related</w:t>
      </w:r>
      <w:r w:rsidR="004B05F5">
        <w:t xml:space="preserve"> event</w:t>
      </w:r>
      <w:r w:rsidR="006B37F1">
        <w:t xml:space="preserve"> questions about the outcome </w:t>
      </w:r>
      <w:r w:rsidR="004B05F5">
        <w:t xml:space="preserve">relative </w:t>
      </w:r>
      <w:r w:rsidR="006B37F1">
        <w:t>to the retrospective thought</w:t>
      </w:r>
      <w:r w:rsidR="00F529BA">
        <w:t>.</w:t>
      </w:r>
      <w:r w:rsidR="001E169A">
        <w:t xml:space="preserve"> </w:t>
      </w:r>
      <w:r w:rsidR="006B37F1">
        <w:t>Participants</w:t>
      </w:r>
      <w:r w:rsidR="004B05F5">
        <w:t xml:space="preserve"> will be unaware of the specific retrospective thought and event question </w:t>
      </w:r>
      <w:r w:rsidR="006B37F1">
        <w:t>until after the outcome video</w:t>
      </w:r>
      <w:r w:rsidR="006B37F1" w:rsidRPr="006B37F1">
        <w:t xml:space="preserve">. </w:t>
      </w:r>
      <w:r w:rsidR="001E169A" w:rsidRPr="006B37F1">
        <w:t xml:space="preserve">Eye movements will be recorded </w:t>
      </w:r>
      <w:r w:rsidR="005D6601" w:rsidRPr="006B37F1">
        <w:t xml:space="preserve">both while participants watch the outcome </w:t>
      </w:r>
      <w:r w:rsidR="004B05F5">
        <w:t xml:space="preserve">video </w:t>
      </w:r>
      <w:r w:rsidR="005D6601" w:rsidRPr="006B37F1">
        <w:t xml:space="preserve">and engage retrospective </w:t>
      </w:r>
      <w:r w:rsidR="005B5981" w:rsidRPr="006B37F1">
        <w:t xml:space="preserve">thoughts, each measurement providing </w:t>
      </w:r>
      <w:r w:rsidR="009B6A70" w:rsidRPr="006B37F1">
        <w:t>unique insights (further described below)</w:t>
      </w:r>
      <w:r w:rsidR="005D6601" w:rsidRPr="006B37F1">
        <w:t>.</w:t>
      </w:r>
      <w:r w:rsidR="009B6A70" w:rsidRPr="006B37F1">
        <w:t xml:space="preserve"> </w:t>
      </w:r>
    </w:p>
    <w:p w14:paraId="1E10C5C6" w14:textId="2B46D66D" w:rsidR="00460CB9" w:rsidRDefault="00C804CB" w:rsidP="008F5C74">
      <w:pPr>
        <w:tabs>
          <w:tab w:val="left" w:pos="630"/>
          <w:tab w:val="left" w:pos="720"/>
        </w:tabs>
        <w:spacing w:line="360" w:lineRule="auto"/>
        <w:ind w:firstLine="720"/>
      </w:pPr>
      <w:r w:rsidRPr="006B37F1">
        <w:rPr>
          <w:b/>
          <w:bCs/>
        </w:rPr>
        <w:t>Insights from eye movements.</w:t>
      </w:r>
      <w:r w:rsidRPr="006B37F1">
        <w:t xml:space="preserve"> </w:t>
      </w:r>
      <w:r w:rsidR="00054885" w:rsidRPr="006B37F1">
        <w:t>The e</w:t>
      </w:r>
      <w:r w:rsidR="005D6601" w:rsidRPr="006B37F1">
        <w:t>ye movements</w:t>
      </w:r>
      <w:r w:rsidR="00054885" w:rsidRPr="006B37F1">
        <w:t xml:space="preserve"> </w:t>
      </w:r>
      <w:r w:rsidR="006B37F1" w:rsidRPr="006B37F1">
        <w:t xml:space="preserve">that will be recorded during </w:t>
      </w:r>
      <w:r w:rsidR="005D6601" w:rsidRPr="006B37F1">
        <w:t xml:space="preserve">the outcome </w:t>
      </w:r>
      <w:r w:rsidR="004A48CB" w:rsidRPr="006B37F1">
        <w:t xml:space="preserve">video </w:t>
      </w:r>
      <w:r w:rsidR="005D6601" w:rsidRPr="006B37F1">
        <w:t xml:space="preserve">will </w:t>
      </w:r>
      <w:r w:rsidR="009255A2" w:rsidRPr="006B37F1">
        <w:t xml:space="preserve">indicate which components </w:t>
      </w:r>
      <w:r w:rsidR="006B37F1" w:rsidRPr="006B37F1">
        <w:t xml:space="preserve">of the </w:t>
      </w:r>
      <w:r w:rsidR="004B05F5">
        <w:t>event</w:t>
      </w:r>
      <w:r w:rsidR="006B37F1" w:rsidRPr="006B37F1">
        <w:t xml:space="preserve"> </w:t>
      </w:r>
      <w:r w:rsidR="009255A2" w:rsidRPr="006B37F1">
        <w:t>w</w:t>
      </w:r>
      <w:r w:rsidR="004A48CB" w:rsidRPr="006B37F1">
        <w:t>ere</w:t>
      </w:r>
      <w:r w:rsidR="009255A2" w:rsidRPr="006B37F1">
        <w:t xml:space="preserve"> </w:t>
      </w:r>
      <w:r w:rsidR="004A48CB" w:rsidRPr="006B37F1">
        <w:t>overtly</w:t>
      </w:r>
      <w:r w:rsidR="009255A2" w:rsidRPr="006B37F1">
        <w:t xml:space="preserve"> attended</w:t>
      </w:r>
      <w:r w:rsidR="00054885" w:rsidRPr="006B37F1">
        <w:t xml:space="preserve">. </w:t>
      </w:r>
      <w:r w:rsidR="006B37F1">
        <w:t xml:space="preserve">Because participants will not know </w:t>
      </w:r>
      <w:r w:rsidR="004B05F5">
        <w:t xml:space="preserve">a priori </w:t>
      </w:r>
      <w:r w:rsidR="008F5C74">
        <w:t>which event question they will need to later answer</w:t>
      </w:r>
      <w:r w:rsidR="004B05F5">
        <w:t>,</w:t>
      </w:r>
      <w:r w:rsidR="006B37F1">
        <w:t xml:space="preserve"> </w:t>
      </w:r>
      <w:r w:rsidR="004B05F5">
        <w:t>t</w:t>
      </w:r>
      <w:r w:rsidR="00054885" w:rsidRPr="006B37F1">
        <w:t xml:space="preserve">hese </w:t>
      </w:r>
      <w:r w:rsidR="004B05F5">
        <w:t>eye movements</w:t>
      </w:r>
      <w:r w:rsidR="00054885" w:rsidRPr="006B37F1">
        <w:t xml:space="preserve"> will reflect</w:t>
      </w:r>
      <w:r w:rsidR="006B37F1" w:rsidRPr="006B37F1">
        <w:t xml:space="preserve"> </w:t>
      </w:r>
      <w:r w:rsidR="00054885" w:rsidRPr="006B37F1">
        <w:t>baseline natural tendencies</w:t>
      </w:r>
      <w:r w:rsidR="004B05F5">
        <w:t xml:space="preserve">. </w:t>
      </w:r>
      <w:r w:rsidR="00460CB9">
        <w:t xml:space="preserve">As such, we do not predict differences in eye movements across retrospective thoughts at initial encoding. </w:t>
      </w:r>
    </w:p>
    <w:p w14:paraId="09687991" w14:textId="4E513FFE" w:rsidR="00D75E70" w:rsidRDefault="008F5C74" w:rsidP="008F5C74">
      <w:pPr>
        <w:tabs>
          <w:tab w:val="left" w:pos="630"/>
          <w:tab w:val="left" w:pos="720"/>
        </w:tabs>
        <w:spacing w:line="360" w:lineRule="auto"/>
        <w:ind w:firstLine="720"/>
      </w:pPr>
      <w:r>
        <w:lastRenderedPageBreak/>
        <w:t>The e</w:t>
      </w:r>
      <w:r w:rsidR="009255A2">
        <w:t>ye movements</w:t>
      </w:r>
      <w:r>
        <w:t xml:space="preserve"> recorded</w:t>
      </w:r>
      <w:r w:rsidR="009255A2">
        <w:t xml:space="preserve"> </w:t>
      </w:r>
      <w:r w:rsidR="004B05F5">
        <w:t>during</w:t>
      </w:r>
      <w:r w:rsidR="009255A2">
        <w:t xml:space="preserve"> retrospective </w:t>
      </w:r>
      <w:r w:rsidR="004B05F5">
        <w:t>thinking</w:t>
      </w:r>
      <w:r w:rsidR="009255A2">
        <w:t xml:space="preserve"> will</w:t>
      </w:r>
      <w:r w:rsidR="00A058DA">
        <w:t xml:space="preserve"> </w:t>
      </w:r>
      <w:r>
        <w:t xml:space="preserve">then </w:t>
      </w:r>
      <w:r w:rsidR="009255A2">
        <w:t xml:space="preserve">reveal </w:t>
      </w:r>
      <w:r w:rsidR="004F0ABC">
        <w:t xml:space="preserve">how </w:t>
      </w:r>
      <w:r>
        <w:t xml:space="preserve">visuospatial information is recalled </w:t>
      </w:r>
      <w:r w:rsidR="004F0ABC">
        <w:t>within</w:t>
      </w:r>
      <w:r>
        <w:t xml:space="preserve"> a mental simulation. This idea is supported by research suggesting that e</w:t>
      </w:r>
      <w:r w:rsidR="009255A2">
        <w:t xml:space="preserve">ye movements can facilitate the mental recreation of visuospatial information </w:t>
      </w:r>
      <w:r w:rsidR="00292FCB">
        <w:t xml:space="preserve">(see </w:t>
      </w:r>
      <w:r w:rsidR="00A058DA">
        <w:t xml:space="preserve">Ferreira et al., 2008 </w:t>
      </w:r>
      <w:r w:rsidR="00292FCB">
        <w:t>for review)</w:t>
      </w:r>
      <w:r w:rsidR="009255A2">
        <w:t>.</w:t>
      </w:r>
      <w:r w:rsidR="00292FCB">
        <w:t xml:space="preserve"> </w:t>
      </w:r>
      <w:r w:rsidR="00D75E70">
        <w:t xml:space="preserve">For instance, </w:t>
      </w:r>
      <w:r w:rsidR="00292FCB">
        <w:t>while visualizing previously encoded images, people tend</w:t>
      </w:r>
      <w:r w:rsidR="004F0ABC">
        <w:t>ed</w:t>
      </w:r>
      <w:r w:rsidR="00292FCB">
        <w:t xml:space="preserve"> to spontaneously move their eyes in </w:t>
      </w:r>
      <w:r w:rsidR="00D75E70">
        <w:t xml:space="preserve">similar </w:t>
      </w:r>
      <w:r w:rsidR="00292FCB">
        <w:t>patterns as those enacted at initial encoding, which</w:t>
      </w:r>
      <w:r w:rsidR="0006323E">
        <w:t xml:space="preserve"> </w:t>
      </w:r>
      <w:r w:rsidR="00D75E70">
        <w:t>improve</w:t>
      </w:r>
      <w:r w:rsidR="00F51E7C">
        <w:t>d</w:t>
      </w:r>
      <w:r w:rsidR="00D75E70">
        <w:t xml:space="preserve">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attend to a specific component of the mental image, people move</w:t>
      </w:r>
      <w:r w:rsidR="004F0ABC">
        <w:t>d</w:t>
      </w:r>
      <w:r w:rsidR="00D75E70">
        <w:t xml:space="preserve"> their eyes toward </w:t>
      </w:r>
      <w:r w:rsidR="00F51E7C">
        <w:t>to the visuospatial information</w:t>
      </w:r>
      <w:r w:rsidR="00D75E70">
        <w:t xml:space="preserve"> that they were in-the-moment attending (e.g., Johansson &amp; Johansson, 2014; </w:t>
      </w:r>
      <w:proofErr w:type="spellStart"/>
      <w:r w:rsidR="00D75E70">
        <w:t>Noton</w:t>
      </w:r>
      <w:proofErr w:type="spellEnd"/>
      <w:r w:rsidR="00D75E70">
        <w:t xml:space="preserve"> &amp; Stark, 1971). These collective findings suggest that eye movements, even in the absence of </w:t>
      </w:r>
      <w:r w:rsidR="00F51E7C">
        <w:t>online</w:t>
      </w:r>
      <w:r w:rsidR="003E6464">
        <w:t xml:space="preserve">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w:t>
      </w:r>
      <w:r w:rsidR="00F51E7C">
        <w:t xml:space="preserve">. </w:t>
      </w:r>
    </w:p>
    <w:p w14:paraId="738EB899" w14:textId="3B0C485B" w:rsidR="00F51E7C" w:rsidRDefault="004F0ABC" w:rsidP="00F3642A">
      <w:pPr>
        <w:tabs>
          <w:tab w:val="left" w:pos="630"/>
          <w:tab w:val="left" w:pos="720"/>
        </w:tabs>
        <w:spacing w:line="360" w:lineRule="auto"/>
        <w:ind w:firstLine="720"/>
      </w:pPr>
      <w:r>
        <w:t>To adjudicate between process and</w:t>
      </w:r>
      <w:r>
        <w:rPr>
          <w:i/>
        </w:rPr>
        <w:t xml:space="preserve"> </w:t>
      </w:r>
      <w:r>
        <w:t xml:space="preserve">counterfactual theories of causal reasoning, we will </w:t>
      </w:r>
      <w:r w:rsidR="00F3642A">
        <w:t xml:space="preserve">use the eye movements evoked during outcome assessment and counterfactual thinking to </w:t>
      </w:r>
      <w:r w:rsidR="008328C1">
        <w:t>predict</w:t>
      </w:r>
      <w:r w:rsidR="00F3642A">
        <w:t xml:space="preserve"> the eye movements evoked during causal reasoning. Such </w:t>
      </w:r>
      <w:r w:rsidR="008328C1">
        <w:t>predictions</w:t>
      </w:r>
      <w:r w:rsidR="00F3642A">
        <w:t xml:space="preserve"> will reveal to degree to which </w:t>
      </w:r>
      <w:r w:rsidR="008328C1">
        <w:t>participants relied on counterfactual thinking to determine causality. That is,</w:t>
      </w:r>
      <w:r w:rsidR="00F3642A">
        <w:t xml:space="preserve"> </w:t>
      </w:r>
      <w:r w:rsidR="008328C1">
        <w:t>i</w:t>
      </w:r>
      <w:r w:rsidR="00F3642A">
        <w:t>f</w:t>
      </w:r>
      <w:r w:rsidR="006C6EB7">
        <w:t xml:space="preserve"> eye movements during retrospective causal reasoning resemble thos</w:t>
      </w:r>
      <w:r w:rsidR="002E6627">
        <w:t>e</w:t>
      </w:r>
      <w:r w:rsidR="006C6EB7">
        <w:t xml:space="preserve"> during </w:t>
      </w:r>
      <w:r w:rsidR="00F3642A">
        <w:t xml:space="preserve">counterfactual </w:t>
      </w:r>
      <w:r w:rsidR="006C6EB7">
        <w:t>thinking</w:t>
      </w:r>
      <w:r w:rsidR="00F3642A">
        <w:t>, the evidence would support the idea that participants, to a certain degree, engaged counterfactual thinking to determine causality</w:t>
      </w:r>
      <w:r w:rsidR="001D1B60">
        <w:t xml:space="preserve">, </w:t>
      </w:r>
      <w:r w:rsidR="00F3642A">
        <w:t>supporting counterfactual theories. If</w:t>
      </w:r>
      <w:r w:rsidR="006C6EB7">
        <w:t>, however, they more closely resemble those during</w:t>
      </w:r>
      <w:r w:rsidR="00F3642A">
        <w:t xml:space="preserve"> outcome assessment</w:t>
      </w:r>
      <w:r w:rsidR="006C6EB7">
        <w:t xml:space="preserve">, </w:t>
      </w:r>
      <w:r w:rsidR="00F3642A">
        <w:t>evidence would support process theories. Given their retrospective nature, such eye movements will not reflect any future-oriented hypothetical simulations</w:t>
      </w:r>
      <w:r w:rsidR="008328C1">
        <w:t xml:space="preserve"> thus address the possible alternative explanation from </w:t>
      </w:r>
      <w:proofErr w:type="spellStart"/>
      <w:r w:rsidR="008328C1">
        <w:t>Gerstenberg</w:t>
      </w:r>
      <w:proofErr w:type="spellEnd"/>
      <w:r w:rsidR="008328C1">
        <w:t xml:space="preserve"> et al. (2017)</w:t>
      </w:r>
      <w:r w:rsidR="00F3642A">
        <w:t>.</w:t>
      </w:r>
    </w:p>
    <w:p w14:paraId="71DEAF3F" w14:textId="43BC8347" w:rsidR="000635E6" w:rsidRDefault="00C804CB" w:rsidP="00D5117B">
      <w:pPr>
        <w:spacing w:line="360" w:lineRule="auto"/>
        <w:ind w:firstLine="720"/>
      </w:pPr>
      <w:r w:rsidRPr="00C804CB">
        <w:rPr>
          <w:b/>
          <w:bCs/>
        </w:rPr>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ranges considerably (Pearson,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w:t>
      </w:r>
      <w:r w:rsidR="00D5117B">
        <w:lastRenderedPageBreak/>
        <w:t xml:space="preserve">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ask participants to subjectively rate the vividness of any mental image</w:t>
      </w:r>
      <w:r w:rsidR="0076610A">
        <w:t xml:space="preserve"> or simulation</w:t>
      </w:r>
      <w:r w:rsidR="000635E6">
        <w:t xml:space="preserve"> evoked while engaged in retrospective </w:t>
      </w:r>
      <w:r w:rsidR="0076610A">
        <w:t>thinking</w:t>
      </w:r>
      <w:r w:rsidR="000635E6">
        <w:t xml:space="preserve">, predicting that this report will correspond </w:t>
      </w:r>
      <w:r w:rsidR="00E46D83">
        <w:t xml:space="preserve">to </w:t>
      </w:r>
      <w:r w:rsidR="008D4DFA">
        <w:t>how much</w:t>
      </w:r>
      <w:r w:rsidR="000635E6">
        <w:t xml:space="preserve"> participants move their eyes</w:t>
      </w:r>
      <w:r w:rsidR="006D74CE">
        <w:t xml:space="preserve"> </w:t>
      </w:r>
      <w:r w:rsidR="008D4DFA">
        <w:t xml:space="preserve">(e.g.,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52FBEBB6" w:rsidR="007F2948" w:rsidRDefault="008D4DFA" w:rsidP="000C485E">
      <w:pPr>
        <w:spacing w:line="360" w:lineRule="auto"/>
        <w:ind w:firstLine="720"/>
      </w:pPr>
      <w:r>
        <w:t xml:space="preserve">We further predict that the </w:t>
      </w:r>
      <w:r w:rsidR="00B5535E">
        <w:t xml:space="preserve">vividness of mental imagery will </w:t>
      </w:r>
      <w:r w:rsidR="000C485E">
        <w:t xml:space="preserve">correspond to more extreme precept-related event judgements (e.g., Swann &amp; Miller, 1982). </w:t>
      </w:r>
      <w:commentRangeStart w:id="5"/>
      <w:commentRangeStart w:id="6"/>
      <w:commentRangeStart w:id="7"/>
      <w:r w:rsidR="00E46D83">
        <w:t>…</w:t>
      </w:r>
      <w:commentRangeEnd w:id="5"/>
      <w:r w:rsidR="00E46D83">
        <w:rPr>
          <w:rStyle w:val="CommentReference"/>
        </w:rPr>
        <w:commentReference w:id="5"/>
      </w:r>
      <w:commentRangeEnd w:id="6"/>
      <w:r w:rsidR="007A6796">
        <w:rPr>
          <w:rStyle w:val="CommentReference"/>
          <w:rFonts w:ascii="Arial" w:eastAsia="Arial" w:hAnsi="Arial" w:cs="Arial"/>
          <w:lang w:val="en"/>
        </w:rPr>
        <w:commentReference w:id="6"/>
      </w:r>
      <w:commentRangeEnd w:id="7"/>
      <w:r w:rsidR="00FF2D04">
        <w:rPr>
          <w:rStyle w:val="CommentReference"/>
          <w:rFonts w:ascii="Arial" w:eastAsia="Arial" w:hAnsi="Arial" w:cs="Arial"/>
          <w:lang w:val="en"/>
        </w:rPr>
        <w:commentReference w:id="7"/>
      </w:r>
      <w:r w:rsidR="00E46D83">
        <w:t xml:space="preserve"> </w:t>
      </w:r>
      <w:r w:rsidR="00186822">
        <w:t xml:space="preserve"> </w:t>
      </w:r>
    </w:p>
    <w:p w14:paraId="22A645AD" w14:textId="5E0566F4" w:rsidR="007F2948" w:rsidRDefault="00C804CB" w:rsidP="005C64D7">
      <w:pPr>
        <w:tabs>
          <w:tab w:val="left" w:pos="360"/>
        </w:tabs>
        <w:spacing w:line="360" w:lineRule="auto"/>
        <w:ind w:firstLine="360"/>
      </w:pPr>
      <w:r w:rsidRPr="00C804CB">
        <w:rPr>
          <w:b/>
          <w:bCs/>
        </w:rPr>
        <w:t xml:space="preserve">Personal and impersonal </w:t>
      </w:r>
      <w:r w:rsidR="005A32F1">
        <w:rPr>
          <w:b/>
          <w:bCs/>
        </w:rPr>
        <w:t>perspective</w:t>
      </w:r>
      <w:r w:rsidRPr="00C804CB">
        <w:rPr>
          <w:b/>
          <w:bCs/>
        </w:rPr>
        <w:t>.</w:t>
      </w:r>
      <w:r>
        <w:t xml:space="preserve"> </w:t>
      </w:r>
      <w:r w:rsidR="00D5117B">
        <w:t xml:space="preserve">The current work will also incorporate a </w:t>
      </w:r>
      <w:r w:rsidR="00F13625">
        <w:t>personal</w:t>
      </w:r>
      <w:r w:rsidR="00D5117B">
        <w:t xml:space="preserve"> vs. </w:t>
      </w:r>
      <w:r w:rsidR="00F13625">
        <w:t>impersonal perspective</w:t>
      </w:r>
      <w:r w:rsidR="00D5117B">
        <w:t xml:space="preserve">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 xml:space="preserve">This manipulation </w:t>
      </w:r>
      <w:r w:rsidR="00EF7AC5">
        <w:t>will</w:t>
      </w:r>
      <w:r w:rsidR="00C1523F">
        <w:t xml:space="preserve"> ensure that observed eye movements reflect deliberate, overt attention and memory processes as opposed to a</w:t>
      </w:r>
      <w:r w:rsidR="00EF7AC5">
        <w:t>ny</w:t>
      </w:r>
      <w:r w:rsidR="00C1523F">
        <w:t xml:space="preserve"> natural bias to focus on one component of the event over the other. Moreover, </w:t>
      </w:r>
      <w:r w:rsidR="007F4FAB">
        <w:t>personal</w:t>
      </w:r>
      <w:r w:rsidR="00E46D83">
        <w:t xml:space="preserve"> and </w:t>
      </w:r>
      <w:r w:rsidR="007F4FAB">
        <w:t xml:space="preserve">impersonal </w:t>
      </w:r>
      <w:r w:rsidR="00D5117B">
        <w:t xml:space="preserve">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Therefore,</w:t>
      </w:r>
      <w:r w:rsidR="00EF7AC5">
        <w:t xml:space="preserve"> with a more exploratory objective,</w:t>
      </w:r>
      <w:r w:rsidR="00D5117B">
        <w:t xml:space="preserve"> </w:t>
      </w:r>
      <w:r w:rsidR="00E46D83">
        <w:t xml:space="preserve">we will also ask participants to </w:t>
      </w:r>
      <w:r w:rsidR="00EF7AC5">
        <w:t>report</w:t>
      </w:r>
      <w:r w:rsidR="00E46D83">
        <w:t xml:space="preserve"> self- and goalie-focused</w:t>
      </w:r>
      <w:r w:rsidR="00EF7AC5">
        <w:t xml:space="preserve"> </w:t>
      </w:r>
      <w:r w:rsidR="00E46D83">
        <w:t>responsibility</w:t>
      </w:r>
      <w:r w:rsidR="00D5117B">
        <w:t xml:space="preserve"> </w:t>
      </w:r>
      <w:r w:rsidR="00E46D83">
        <w:t>for the given outcome</w:t>
      </w:r>
      <w:r w:rsidR="00EF7AC5">
        <w:t xml:space="preserve">, and we will </w:t>
      </w:r>
      <w:r w:rsidR="00E46D83">
        <w:t>compar</w:t>
      </w:r>
      <w:r w:rsidR="00EF7AC5">
        <w:t xml:space="preserve">e these judgments across personal/impersonal </w:t>
      </w:r>
      <w:r w:rsidR="005A32F1">
        <w:t>perspectives</w:t>
      </w:r>
      <w:r w:rsidR="00EF7AC5">
        <w:t xml:space="preserve"> as well as retrospective thought type.</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6229E9D0" w14:textId="4B5899AE" w:rsidR="006822F2" w:rsidRDefault="00D5117B" w:rsidP="00D5117B">
      <w:pPr>
        <w:spacing w:line="360" w:lineRule="auto"/>
      </w:pPr>
      <w:r>
        <w:tab/>
        <w:t xml:space="preserve">Participants will be volunteers recruited from Duke University and the local community. An </w:t>
      </w:r>
      <w:r>
        <w:rPr>
          <w:i/>
        </w:rPr>
        <w:t>a priori</w:t>
      </w:r>
      <w:r>
        <w:t xml:space="preserve"> power analysis (</w:t>
      </w:r>
      <w:commentRangeStart w:id="8"/>
      <w:commentRangeStart w:id="9"/>
      <w:r>
        <w:rPr>
          <w:i/>
        </w:rPr>
        <w:t xml:space="preserve">f </w:t>
      </w:r>
      <w:r>
        <w:t>= .25, (1 - β) = .80 and α = .05, two-tailed</w:t>
      </w:r>
      <w:commentRangeEnd w:id="8"/>
      <w:r>
        <w:commentReference w:id="8"/>
      </w:r>
      <w:commentRangeEnd w:id="9"/>
      <w:r w:rsidR="00912F2C">
        <w:rPr>
          <w:rStyle w:val="CommentReference"/>
          <w:rFonts w:ascii="Arial" w:eastAsia="Arial" w:hAnsi="Arial" w:cs="Arial"/>
          <w:lang w:val="en"/>
        </w:rPr>
        <w:commentReference w:id="9"/>
      </w:r>
      <w:r>
        <w:t>) estimated a target sa</w:t>
      </w:r>
      <w:r>
        <w:rPr>
          <w:highlight w:val="white"/>
        </w:rPr>
        <w:t>mple size of 86 participants. We will over-recruit by ~10% to account for possible cancellations and technical issues, for an estimated 94 rec</w:t>
      </w:r>
      <w:r>
        <w:t xml:space="preserve">ruited participants. </w:t>
      </w:r>
      <w:r w:rsidR="00EB79FE">
        <w:t xml:space="preserve">Because there is little consensus on the proper approach for conducting a power analysis with </w:t>
      </w:r>
      <w:proofErr w:type="gramStart"/>
      <w:r w:rsidR="00EB79FE">
        <w:t>mixed-effect</w:t>
      </w:r>
      <w:proofErr w:type="gramEnd"/>
      <w:r w:rsidR="00FF2D04">
        <w:t>, we</w:t>
      </w:r>
      <w:r w:rsidR="00EB79FE">
        <w:t xml:space="preserve"> </w:t>
      </w:r>
      <w:r w:rsidR="00EB79FE">
        <w:lastRenderedPageBreak/>
        <w:t>will also use Monte Carlo simulations to estimate the minimally detectable effect size</w:t>
      </w:r>
      <w:r w:rsidR="00BF24C1">
        <w:t>s</w:t>
      </w:r>
      <w:r w:rsidR="00EB79FE">
        <w:t xml:space="preserve"> from our data and will interpret our results in the context of those results. </w:t>
      </w:r>
    </w:p>
    <w:p w14:paraId="0DA039EB" w14:textId="5916FE62" w:rsidR="007F2948" w:rsidRDefault="00D5117B" w:rsidP="006822F2">
      <w:pPr>
        <w:spacing w:line="360" w:lineRule="auto"/>
        <w:ind w:firstLine="720"/>
        <w:rPr>
          <w:highlight w:val="yellow"/>
        </w:rPr>
      </w:pPr>
      <w:r>
        <w:t>Informed consent will be obtained from each participant following procedures approved by the University Institutional Review Board, and participants will be compensated $12</w:t>
      </w:r>
      <w:r w:rsidR="00FF71FA">
        <w:t>/hr</w:t>
      </w:r>
      <w:r>
        <w:t>.</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0"/>
      <w:r>
        <w:t>13°</w:t>
      </w:r>
      <w:r w:rsidR="00A058DA">
        <w:t xml:space="preserve"> </w:t>
      </w:r>
      <w:r>
        <w:t>x</w:t>
      </w:r>
      <w:r w:rsidR="00A058DA">
        <w:t xml:space="preserve"> </w:t>
      </w:r>
      <w:r>
        <w:t xml:space="preserve">10° </w:t>
      </w:r>
      <w:commentRangeEnd w:id="10"/>
      <w:r w:rsidR="00A058DA">
        <w:rPr>
          <w:rStyle w:val="CommentReference"/>
          <w:rFonts w:ascii="Arial" w:eastAsia="Arial" w:hAnsi="Arial" w:cs="Arial"/>
          <w:lang w:val="en"/>
        </w:rPr>
        <w:commentReference w:id="10"/>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lastRenderedPageBreak/>
        <w:t xml:space="preserve">After providing written consent and following the 9-point calibration procedures, participants will watch several instructional videos to learn how the objects can move and 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1"/>
      <w:r w:rsidRPr="00D5117B">
        <w:t>B</w:t>
      </w:r>
      <w:commentRangeEnd w:id="11"/>
      <w:r w:rsidR="00C46C90">
        <w:rPr>
          <w:rStyle w:val="CommentReference"/>
          <w:rFonts w:ascii="Arial" w:eastAsia="Arial" w:hAnsi="Arial" w:cs="Arial"/>
          <w:lang w:val="en"/>
        </w:rPr>
        <w:commentReference w:id="11"/>
      </w:r>
      <w:r w:rsidRPr="00D5117B">
        <w:t>) Example trial sequence for outcome assessment.</w:t>
      </w:r>
    </w:p>
    <w:p w14:paraId="24FF9949" w14:textId="77777777" w:rsidR="00E02063" w:rsidRDefault="00E02063"/>
    <w:p w14:paraId="5D19F75A" w14:textId="39661EA7"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Specifically, as a within-subject manipulation, if participants see the prompt Remember, they should think about/visualize the 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8D5879C"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w:t>
      </w:r>
      <w:r w:rsidR="005346F5">
        <w:t>second edition of the Vividness of Visual Imagery Questionnaire (VVIQ2; Marks, 1995)</w:t>
      </w:r>
      <w:r>
        <w:t xml:space="preserve">, with 1 indicating </w:t>
      </w:r>
      <w:r>
        <w:rPr>
          <w:i/>
        </w:rPr>
        <w:t>No image at all, you only “know” that you are thinking of the objects</w:t>
      </w:r>
      <w:r>
        <w:t xml:space="preserve"> and 5 indicating </w:t>
      </w:r>
      <w:r>
        <w:rPr>
          <w:i/>
        </w:rPr>
        <w:t>Perfectly clear and lively as real as seeing</w:t>
      </w:r>
      <w:r>
        <w:t xml:space="preserve">. </w:t>
      </w:r>
    </w:p>
    <w:p w14:paraId="79F63167" w14:textId="6F61F37A"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 xml:space="preserve">using a </w:t>
      </w:r>
      <w:r w:rsidR="005346F5">
        <w:t>continuous slider scale, with the leftmost extreme end</w:t>
      </w:r>
      <w:r w:rsidR="00B25C98">
        <w:t xml:space="preserve"> </w:t>
      </w:r>
      <w:r w:rsidR="00B25C98">
        <w:rPr>
          <w:i/>
          <w:iCs/>
        </w:rPr>
        <w:t>Not at all</w:t>
      </w:r>
      <w:r w:rsidR="00B25C98">
        <w:t xml:space="preserve"> and </w:t>
      </w:r>
      <w:r w:rsidR="005346F5">
        <w:t>the rightmost end</w:t>
      </w:r>
      <w:r w:rsidR="00B25C98">
        <w:t xml:space="preserve"> indicating </w:t>
      </w:r>
      <w:r w:rsidR="00B25C98">
        <w:rPr>
          <w:i/>
          <w:iCs/>
        </w:rPr>
        <w:t>Very much</w:t>
      </w:r>
      <w:r w:rsidR="00B25C98">
        <w:t xml:space="preserve">. </w:t>
      </w:r>
      <w:r w:rsidR="005346F5">
        <w:t xml:space="preserve">These questions are adapted from those used in </w:t>
      </w:r>
      <w:proofErr w:type="spellStart"/>
      <w:r w:rsidR="005346F5">
        <w:t>Gerstenberg</w:t>
      </w:r>
      <w:proofErr w:type="spellEnd"/>
      <w:r w:rsidR="005346F5">
        <w:t xml:space="preserve"> et al., (2017).</w:t>
      </w:r>
    </w:p>
    <w:p w14:paraId="7CD98AAE" w14:textId="79D66F3C" w:rsidR="00D5117B" w:rsidRPr="005C64D7" w:rsidRDefault="00D5117B" w:rsidP="0035362E">
      <w:pPr>
        <w:spacing w:line="360" w:lineRule="auto"/>
      </w:pPr>
      <w:r>
        <w:tab/>
      </w:r>
      <w:r>
        <w:rPr>
          <w:b/>
        </w:rPr>
        <w:t>Responsibility judgments.</w:t>
      </w:r>
      <w:r>
        <w:t xml:space="preserve"> </w:t>
      </w:r>
      <w:r w:rsidR="00B25C98">
        <w:t xml:space="preserve">Lastly, participants will use </w:t>
      </w:r>
      <w:r w:rsidR="005346F5">
        <w:t>the same continuous slider</w:t>
      </w:r>
      <w:r w:rsidR="00B25C98">
        <w:t xml:space="preserve"> scale to ascribe self- and goalie-oriented responsibility for the outcome</w:t>
      </w:r>
      <w:r w:rsidR="005346F5">
        <w:t>.</w:t>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lastRenderedPageBreak/>
        <w:t>Behavioral Pilot</w:t>
      </w:r>
    </w:p>
    <w:p w14:paraId="43012B37" w14:textId="2FBE7A38" w:rsidR="007F2948" w:rsidRPr="005C745E" w:rsidRDefault="00D5117B" w:rsidP="000F19EC">
      <w:pPr>
        <w:spacing w:line="360" w:lineRule="auto"/>
      </w:pPr>
      <w:r>
        <w:rPr>
          <w:b/>
        </w:rPr>
        <w:tab/>
      </w:r>
      <w:r w:rsidR="005346F5">
        <w:t>We</w:t>
      </w:r>
      <w:r>
        <w:t xml:space="preserve"> conducted an online, behavioral pilot study (N = 250) using Amazon Mechanical Turk. </w:t>
      </w:r>
      <w:r w:rsidR="00F13625">
        <w:t xml:space="preserve">Participants were randomly assigned to </w:t>
      </w:r>
      <w:r w:rsidR="005C745E">
        <w:t xml:space="preserve">the personal perspective or impersonal perspective conditions. </w:t>
      </w:r>
      <w:r w:rsidR="002C0ADC">
        <w:t xml:space="preserve">A total of </w:t>
      </w:r>
      <w:r w:rsidR="00F13625">
        <w:t xml:space="preserve">16 </w:t>
      </w:r>
      <w:r w:rsidR="005C745E">
        <w:t xml:space="preserve">personal and 22 impersonal </w:t>
      </w:r>
      <w:r w:rsidR="00F13625">
        <w:t xml:space="preserve">participants </w:t>
      </w:r>
      <w:r w:rsidR="005C745E">
        <w:t xml:space="preserve">were removed </w:t>
      </w:r>
      <w:r>
        <w:t xml:space="preserve">for failing at least one of two questions used to gauge participants’ </w:t>
      </w:r>
      <w:r w:rsidR="002C0ADC">
        <w:t xml:space="preserve">engagement and </w:t>
      </w:r>
      <w:r>
        <w:t>compliance</w:t>
      </w:r>
      <w:r w:rsidR="00F13625">
        <w:t xml:space="preserve"> (final N = 212)</w:t>
      </w:r>
      <w:r>
        <w:t xml:space="preserve">.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3741C839"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t>
      </w:r>
      <w:r w:rsidR="00160E9F">
        <w:rPr>
          <w:highlight w:val="white"/>
        </w:rPr>
        <w:t xml:space="preserve">whether the vividness </w:t>
      </w:r>
      <w:r w:rsidR="00160E9F">
        <w:t xml:space="preserve">of </w:t>
      </w:r>
      <w:r w:rsidR="0035362E">
        <w:t>mental simulation</w:t>
      </w:r>
      <w:r w:rsidR="00160E9F">
        <w:t xml:space="preserve"> varied across</w:t>
      </w:r>
      <w:r w:rsidR="00160E9F">
        <w:rPr>
          <w:highlight w:val="white"/>
        </w:rPr>
        <w:t xml:space="preserve"> </w:t>
      </w:r>
      <w:r>
        <w:rPr>
          <w:highlight w:val="white"/>
        </w:rPr>
        <w:t xml:space="preserve">the </w:t>
      </w:r>
      <w:r w:rsidR="00160E9F">
        <w:rPr>
          <w:highlight w:val="white"/>
        </w:rPr>
        <w:t>type of retrospective</w:t>
      </w:r>
      <w:r w:rsidR="0035362E">
        <w:rPr>
          <w:highlight w:val="white"/>
        </w:rPr>
        <w:t xml:space="preserve"> thought</w:t>
      </w:r>
      <w:r w:rsidR="00160E9F">
        <w:rPr>
          <w:highlight w:val="white"/>
        </w:rPr>
        <w:t>, the success of the outcome, and/or the perspective</w:t>
      </w:r>
      <w:r w:rsidR="00CD78D6">
        <w:rPr>
          <w:highlight w:val="white"/>
        </w:rPr>
        <w:t xml:space="preserve"> of the mental simulation</w:t>
      </w:r>
      <w:r w:rsidR="00160E9F">
        <w:rPr>
          <w:highlight w:val="white"/>
        </w:rPr>
        <w:t>.</w:t>
      </w:r>
      <w:r w:rsidR="00160E9F">
        <w:t xml:space="preserve"> </w:t>
      </w:r>
      <w:r w:rsidR="000822E8">
        <w:t>Ratings</w:t>
      </w:r>
      <w:r w:rsidR="00160E9F">
        <w:t xml:space="preserve"> of vividness (1-5)</w:t>
      </w:r>
      <w:r w:rsidR="000822E8">
        <w:t xml:space="preserve">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1749FA" w:rsidRPr="007D7359">
        <w:rPr>
          <w:i/>
          <w:iCs/>
          <w:highlight w:val="white"/>
        </w:rPr>
        <w:t>thought</w:t>
      </w:r>
      <w:r w:rsidR="001749FA">
        <w:rPr>
          <w:highlight w:val="white"/>
        </w:rPr>
        <w:t xml:space="preserve"> (three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(personal [reference group] and impersonal)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6AA65218" w14:textId="6D3BA032" w:rsidR="00BF0CA9" w:rsidRDefault="001749FA" w:rsidP="005D4D8D">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413AFB">
        <w:rPr>
          <w:b/>
          <w:bCs/>
          <w:highlight w:val="white"/>
        </w:rPr>
        <w:t xml:space="preserve">. </w:t>
      </w:r>
      <w:r w:rsidR="00413AFB">
        <w:t xml:space="preserve">As illustrated in </w:t>
      </w:r>
      <w:r w:rsidR="00413AFB" w:rsidRPr="001749FA">
        <w:rPr>
          <w:b/>
          <w:bCs/>
          <w:highlight w:val="white"/>
        </w:rPr>
        <w:t>Figure 2</w:t>
      </w:r>
      <w:r w:rsidR="00413AFB">
        <w:rPr>
          <w:b/>
          <w:bCs/>
          <w:highlight w:val="white"/>
        </w:rPr>
        <w:t xml:space="preserve">, </w:t>
      </w:r>
      <w:r w:rsidR="00413AFB">
        <w:rPr>
          <w:highlight w:val="white"/>
        </w:rPr>
        <w:t>p</w:t>
      </w:r>
      <w:r w:rsidR="005C745E">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sidR="005C745E">
        <w:t xml:space="preserve"> showed that </w:t>
      </w:r>
      <w:r w:rsidR="00BF0CA9">
        <w:t xml:space="preserve">participants </w:t>
      </w:r>
      <w:r w:rsidR="00BF24C1">
        <w:t xml:space="preserve">reported more vivid mental simulations for </w:t>
      </w:r>
      <w:r w:rsidR="00BF0CA9">
        <w:t xml:space="preserve">outcome assessment </w:t>
      </w:r>
      <w:r w:rsidR="00BF24C1">
        <w:t xml:space="preserve">than counterfactual thinking </w:t>
      </w:r>
      <w:r w:rsidR="00BF24C1">
        <w:t>(</w:t>
      </w:r>
      <w:r w:rsidR="00BF24C1" w:rsidRPr="00BF24C1">
        <w:rPr>
          <w:i/>
          <w:iCs/>
        </w:rPr>
        <w:t>B</w:t>
      </w:r>
      <w:r w:rsidR="00BF24C1">
        <w:t xml:space="preserve"> = .04, </w:t>
      </w:r>
      <w:r w:rsidR="00BF24C1" w:rsidRPr="00BF24C1">
        <w:rPr>
          <w:i/>
          <w:iCs/>
        </w:rPr>
        <w:t>SE</w:t>
      </w:r>
      <w:r w:rsidR="00BF24C1">
        <w:t xml:space="preserve"> </w:t>
      </w:r>
      <w:r w:rsidR="00BF24C1">
        <w:t>=</w:t>
      </w:r>
      <w:r w:rsidR="00BF24C1">
        <w:t xml:space="preserve"> .01, </w:t>
      </w:r>
      <w:r w:rsidR="00BF24C1" w:rsidRPr="00BF24C1">
        <w:rPr>
          <w:i/>
          <w:iCs/>
        </w:rPr>
        <w:t>p</w:t>
      </w:r>
      <w:r w:rsidR="00BF24C1">
        <w:t xml:space="preserve"> = .004)</w:t>
      </w:r>
      <w:r w:rsidR="00BF24C1">
        <w:t xml:space="preserve"> </w:t>
      </w:r>
      <w:r w:rsidR="005D4D8D">
        <w:t xml:space="preserve">but only when participants were </w:t>
      </w:r>
      <w:r w:rsidR="005D4D8D">
        <w:t>focused on the ball (personal perspective)</w:t>
      </w:r>
      <w:r w:rsidR="005D4D8D">
        <w:t xml:space="preserve">. Those who were focused on the goalie (impersonal perspective) reported similar vividness ratings for outcome assessment and counterfactual thinking </w:t>
      </w:r>
      <w:r w:rsidR="005D4D8D">
        <w:t>(</w:t>
      </w:r>
      <w:r w:rsidR="005D4D8D" w:rsidRPr="00BF24C1">
        <w:rPr>
          <w:i/>
          <w:iCs/>
        </w:rPr>
        <w:t>B</w:t>
      </w:r>
      <w:r w:rsidR="005D4D8D">
        <w:t xml:space="preserve"> = .0</w:t>
      </w:r>
      <w:r w:rsidR="005D4D8D">
        <w:t>0</w:t>
      </w:r>
      <w:r w:rsidR="005D4D8D">
        <w:t xml:space="preserve">, </w:t>
      </w:r>
      <w:r w:rsidR="005D4D8D" w:rsidRPr="00BF24C1">
        <w:rPr>
          <w:i/>
          <w:iCs/>
        </w:rPr>
        <w:t>SE</w:t>
      </w:r>
      <w:r w:rsidR="005D4D8D">
        <w:t xml:space="preserve"> = .0</w:t>
      </w:r>
      <w:r w:rsidR="005D4D8D">
        <w:t>2</w:t>
      </w:r>
      <w:r w:rsidR="005D4D8D">
        <w:t xml:space="preserve">, </w:t>
      </w:r>
      <w:r w:rsidR="005D4D8D" w:rsidRPr="00BF24C1">
        <w:rPr>
          <w:i/>
          <w:iCs/>
        </w:rPr>
        <w:t>p</w:t>
      </w:r>
      <w:r w:rsidR="005D4D8D">
        <w:t xml:space="preserve"> = .</w:t>
      </w:r>
      <w:r w:rsidR="005D4D8D">
        <w:t>809</w:t>
      </w:r>
      <w:r w:rsidR="005D4D8D">
        <w:t>)</w:t>
      </w:r>
      <w:r w:rsidR="005D4D8D">
        <w:t>. Mental simulations for outcome assessment were more vivid than for causal reasoning regardless of whether participants were focused on the ball</w:t>
      </w:r>
      <w:r w:rsidR="005D4D8D">
        <w:t xml:space="preserve"> (</w:t>
      </w:r>
      <w:r w:rsidR="005D4D8D" w:rsidRPr="00BF24C1">
        <w:rPr>
          <w:i/>
          <w:iCs/>
        </w:rPr>
        <w:t>B</w:t>
      </w:r>
      <w:r w:rsidR="005D4D8D">
        <w:t xml:space="preserve"> = .08, </w:t>
      </w:r>
      <w:r w:rsidR="005D4D8D" w:rsidRPr="00BF24C1">
        <w:rPr>
          <w:i/>
          <w:iCs/>
        </w:rPr>
        <w:t>SE</w:t>
      </w:r>
      <w:r w:rsidR="005D4D8D">
        <w:t xml:space="preserve"> = .01, </w:t>
      </w:r>
      <w:r w:rsidR="005D4D8D" w:rsidRPr="00BF24C1">
        <w:rPr>
          <w:i/>
          <w:iCs/>
        </w:rPr>
        <w:t>p</w:t>
      </w:r>
      <w:r w:rsidR="005D4D8D">
        <w:t xml:space="preserve"> &lt; .001)</w:t>
      </w:r>
      <w:r w:rsidR="005D4D8D">
        <w:t xml:space="preserve"> or the goalie </w:t>
      </w:r>
      <w:r w:rsidR="005D4D8D">
        <w:t>(</w:t>
      </w:r>
      <w:r w:rsidR="005D4D8D" w:rsidRPr="00BF24C1">
        <w:rPr>
          <w:i/>
          <w:iCs/>
        </w:rPr>
        <w:t>B</w:t>
      </w:r>
      <w:r w:rsidR="005D4D8D">
        <w:t xml:space="preserve"> = .0</w:t>
      </w:r>
      <w:r w:rsidR="005D4D8D">
        <w:t>5</w:t>
      </w:r>
      <w:r w:rsidR="005D4D8D">
        <w:t xml:space="preserve">, </w:t>
      </w:r>
      <w:r w:rsidR="005D4D8D" w:rsidRPr="00BF24C1">
        <w:rPr>
          <w:i/>
          <w:iCs/>
        </w:rPr>
        <w:t>SE</w:t>
      </w:r>
      <w:r w:rsidR="005D4D8D">
        <w:t xml:space="preserve"> = .0</w:t>
      </w:r>
      <w:r w:rsidR="005D4D8D">
        <w:t>2</w:t>
      </w:r>
      <w:r w:rsidR="005D4D8D">
        <w:t xml:space="preserve">, </w:t>
      </w:r>
      <w:r w:rsidR="005D4D8D" w:rsidRPr="00BF24C1">
        <w:rPr>
          <w:i/>
          <w:iCs/>
        </w:rPr>
        <w:t>p</w:t>
      </w:r>
      <w:r w:rsidR="005D4D8D">
        <w:t xml:space="preserve"> </w:t>
      </w:r>
      <w:r w:rsidR="005D4D8D">
        <w:t>=</w:t>
      </w:r>
      <w:r w:rsidR="005D4D8D">
        <w:t xml:space="preserve"> .00</w:t>
      </w:r>
      <w:r w:rsidR="005D4D8D">
        <w:t>1</w:t>
      </w:r>
      <w:r w:rsidR="005D4D8D">
        <w:t>)</w:t>
      </w:r>
      <w:r w:rsidR="005D4D8D">
        <w:t xml:space="preserve">. </w:t>
      </w:r>
      <w:r w:rsidR="00BF24C1">
        <w:t>Further, mental simulations for counterfactual thinking were reported as more vivid than causal reasoning</w:t>
      </w:r>
      <w:r w:rsidR="005D4D8D">
        <w:t xml:space="preserve"> again regardless of whether participants were focused on the ball</w:t>
      </w:r>
      <w:r w:rsidR="00BF24C1">
        <w:t xml:space="preserve"> </w:t>
      </w:r>
      <w:r w:rsidR="00BF24C1">
        <w:t>(</w:t>
      </w:r>
      <w:r w:rsidR="00BF24C1" w:rsidRPr="00BF24C1">
        <w:rPr>
          <w:i/>
          <w:iCs/>
        </w:rPr>
        <w:t>B</w:t>
      </w:r>
      <w:r w:rsidR="00BF24C1">
        <w:t xml:space="preserve"> = .04, </w:t>
      </w:r>
      <w:r w:rsidR="00BF24C1" w:rsidRPr="00BF24C1">
        <w:rPr>
          <w:i/>
          <w:iCs/>
        </w:rPr>
        <w:t>SE</w:t>
      </w:r>
      <w:r w:rsidR="00BF24C1">
        <w:t xml:space="preserve"> = .01, </w:t>
      </w:r>
      <w:r w:rsidR="00BF24C1" w:rsidRPr="00BF24C1">
        <w:rPr>
          <w:i/>
          <w:iCs/>
        </w:rPr>
        <w:t>p</w:t>
      </w:r>
      <w:r w:rsidR="00BF24C1">
        <w:t xml:space="preserve"> = .00</w:t>
      </w:r>
      <w:r w:rsidR="00BF24C1">
        <w:t>5</w:t>
      </w:r>
      <w:r w:rsidR="00BF24C1">
        <w:t>)</w:t>
      </w:r>
      <w:r w:rsidR="005D4D8D">
        <w:t xml:space="preserve"> or the goalie</w:t>
      </w:r>
      <w:r w:rsidR="005D4D8D">
        <w:t xml:space="preserve"> (</w:t>
      </w:r>
      <w:r w:rsidR="005D4D8D" w:rsidRPr="00BF24C1">
        <w:rPr>
          <w:i/>
          <w:iCs/>
        </w:rPr>
        <w:t>B</w:t>
      </w:r>
      <w:r w:rsidR="005D4D8D">
        <w:t xml:space="preserve"> = .0</w:t>
      </w:r>
      <w:r w:rsidR="005D4D8D">
        <w:t>5</w:t>
      </w:r>
      <w:r w:rsidR="005D4D8D">
        <w:t xml:space="preserve">, </w:t>
      </w:r>
      <w:r w:rsidR="005D4D8D" w:rsidRPr="00BF24C1">
        <w:rPr>
          <w:i/>
          <w:iCs/>
        </w:rPr>
        <w:t>SE</w:t>
      </w:r>
      <w:r w:rsidR="005D4D8D">
        <w:t xml:space="preserve"> = .0</w:t>
      </w:r>
      <w:r w:rsidR="005D4D8D">
        <w:t>2</w:t>
      </w:r>
      <w:r w:rsidR="005D4D8D">
        <w:t xml:space="preserve">, </w:t>
      </w:r>
      <w:r w:rsidR="005D4D8D" w:rsidRPr="00BF24C1">
        <w:rPr>
          <w:i/>
          <w:iCs/>
        </w:rPr>
        <w:t>p</w:t>
      </w:r>
      <w:r w:rsidR="005D4D8D">
        <w:t xml:space="preserve"> </w:t>
      </w:r>
      <w:r w:rsidR="005D4D8D">
        <w:t>=</w:t>
      </w:r>
      <w:r w:rsidR="005D4D8D">
        <w:t xml:space="preserve"> .00</w:t>
      </w:r>
      <w:r w:rsidR="005D4D8D">
        <w:t>2</w:t>
      </w:r>
      <w:r w:rsidR="005D4D8D">
        <w:t>)</w:t>
      </w:r>
    </w:p>
    <w:p w14:paraId="12B69E60" w14:textId="68C19F7D" w:rsidR="00CD78D6" w:rsidRPr="005C70BB" w:rsidRDefault="00CD78D6" w:rsidP="00CD78D6">
      <w:pPr>
        <w:spacing w:line="360" w:lineRule="auto"/>
        <w:ind w:firstLine="720"/>
        <w:rPr>
          <w:highlight w:val="white"/>
        </w:rPr>
      </w:pPr>
      <w:r>
        <w:rPr>
          <w:highlight w:val="white"/>
        </w:rPr>
        <w:t>These findings indicate that the vividness of mental images evoked during retrospective thinking varied across thought type. This, along with our prediction that the vividness of mental simulation might impact any percept-related event judgments from retrospective thinking</w:t>
      </w:r>
      <w:r>
        <w:t xml:space="preserve">, </w:t>
      </w:r>
      <w:r>
        <w:rPr>
          <w:highlight w:val="white"/>
        </w:rPr>
        <w:t xml:space="preserve">we included vividness ratings as a variable in analyses investigating event ratings (described next). </w:t>
      </w:r>
    </w:p>
    <w:p w14:paraId="7F2CCA60" w14:textId="77777777" w:rsidR="00DB4E2B" w:rsidRPr="007D3B49" w:rsidRDefault="00DB4E2B" w:rsidP="00CD78D6">
      <w:pPr>
        <w:rPr>
          <w:highlight w:val="white"/>
        </w:rPr>
      </w:pPr>
    </w:p>
    <w:p w14:paraId="027A70D7" w14:textId="51C492FD" w:rsidR="007D3B49" w:rsidRDefault="007D3B49" w:rsidP="00064032">
      <w:pPr>
        <w:ind w:firstLine="720"/>
      </w:pPr>
      <w:r>
        <w:rPr>
          <w:noProof/>
        </w:rPr>
        <w:drawing>
          <wp:inline distT="0" distB="0" distL="0" distR="0" wp14:anchorId="7D47D96F" wp14:editId="716CB6A4">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77777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7552F1C7" w:rsidR="005A32F1" w:rsidRPr="00764DA6" w:rsidRDefault="0053790A" w:rsidP="00764DA6">
      <w:pPr>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 xml:space="preserve">predicting </w:t>
      </w:r>
      <w:r w:rsidR="00764DA6">
        <w:rPr>
          <w:i/>
          <w:iCs/>
          <w:highlight w:val="white"/>
        </w:rPr>
        <w:t xml:space="preserve">the </w:t>
      </w:r>
      <w:r w:rsidR="001406E5" w:rsidRPr="00D45ACD">
        <w:rPr>
          <w:i/>
          <w:iCs/>
          <w:highlight w:val="white"/>
        </w:rPr>
        <w:t xml:space="preserve">vividness of </w:t>
      </w:r>
      <w:r w:rsidR="00D34761">
        <w:rPr>
          <w:i/>
          <w:iCs/>
          <w:highlight w:val="white"/>
        </w:rPr>
        <w:t>mental simulations</w:t>
      </w:r>
    </w:p>
    <w:tbl>
      <w:tblPr>
        <w:tblW w:w="0" w:type="auto"/>
        <w:tblCellMar>
          <w:top w:w="15" w:type="dxa"/>
          <w:left w:w="15" w:type="dxa"/>
          <w:bottom w:w="15" w:type="dxa"/>
          <w:right w:w="15" w:type="dxa"/>
        </w:tblCellMar>
        <w:tblLook w:val="04A0" w:firstRow="1" w:lastRow="0" w:firstColumn="1" w:lastColumn="0" w:noHBand="0" w:noVBand="1"/>
      </w:tblPr>
      <w:tblGrid>
        <w:gridCol w:w="6480"/>
        <w:gridCol w:w="2160"/>
        <w:gridCol w:w="2160"/>
        <w:gridCol w:w="2160"/>
      </w:tblGrid>
      <w:tr w:rsidR="00764DA6" w14:paraId="788DC858" w14:textId="77777777" w:rsidTr="007652D2">
        <w:trPr>
          <w:divId w:val="384455139"/>
          <w:trHeight w:val="396"/>
        </w:trPr>
        <w:tc>
          <w:tcPr>
            <w:tcW w:w="6480" w:type="dxa"/>
            <w:tcBorders>
              <w:top w:val="double" w:sz="4" w:space="0" w:color="auto"/>
              <w:bottom w:val="single" w:sz="6" w:space="0" w:color="auto"/>
            </w:tcBorders>
            <w:vAlign w:val="center"/>
            <w:hideMark/>
          </w:tcPr>
          <w:p w14:paraId="4AD0E999" w14:textId="77777777" w:rsidR="00764DA6" w:rsidRPr="005D06CD" w:rsidRDefault="00764DA6" w:rsidP="00764DA6">
            <w:pPr>
              <w:jc w:val="center"/>
              <w:rPr>
                <w:b/>
                <w:bCs/>
                <w:sz w:val="20"/>
                <w:szCs w:val="20"/>
              </w:rPr>
            </w:pPr>
            <w:r w:rsidRPr="005D06CD">
              <w:rPr>
                <w:b/>
                <w:bCs/>
                <w:sz w:val="20"/>
                <w:szCs w:val="20"/>
              </w:rPr>
              <w:t>Predictors</w:t>
            </w:r>
          </w:p>
        </w:tc>
        <w:tc>
          <w:tcPr>
            <w:tcW w:w="2160" w:type="dxa"/>
            <w:tcBorders>
              <w:top w:val="double" w:sz="4" w:space="0" w:color="auto"/>
              <w:bottom w:val="single" w:sz="6" w:space="0" w:color="auto"/>
            </w:tcBorders>
            <w:vAlign w:val="center"/>
            <w:hideMark/>
          </w:tcPr>
          <w:p w14:paraId="4B9E7DA7" w14:textId="679C189A" w:rsidR="00764DA6" w:rsidRPr="00BF0CA9" w:rsidRDefault="00BF0CA9" w:rsidP="00764DA6">
            <w:pPr>
              <w:jc w:val="center"/>
              <w:rPr>
                <w:b/>
                <w:bCs/>
                <w:i/>
                <w:iCs/>
                <w:sz w:val="20"/>
                <w:szCs w:val="20"/>
              </w:rPr>
            </w:pPr>
            <w:r>
              <w:rPr>
                <w:b/>
                <w:bCs/>
                <w:i/>
                <w:iCs/>
                <w:sz w:val="20"/>
                <w:szCs w:val="20"/>
              </w:rPr>
              <w:t>B</w:t>
            </w:r>
          </w:p>
        </w:tc>
        <w:tc>
          <w:tcPr>
            <w:tcW w:w="2160" w:type="dxa"/>
            <w:tcBorders>
              <w:top w:val="double" w:sz="4" w:space="0" w:color="auto"/>
              <w:bottom w:val="single" w:sz="6" w:space="0" w:color="auto"/>
            </w:tcBorders>
            <w:vAlign w:val="center"/>
            <w:hideMark/>
          </w:tcPr>
          <w:p w14:paraId="1A475F2A" w14:textId="55D458EA" w:rsidR="00764DA6" w:rsidRPr="0031572D" w:rsidRDefault="00BF0CA9" w:rsidP="00764DA6">
            <w:pPr>
              <w:jc w:val="center"/>
              <w:rPr>
                <w:b/>
                <w:bCs/>
                <w:i/>
                <w:iCs/>
                <w:sz w:val="20"/>
                <w:szCs w:val="20"/>
              </w:rPr>
            </w:pPr>
            <w:r>
              <w:rPr>
                <w:b/>
                <w:bCs/>
                <w:i/>
                <w:iCs/>
                <w:sz w:val="20"/>
                <w:szCs w:val="20"/>
              </w:rPr>
              <w:t xml:space="preserve">95% </w:t>
            </w:r>
            <w:r w:rsidR="00764DA6" w:rsidRPr="0031572D">
              <w:rPr>
                <w:b/>
                <w:bCs/>
                <w:i/>
                <w:iCs/>
                <w:sz w:val="20"/>
                <w:szCs w:val="20"/>
              </w:rPr>
              <w:t>CI</w:t>
            </w:r>
          </w:p>
        </w:tc>
        <w:tc>
          <w:tcPr>
            <w:tcW w:w="2160" w:type="dxa"/>
            <w:tcBorders>
              <w:top w:val="double" w:sz="4" w:space="0" w:color="auto"/>
              <w:bottom w:val="single" w:sz="6" w:space="0" w:color="auto"/>
            </w:tcBorders>
            <w:vAlign w:val="center"/>
            <w:hideMark/>
          </w:tcPr>
          <w:p w14:paraId="3F1A8C86" w14:textId="77777777" w:rsidR="00764DA6" w:rsidRPr="0031572D" w:rsidRDefault="00764DA6" w:rsidP="00764DA6">
            <w:pPr>
              <w:jc w:val="center"/>
              <w:rPr>
                <w:b/>
                <w:bCs/>
                <w:i/>
                <w:iCs/>
                <w:sz w:val="20"/>
                <w:szCs w:val="20"/>
              </w:rPr>
            </w:pPr>
            <w:r w:rsidRPr="0031572D">
              <w:rPr>
                <w:b/>
                <w:bCs/>
                <w:i/>
                <w:iCs/>
                <w:sz w:val="20"/>
                <w:szCs w:val="20"/>
              </w:rPr>
              <w:t>p</w:t>
            </w:r>
          </w:p>
        </w:tc>
      </w:tr>
      <w:tr w:rsidR="00764DA6" w14:paraId="42BD43F1" w14:textId="77777777" w:rsidTr="007652D2">
        <w:trPr>
          <w:divId w:val="384455139"/>
          <w:trHeight w:val="24"/>
        </w:trPr>
        <w:tc>
          <w:tcPr>
            <w:tcW w:w="6480" w:type="dxa"/>
            <w:tcMar>
              <w:top w:w="113" w:type="dxa"/>
              <w:left w:w="113" w:type="dxa"/>
              <w:bottom w:w="113" w:type="dxa"/>
              <w:right w:w="113" w:type="dxa"/>
            </w:tcMar>
            <w:hideMark/>
          </w:tcPr>
          <w:p w14:paraId="724BC5BC" w14:textId="77777777" w:rsidR="00764DA6" w:rsidRPr="00764DA6" w:rsidRDefault="00764DA6">
            <w:pPr>
              <w:rPr>
                <w:sz w:val="20"/>
                <w:szCs w:val="20"/>
              </w:rPr>
            </w:pPr>
            <w:r w:rsidRPr="00764DA6">
              <w:rPr>
                <w:sz w:val="20"/>
                <w:szCs w:val="20"/>
              </w:rPr>
              <w:t>(Intercept)</w:t>
            </w:r>
          </w:p>
        </w:tc>
        <w:tc>
          <w:tcPr>
            <w:tcW w:w="2160" w:type="dxa"/>
            <w:tcMar>
              <w:top w:w="113" w:type="dxa"/>
              <w:left w:w="113" w:type="dxa"/>
              <w:bottom w:w="113" w:type="dxa"/>
              <w:right w:w="113" w:type="dxa"/>
            </w:tcMar>
            <w:hideMark/>
          </w:tcPr>
          <w:p w14:paraId="5FEDC18B" w14:textId="1403C039" w:rsidR="00764DA6" w:rsidRPr="005D06CD" w:rsidRDefault="00764DA6">
            <w:pPr>
              <w:jc w:val="center"/>
              <w:rPr>
                <w:b/>
                <w:bCs/>
                <w:sz w:val="20"/>
                <w:szCs w:val="20"/>
              </w:rPr>
            </w:pPr>
            <w:r w:rsidRPr="005D06CD">
              <w:rPr>
                <w:b/>
                <w:bCs/>
                <w:sz w:val="20"/>
                <w:szCs w:val="20"/>
              </w:rPr>
              <w:t>.837</w:t>
            </w:r>
          </w:p>
        </w:tc>
        <w:tc>
          <w:tcPr>
            <w:tcW w:w="2160" w:type="dxa"/>
            <w:tcMar>
              <w:top w:w="113" w:type="dxa"/>
              <w:left w:w="113" w:type="dxa"/>
              <w:bottom w:w="113" w:type="dxa"/>
              <w:right w:w="113" w:type="dxa"/>
            </w:tcMar>
            <w:hideMark/>
          </w:tcPr>
          <w:p w14:paraId="3F26E243" w14:textId="28D536D0" w:rsidR="00764DA6" w:rsidRPr="005D06CD" w:rsidRDefault="00764DA6">
            <w:pPr>
              <w:jc w:val="center"/>
              <w:rPr>
                <w:b/>
                <w:bCs/>
                <w:sz w:val="20"/>
                <w:szCs w:val="20"/>
              </w:rPr>
            </w:pPr>
            <w:r w:rsidRPr="005D06CD">
              <w:rPr>
                <w:b/>
                <w:bCs/>
                <w:sz w:val="20"/>
                <w:szCs w:val="20"/>
              </w:rPr>
              <w:t>.798 –.876</w:t>
            </w:r>
          </w:p>
        </w:tc>
        <w:tc>
          <w:tcPr>
            <w:tcW w:w="2160" w:type="dxa"/>
            <w:tcMar>
              <w:top w:w="113" w:type="dxa"/>
              <w:left w:w="113" w:type="dxa"/>
              <w:bottom w:w="113" w:type="dxa"/>
              <w:right w:w="113" w:type="dxa"/>
            </w:tcMar>
            <w:hideMark/>
          </w:tcPr>
          <w:p w14:paraId="51C30C57" w14:textId="51724AFE" w:rsidR="00764DA6" w:rsidRPr="005D06CD" w:rsidRDefault="00764DA6">
            <w:pPr>
              <w:jc w:val="center"/>
              <w:rPr>
                <w:b/>
                <w:bCs/>
                <w:sz w:val="20"/>
                <w:szCs w:val="20"/>
              </w:rPr>
            </w:pPr>
            <w:r w:rsidRPr="005D06CD">
              <w:rPr>
                <w:rStyle w:val="Strong"/>
                <w:sz w:val="20"/>
                <w:szCs w:val="20"/>
              </w:rPr>
              <w:t>&lt;</w:t>
            </w:r>
            <w:r w:rsidR="005D06CD" w:rsidRPr="005D06CD">
              <w:rPr>
                <w:rStyle w:val="Strong"/>
                <w:sz w:val="20"/>
                <w:szCs w:val="20"/>
              </w:rPr>
              <w:t xml:space="preserve"> </w:t>
            </w:r>
            <w:r w:rsidRPr="005D06CD">
              <w:rPr>
                <w:rStyle w:val="Strong"/>
                <w:sz w:val="20"/>
                <w:szCs w:val="20"/>
              </w:rPr>
              <w:t>.001</w:t>
            </w:r>
          </w:p>
        </w:tc>
      </w:tr>
      <w:tr w:rsidR="00764DA6" w14:paraId="18E181D3" w14:textId="77777777" w:rsidTr="007652D2">
        <w:trPr>
          <w:divId w:val="384455139"/>
        </w:trPr>
        <w:tc>
          <w:tcPr>
            <w:tcW w:w="6480" w:type="dxa"/>
            <w:tcMar>
              <w:top w:w="113" w:type="dxa"/>
              <w:left w:w="113" w:type="dxa"/>
              <w:bottom w:w="113" w:type="dxa"/>
              <w:right w:w="113" w:type="dxa"/>
            </w:tcMar>
            <w:hideMark/>
          </w:tcPr>
          <w:p w14:paraId="71E44253" w14:textId="011F7A8F"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w:t>
            </w:r>
          </w:p>
        </w:tc>
        <w:tc>
          <w:tcPr>
            <w:tcW w:w="2160" w:type="dxa"/>
            <w:tcMar>
              <w:top w:w="113" w:type="dxa"/>
              <w:left w:w="113" w:type="dxa"/>
              <w:bottom w:w="113" w:type="dxa"/>
              <w:right w:w="113" w:type="dxa"/>
            </w:tcMar>
            <w:hideMark/>
          </w:tcPr>
          <w:p w14:paraId="5CD158D2" w14:textId="0145C06B" w:rsidR="00764DA6" w:rsidRPr="00D34761" w:rsidRDefault="00764DA6">
            <w:pPr>
              <w:jc w:val="center"/>
              <w:rPr>
                <w:sz w:val="20"/>
                <w:szCs w:val="20"/>
              </w:rPr>
            </w:pPr>
            <w:r w:rsidRPr="00D34761">
              <w:rPr>
                <w:sz w:val="20"/>
                <w:szCs w:val="20"/>
              </w:rPr>
              <w:t>.0</w:t>
            </w:r>
            <w:r w:rsidR="00170D66" w:rsidRPr="00D34761">
              <w:rPr>
                <w:sz w:val="20"/>
                <w:szCs w:val="20"/>
              </w:rPr>
              <w:t>2</w:t>
            </w:r>
          </w:p>
        </w:tc>
        <w:tc>
          <w:tcPr>
            <w:tcW w:w="2160" w:type="dxa"/>
            <w:tcMar>
              <w:top w:w="113" w:type="dxa"/>
              <w:left w:w="113" w:type="dxa"/>
              <w:bottom w:w="113" w:type="dxa"/>
              <w:right w:w="113" w:type="dxa"/>
            </w:tcMar>
            <w:hideMark/>
          </w:tcPr>
          <w:p w14:paraId="66495511" w14:textId="3A5BB366" w:rsidR="00764DA6" w:rsidRPr="00D34761" w:rsidRDefault="00764DA6">
            <w:pPr>
              <w:jc w:val="center"/>
              <w:rPr>
                <w:sz w:val="20"/>
                <w:szCs w:val="20"/>
              </w:rPr>
            </w:pPr>
            <w:r w:rsidRPr="00D34761">
              <w:rPr>
                <w:sz w:val="20"/>
                <w:szCs w:val="20"/>
              </w:rPr>
              <w:t>-.0</w:t>
            </w:r>
            <w:r w:rsidR="00170D66" w:rsidRPr="00D34761">
              <w:rPr>
                <w:sz w:val="20"/>
                <w:szCs w:val="20"/>
              </w:rPr>
              <w:t>3</w:t>
            </w:r>
            <w:r w:rsidRPr="00D34761">
              <w:rPr>
                <w:sz w:val="20"/>
                <w:szCs w:val="20"/>
              </w:rPr>
              <w:t> – .06</w:t>
            </w:r>
          </w:p>
        </w:tc>
        <w:tc>
          <w:tcPr>
            <w:tcW w:w="2160" w:type="dxa"/>
            <w:tcMar>
              <w:top w:w="113" w:type="dxa"/>
              <w:left w:w="113" w:type="dxa"/>
              <w:bottom w:w="113" w:type="dxa"/>
              <w:right w:w="113" w:type="dxa"/>
            </w:tcMar>
            <w:hideMark/>
          </w:tcPr>
          <w:p w14:paraId="265152C8" w14:textId="27F33DFE" w:rsidR="00764DA6" w:rsidRPr="00D34761" w:rsidRDefault="00764DA6">
            <w:pPr>
              <w:jc w:val="center"/>
              <w:rPr>
                <w:sz w:val="20"/>
                <w:szCs w:val="20"/>
              </w:rPr>
            </w:pPr>
            <w:r w:rsidRPr="00D34761">
              <w:rPr>
                <w:sz w:val="20"/>
                <w:szCs w:val="20"/>
              </w:rPr>
              <w:t>.</w:t>
            </w:r>
            <w:r w:rsidR="00170D66" w:rsidRPr="00D34761">
              <w:rPr>
                <w:sz w:val="20"/>
                <w:szCs w:val="20"/>
              </w:rPr>
              <w:t>338</w:t>
            </w:r>
          </w:p>
        </w:tc>
      </w:tr>
      <w:tr w:rsidR="00764DA6" w14:paraId="04440FF7" w14:textId="77777777" w:rsidTr="007652D2">
        <w:trPr>
          <w:divId w:val="384455139"/>
          <w:trHeight w:val="24"/>
        </w:trPr>
        <w:tc>
          <w:tcPr>
            <w:tcW w:w="6480" w:type="dxa"/>
            <w:tcMar>
              <w:top w:w="113" w:type="dxa"/>
              <w:left w:w="113" w:type="dxa"/>
              <w:bottom w:w="113" w:type="dxa"/>
              <w:right w:w="113" w:type="dxa"/>
            </w:tcMar>
            <w:hideMark/>
          </w:tcPr>
          <w:p w14:paraId="1E3E33DA" w14:textId="47BCA21B" w:rsidR="00764DA6" w:rsidRPr="00764DA6" w:rsidRDefault="007652D2">
            <w:pPr>
              <w:rPr>
                <w:sz w:val="20"/>
                <w:szCs w:val="20"/>
              </w:rPr>
            </w:pPr>
            <w:r>
              <w:rPr>
                <w:sz w:val="20"/>
                <w:szCs w:val="20"/>
              </w:rPr>
              <w:t>Thought</w:t>
            </w:r>
            <w:r w:rsidR="00764DA6" w:rsidRPr="00764DA6">
              <w:rPr>
                <w:sz w:val="20"/>
                <w:szCs w:val="20"/>
              </w:rPr>
              <w:t xml:space="preserve"> [counterfactual</w:t>
            </w:r>
            <w:r>
              <w:rPr>
                <w:sz w:val="20"/>
                <w:szCs w:val="20"/>
              </w:rPr>
              <w:t xml:space="preserve"> thinking</w:t>
            </w:r>
            <w:r w:rsidR="00764DA6" w:rsidRPr="00764DA6">
              <w:rPr>
                <w:sz w:val="20"/>
                <w:szCs w:val="20"/>
              </w:rPr>
              <w:t>]</w:t>
            </w:r>
          </w:p>
        </w:tc>
        <w:tc>
          <w:tcPr>
            <w:tcW w:w="2160" w:type="dxa"/>
            <w:tcMar>
              <w:top w:w="113" w:type="dxa"/>
              <w:left w:w="113" w:type="dxa"/>
              <w:bottom w:w="113" w:type="dxa"/>
              <w:right w:w="113" w:type="dxa"/>
            </w:tcMar>
            <w:hideMark/>
          </w:tcPr>
          <w:p w14:paraId="5357EE83" w14:textId="2702A6E0" w:rsidR="00764DA6" w:rsidRPr="00D34761" w:rsidRDefault="00170D66">
            <w:pPr>
              <w:jc w:val="center"/>
              <w:rPr>
                <w:sz w:val="20"/>
                <w:szCs w:val="20"/>
              </w:rPr>
            </w:pPr>
            <w:r w:rsidRPr="00D34761">
              <w:rPr>
                <w:sz w:val="20"/>
                <w:szCs w:val="20"/>
              </w:rPr>
              <w:t>-</w:t>
            </w:r>
            <w:r w:rsidR="00764DA6" w:rsidRPr="00D34761">
              <w:rPr>
                <w:sz w:val="20"/>
                <w:szCs w:val="20"/>
              </w:rPr>
              <w:t>.03</w:t>
            </w:r>
          </w:p>
        </w:tc>
        <w:tc>
          <w:tcPr>
            <w:tcW w:w="2160" w:type="dxa"/>
            <w:tcMar>
              <w:top w:w="113" w:type="dxa"/>
              <w:left w:w="113" w:type="dxa"/>
              <w:bottom w:w="113" w:type="dxa"/>
              <w:right w:w="113" w:type="dxa"/>
            </w:tcMar>
            <w:hideMark/>
          </w:tcPr>
          <w:p w14:paraId="6F65F9E5" w14:textId="1E6AA70B" w:rsidR="00764DA6" w:rsidRPr="00D34761" w:rsidRDefault="00170D66">
            <w:pPr>
              <w:jc w:val="center"/>
              <w:rPr>
                <w:sz w:val="20"/>
                <w:szCs w:val="20"/>
              </w:rPr>
            </w:pPr>
            <w:r w:rsidRPr="00D34761">
              <w:rPr>
                <w:sz w:val="20"/>
                <w:szCs w:val="20"/>
              </w:rPr>
              <w:t>-</w:t>
            </w:r>
            <w:r w:rsidR="00764DA6" w:rsidRPr="00D34761">
              <w:rPr>
                <w:sz w:val="20"/>
                <w:szCs w:val="20"/>
              </w:rPr>
              <w:t>.0</w:t>
            </w:r>
            <w:r w:rsidRPr="00D34761">
              <w:rPr>
                <w:sz w:val="20"/>
                <w:szCs w:val="20"/>
              </w:rPr>
              <w:t>8</w:t>
            </w:r>
            <w:r w:rsidR="00764DA6" w:rsidRPr="00D34761">
              <w:rPr>
                <w:sz w:val="20"/>
                <w:szCs w:val="20"/>
              </w:rPr>
              <w:t> – .</w:t>
            </w:r>
            <w:r w:rsidRPr="00D34761">
              <w:rPr>
                <w:sz w:val="20"/>
                <w:szCs w:val="20"/>
              </w:rPr>
              <w:t>01</w:t>
            </w:r>
          </w:p>
        </w:tc>
        <w:tc>
          <w:tcPr>
            <w:tcW w:w="2160" w:type="dxa"/>
            <w:tcMar>
              <w:top w:w="113" w:type="dxa"/>
              <w:left w:w="113" w:type="dxa"/>
              <w:bottom w:w="113" w:type="dxa"/>
              <w:right w:w="113" w:type="dxa"/>
            </w:tcMar>
            <w:hideMark/>
          </w:tcPr>
          <w:p w14:paraId="3630AC05" w14:textId="0D91B803" w:rsidR="00764DA6" w:rsidRPr="00D34761" w:rsidRDefault="00764DA6">
            <w:pPr>
              <w:jc w:val="center"/>
              <w:rPr>
                <w:sz w:val="20"/>
                <w:szCs w:val="20"/>
              </w:rPr>
            </w:pPr>
            <w:r w:rsidRPr="00D34761">
              <w:rPr>
                <w:rStyle w:val="Strong"/>
                <w:b w:val="0"/>
                <w:bCs w:val="0"/>
                <w:sz w:val="20"/>
                <w:szCs w:val="20"/>
              </w:rPr>
              <w:t>.0</w:t>
            </w:r>
            <w:r w:rsidR="00170D66" w:rsidRPr="00D34761">
              <w:rPr>
                <w:rStyle w:val="Strong"/>
                <w:b w:val="0"/>
                <w:bCs w:val="0"/>
                <w:sz w:val="20"/>
                <w:szCs w:val="20"/>
              </w:rPr>
              <w:t>97</w:t>
            </w:r>
          </w:p>
        </w:tc>
      </w:tr>
      <w:tr w:rsidR="00764DA6" w14:paraId="321F84A6" w14:textId="77777777" w:rsidTr="007652D2">
        <w:trPr>
          <w:divId w:val="384455139"/>
          <w:trHeight w:val="24"/>
        </w:trPr>
        <w:tc>
          <w:tcPr>
            <w:tcW w:w="6480" w:type="dxa"/>
            <w:tcMar>
              <w:top w:w="113" w:type="dxa"/>
              <w:left w:w="113" w:type="dxa"/>
              <w:bottom w:w="113" w:type="dxa"/>
              <w:right w:w="113" w:type="dxa"/>
            </w:tcMar>
            <w:hideMark/>
          </w:tcPr>
          <w:p w14:paraId="42252988" w14:textId="1E2CED92" w:rsidR="00764DA6" w:rsidRPr="00764DA6" w:rsidRDefault="007652D2">
            <w:pPr>
              <w:rPr>
                <w:sz w:val="20"/>
                <w:szCs w:val="20"/>
              </w:rPr>
            </w:pPr>
            <w:r>
              <w:rPr>
                <w:sz w:val="20"/>
                <w:szCs w:val="20"/>
              </w:rPr>
              <w:t>Thought</w:t>
            </w:r>
            <w:r w:rsidR="00764DA6" w:rsidRPr="00764DA6">
              <w:rPr>
                <w:sz w:val="20"/>
                <w:szCs w:val="20"/>
              </w:rPr>
              <w:t xml:space="preserve"> [causal</w:t>
            </w:r>
            <w:r>
              <w:rPr>
                <w:sz w:val="20"/>
                <w:szCs w:val="20"/>
              </w:rPr>
              <w:t xml:space="preserve"> reasoning</w:t>
            </w:r>
            <w:r w:rsidR="00764DA6" w:rsidRPr="00764DA6">
              <w:rPr>
                <w:sz w:val="20"/>
                <w:szCs w:val="20"/>
              </w:rPr>
              <w:t>]</w:t>
            </w:r>
          </w:p>
        </w:tc>
        <w:tc>
          <w:tcPr>
            <w:tcW w:w="2160" w:type="dxa"/>
            <w:tcMar>
              <w:top w:w="113" w:type="dxa"/>
              <w:left w:w="113" w:type="dxa"/>
              <w:bottom w:w="113" w:type="dxa"/>
              <w:right w:w="113" w:type="dxa"/>
            </w:tcMar>
            <w:hideMark/>
          </w:tcPr>
          <w:p w14:paraId="26B72617" w14:textId="67DF7753" w:rsidR="00764DA6" w:rsidRPr="00D34761" w:rsidRDefault="00764DA6">
            <w:pPr>
              <w:jc w:val="center"/>
              <w:rPr>
                <w:b/>
                <w:bCs/>
                <w:sz w:val="20"/>
                <w:szCs w:val="20"/>
              </w:rPr>
            </w:pPr>
            <w:r w:rsidRPr="00D34761">
              <w:rPr>
                <w:b/>
                <w:bCs/>
                <w:sz w:val="20"/>
                <w:szCs w:val="20"/>
              </w:rPr>
              <w:t>-.0</w:t>
            </w:r>
            <w:r w:rsidR="00170D66" w:rsidRPr="00D34761">
              <w:rPr>
                <w:b/>
                <w:bCs/>
                <w:sz w:val="20"/>
                <w:szCs w:val="20"/>
              </w:rPr>
              <w:t>9</w:t>
            </w:r>
          </w:p>
        </w:tc>
        <w:tc>
          <w:tcPr>
            <w:tcW w:w="2160" w:type="dxa"/>
            <w:tcMar>
              <w:top w:w="113" w:type="dxa"/>
              <w:left w:w="113" w:type="dxa"/>
              <w:bottom w:w="113" w:type="dxa"/>
              <w:right w:w="113" w:type="dxa"/>
            </w:tcMar>
            <w:hideMark/>
          </w:tcPr>
          <w:p w14:paraId="5B3D1878" w14:textId="3433F09F" w:rsidR="00764DA6" w:rsidRPr="00D34761" w:rsidRDefault="00764DA6">
            <w:pPr>
              <w:jc w:val="center"/>
              <w:rPr>
                <w:b/>
                <w:bCs/>
                <w:sz w:val="20"/>
                <w:szCs w:val="20"/>
              </w:rPr>
            </w:pPr>
            <w:r w:rsidRPr="00D34761">
              <w:rPr>
                <w:b/>
                <w:bCs/>
                <w:sz w:val="20"/>
                <w:szCs w:val="20"/>
              </w:rPr>
              <w:t>-.1</w:t>
            </w:r>
            <w:r w:rsidR="00170D66" w:rsidRPr="00D34761">
              <w:rPr>
                <w:b/>
                <w:bCs/>
                <w:sz w:val="20"/>
                <w:szCs w:val="20"/>
              </w:rPr>
              <w:t>3</w:t>
            </w:r>
            <w:r w:rsidRPr="00D34761">
              <w:rPr>
                <w:b/>
                <w:bCs/>
                <w:sz w:val="20"/>
                <w:szCs w:val="20"/>
              </w:rPr>
              <w:t> – </w:t>
            </w:r>
            <w:r w:rsidR="00170D66" w:rsidRPr="00D34761">
              <w:rPr>
                <w:b/>
                <w:bCs/>
                <w:sz w:val="20"/>
                <w:szCs w:val="20"/>
              </w:rPr>
              <w:t>-</w:t>
            </w:r>
            <w:r w:rsidRPr="00D34761">
              <w:rPr>
                <w:b/>
                <w:bCs/>
                <w:sz w:val="20"/>
                <w:szCs w:val="20"/>
              </w:rPr>
              <w:t>.05</w:t>
            </w:r>
          </w:p>
        </w:tc>
        <w:tc>
          <w:tcPr>
            <w:tcW w:w="2160" w:type="dxa"/>
            <w:tcMar>
              <w:top w:w="113" w:type="dxa"/>
              <w:left w:w="113" w:type="dxa"/>
              <w:bottom w:w="113" w:type="dxa"/>
              <w:right w:w="113" w:type="dxa"/>
            </w:tcMar>
            <w:hideMark/>
          </w:tcPr>
          <w:p w14:paraId="51E0A4CF" w14:textId="41EA8F55" w:rsidR="00764DA6" w:rsidRPr="00BF0CA9" w:rsidRDefault="00170D66">
            <w:pPr>
              <w:jc w:val="center"/>
              <w:rPr>
                <w:b/>
                <w:bCs/>
                <w:sz w:val="20"/>
                <w:szCs w:val="20"/>
              </w:rPr>
            </w:pPr>
            <w:r w:rsidRPr="00BF0CA9">
              <w:rPr>
                <w:rStyle w:val="Strong"/>
                <w:sz w:val="20"/>
                <w:szCs w:val="20"/>
              </w:rPr>
              <w:t>&lt; .001</w:t>
            </w:r>
          </w:p>
        </w:tc>
      </w:tr>
      <w:tr w:rsidR="00764DA6" w14:paraId="0DA03848" w14:textId="77777777" w:rsidTr="007652D2">
        <w:trPr>
          <w:divId w:val="384455139"/>
          <w:trHeight w:val="24"/>
        </w:trPr>
        <w:tc>
          <w:tcPr>
            <w:tcW w:w="6480" w:type="dxa"/>
            <w:tcMar>
              <w:top w:w="113" w:type="dxa"/>
              <w:left w:w="113" w:type="dxa"/>
              <w:bottom w:w="113" w:type="dxa"/>
              <w:right w:w="113" w:type="dxa"/>
            </w:tcMar>
            <w:hideMark/>
          </w:tcPr>
          <w:p w14:paraId="7E3099E9" w14:textId="4D80C97E" w:rsidR="00764DA6" w:rsidRPr="00764DA6" w:rsidRDefault="007652D2">
            <w:pPr>
              <w:rPr>
                <w:sz w:val="20"/>
                <w:szCs w:val="20"/>
              </w:rPr>
            </w:pPr>
            <w:r>
              <w:rPr>
                <w:sz w:val="20"/>
                <w:szCs w:val="20"/>
              </w:rPr>
              <w:t>Perspective</w:t>
            </w:r>
            <w:r w:rsidR="00764DA6" w:rsidRPr="00764DA6">
              <w:rPr>
                <w:sz w:val="20"/>
                <w:szCs w:val="20"/>
              </w:rPr>
              <w:t xml:space="preserve"> [</w:t>
            </w:r>
            <w:r>
              <w:rPr>
                <w:sz w:val="20"/>
                <w:szCs w:val="20"/>
              </w:rPr>
              <w:t>goalie</w:t>
            </w:r>
            <w:r w:rsidR="00764DA6" w:rsidRPr="00764DA6">
              <w:rPr>
                <w:sz w:val="20"/>
                <w:szCs w:val="20"/>
              </w:rPr>
              <w:t>]</w:t>
            </w:r>
          </w:p>
        </w:tc>
        <w:tc>
          <w:tcPr>
            <w:tcW w:w="2160" w:type="dxa"/>
            <w:tcMar>
              <w:top w:w="113" w:type="dxa"/>
              <w:left w:w="113" w:type="dxa"/>
              <w:bottom w:w="113" w:type="dxa"/>
              <w:right w:w="113" w:type="dxa"/>
            </w:tcMar>
            <w:hideMark/>
          </w:tcPr>
          <w:p w14:paraId="298D7608" w14:textId="3CB1F2EB" w:rsidR="00764DA6" w:rsidRPr="00D34761" w:rsidRDefault="00764DA6">
            <w:pPr>
              <w:jc w:val="center"/>
              <w:rPr>
                <w:sz w:val="20"/>
                <w:szCs w:val="20"/>
              </w:rPr>
            </w:pPr>
            <w:r w:rsidRPr="00D34761">
              <w:rPr>
                <w:sz w:val="20"/>
                <w:szCs w:val="20"/>
              </w:rPr>
              <w:t>-.0</w:t>
            </w:r>
            <w:r w:rsidR="007652D2" w:rsidRPr="00D34761">
              <w:rPr>
                <w:sz w:val="20"/>
                <w:szCs w:val="20"/>
              </w:rPr>
              <w:t>1</w:t>
            </w:r>
          </w:p>
        </w:tc>
        <w:tc>
          <w:tcPr>
            <w:tcW w:w="2160" w:type="dxa"/>
            <w:tcMar>
              <w:top w:w="113" w:type="dxa"/>
              <w:left w:w="113" w:type="dxa"/>
              <w:bottom w:w="113" w:type="dxa"/>
              <w:right w:w="113" w:type="dxa"/>
            </w:tcMar>
            <w:hideMark/>
          </w:tcPr>
          <w:p w14:paraId="32F5EA72" w14:textId="55E4E7FB" w:rsidR="00764DA6" w:rsidRPr="00D34761" w:rsidRDefault="00764DA6">
            <w:pPr>
              <w:jc w:val="center"/>
              <w:rPr>
                <w:sz w:val="20"/>
                <w:szCs w:val="20"/>
              </w:rPr>
            </w:pPr>
            <w:r w:rsidRPr="00D34761">
              <w:rPr>
                <w:sz w:val="20"/>
                <w:szCs w:val="20"/>
              </w:rPr>
              <w:t>-.</w:t>
            </w:r>
            <w:r w:rsidR="007652D2" w:rsidRPr="00D34761">
              <w:rPr>
                <w:sz w:val="20"/>
                <w:szCs w:val="20"/>
              </w:rPr>
              <w:t>07</w:t>
            </w:r>
            <w:r w:rsidRPr="00D34761">
              <w:rPr>
                <w:sz w:val="20"/>
                <w:szCs w:val="20"/>
              </w:rPr>
              <w:t> – .05</w:t>
            </w:r>
          </w:p>
        </w:tc>
        <w:tc>
          <w:tcPr>
            <w:tcW w:w="2160" w:type="dxa"/>
            <w:tcMar>
              <w:top w:w="113" w:type="dxa"/>
              <w:left w:w="113" w:type="dxa"/>
              <w:bottom w:w="113" w:type="dxa"/>
              <w:right w:w="113" w:type="dxa"/>
            </w:tcMar>
            <w:hideMark/>
          </w:tcPr>
          <w:p w14:paraId="1F2FF394" w14:textId="7ADF679E" w:rsidR="00764DA6" w:rsidRPr="00BF0CA9" w:rsidRDefault="00764DA6">
            <w:pPr>
              <w:jc w:val="center"/>
              <w:rPr>
                <w:sz w:val="20"/>
                <w:szCs w:val="20"/>
              </w:rPr>
            </w:pPr>
            <w:r w:rsidRPr="00BF0CA9">
              <w:rPr>
                <w:rStyle w:val="Strong"/>
                <w:b w:val="0"/>
                <w:bCs w:val="0"/>
                <w:sz w:val="20"/>
                <w:szCs w:val="20"/>
              </w:rPr>
              <w:t>.</w:t>
            </w:r>
            <w:r w:rsidR="00170D66" w:rsidRPr="00BF0CA9">
              <w:rPr>
                <w:rStyle w:val="Strong"/>
                <w:b w:val="0"/>
                <w:bCs w:val="0"/>
                <w:sz w:val="20"/>
                <w:szCs w:val="20"/>
              </w:rPr>
              <w:t>741</w:t>
            </w:r>
          </w:p>
        </w:tc>
      </w:tr>
      <w:tr w:rsidR="00764DA6" w14:paraId="35CEAC62" w14:textId="77777777" w:rsidTr="007652D2">
        <w:trPr>
          <w:divId w:val="384455139"/>
        </w:trPr>
        <w:tc>
          <w:tcPr>
            <w:tcW w:w="6480" w:type="dxa"/>
            <w:tcMar>
              <w:top w:w="113" w:type="dxa"/>
              <w:left w:w="113" w:type="dxa"/>
              <w:bottom w:w="113" w:type="dxa"/>
              <w:right w:w="113" w:type="dxa"/>
            </w:tcMar>
            <w:hideMark/>
          </w:tcPr>
          <w:p w14:paraId="569BC885" w14:textId="34F61044"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xml:space="preserve">] * </w:t>
            </w:r>
            <w:r>
              <w:rPr>
                <w:sz w:val="20"/>
                <w:szCs w:val="20"/>
              </w:rPr>
              <w:t xml:space="preserve">Thought </w:t>
            </w:r>
            <w:r w:rsidR="00764DA6" w:rsidRPr="00764DA6">
              <w:rPr>
                <w:sz w:val="20"/>
                <w:szCs w:val="20"/>
              </w:rPr>
              <w:t>[counterfactual</w:t>
            </w:r>
            <w:r>
              <w:rPr>
                <w:sz w:val="20"/>
                <w:szCs w:val="20"/>
              </w:rPr>
              <w:t xml:space="preserve"> thinking</w:t>
            </w:r>
            <w:r w:rsidR="00764DA6" w:rsidRPr="00764DA6">
              <w:rPr>
                <w:sz w:val="20"/>
                <w:szCs w:val="20"/>
              </w:rPr>
              <w:t>]</w:t>
            </w:r>
          </w:p>
        </w:tc>
        <w:tc>
          <w:tcPr>
            <w:tcW w:w="2160" w:type="dxa"/>
            <w:tcMar>
              <w:top w:w="113" w:type="dxa"/>
              <w:left w:w="113" w:type="dxa"/>
              <w:bottom w:w="113" w:type="dxa"/>
              <w:right w:w="113" w:type="dxa"/>
            </w:tcMar>
            <w:hideMark/>
          </w:tcPr>
          <w:p w14:paraId="31687028" w14:textId="03DF691F" w:rsidR="00764DA6" w:rsidRPr="00D34761" w:rsidRDefault="009C681A">
            <w:pPr>
              <w:jc w:val="center"/>
              <w:rPr>
                <w:sz w:val="20"/>
                <w:szCs w:val="20"/>
              </w:rPr>
            </w:pPr>
            <w:r w:rsidRPr="00D34761">
              <w:rPr>
                <w:sz w:val="20"/>
                <w:szCs w:val="20"/>
              </w:rPr>
              <w:t>-</w:t>
            </w:r>
            <w:r w:rsidR="00764DA6" w:rsidRPr="00D34761">
              <w:rPr>
                <w:sz w:val="20"/>
                <w:szCs w:val="20"/>
              </w:rPr>
              <w:t>.0</w:t>
            </w:r>
            <w:r w:rsidRPr="00D34761">
              <w:rPr>
                <w:sz w:val="20"/>
                <w:szCs w:val="20"/>
              </w:rPr>
              <w:t>2</w:t>
            </w:r>
          </w:p>
        </w:tc>
        <w:tc>
          <w:tcPr>
            <w:tcW w:w="2160" w:type="dxa"/>
            <w:tcMar>
              <w:top w:w="113" w:type="dxa"/>
              <w:left w:w="113" w:type="dxa"/>
              <w:bottom w:w="113" w:type="dxa"/>
              <w:right w:w="113" w:type="dxa"/>
            </w:tcMar>
            <w:hideMark/>
          </w:tcPr>
          <w:p w14:paraId="0EA38035" w14:textId="6B156980" w:rsidR="00764DA6" w:rsidRPr="00D34761" w:rsidRDefault="00764DA6">
            <w:pPr>
              <w:jc w:val="center"/>
              <w:rPr>
                <w:sz w:val="20"/>
                <w:szCs w:val="20"/>
              </w:rPr>
            </w:pPr>
            <w:r w:rsidRPr="00D34761">
              <w:rPr>
                <w:sz w:val="20"/>
                <w:szCs w:val="20"/>
              </w:rPr>
              <w:t>-.0</w:t>
            </w:r>
            <w:r w:rsidR="009C681A" w:rsidRPr="00D34761">
              <w:rPr>
                <w:sz w:val="20"/>
                <w:szCs w:val="20"/>
              </w:rPr>
              <w:t>7</w:t>
            </w:r>
            <w:r w:rsidRPr="00D34761">
              <w:rPr>
                <w:sz w:val="20"/>
                <w:szCs w:val="20"/>
              </w:rPr>
              <w:t> – .0</w:t>
            </w:r>
            <w:r w:rsidR="009C681A" w:rsidRPr="00D34761">
              <w:rPr>
                <w:sz w:val="20"/>
                <w:szCs w:val="20"/>
              </w:rPr>
              <w:t>4</w:t>
            </w:r>
          </w:p>
        </w:tc>
        <w:tc>
          <w:tcPr>
            <w:tcW w:w="2160" w:type="dxa"/>
            <w:tcMar>
              <w:top w:w="113" w:type="dxa"/>
              <w:left w:w="113" w:type="dxa"/>
              <w:bottom w:w="113" w:type="dxa"/>
              <w:right w:w="113" w:type="dxa"/>
            </w:tcMar>
            <w:hideMark/>
          </w:tcPr>
          <w:p w14:paraId="317A2448" w14:textId="2C01A08B" w:rsidR="00764DA6" w:rsidRPr="00BF0CA9" w:rsidRDefault="00764DA6">
            <w:pPr>
              <w:jc w:val="center"/>
              <w:rPr>
                <w:sz w:val="20"/>
                <w:szCs w:val="20"/>
              </w:rPr>
            </w:pPr>
            <w:r w:rsidRPr="00BF0CA9">
              <w:rPr>
                <w:sz w:val="20"/>
                <w:szCs w:val="20"/>
              </w:rPr>
              <w:t>.584</w:t>
            </w:r>
          </w:p>
        </w:tc>
      </w:tr>
      <w:tr w:rsidR="00764DA6" w14:paraId="75430D94" w14:textId="77777777" w:rsidTr="007652D2">
        <w:trPr>
          <w:divId w:val="384455139"/>
        </w:trPr>
        <w:tc>
          <w:tcPr>
            <w:tcW w:w="6480" w:type="dxa"/>
            <w:tcMar>
              <w:top w:w="113" w:type="dxa"/>
              <w:left w:w="113" w:type="dxa"/>
              <w:bottom w:w="113" w:type="dxa"/>
              <w:right w:w="113" w:type="dxa"/>
            </w:tcMar>
            <w:hideMark/>
          </w:tcPr>
          <w:p w14:paraId="54B7F75A" w14:textId="5EFC1472"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 imagination [causal</w:t>
            </w:r>
            <w:r>
              <w:rPr>
                <w:sz w:val="20"/>
                <w:szCs w:val="20"/>
              </w:rPr>
              <w:t xml:space="preserve"> reasoning</w:t>
            </w:r>
            <w:r w:rsidR="00764DA6" w:rsidRPr="00764DA6">
              <w:rPr>
                <w:sz w:val="20"/>
                <w:szCs w:val="20"/>
              </w:rPr>
              <w:t>]</w:t>
            </w:r>
          </w:p>
        </w:tc>
        <w:tc>
          <w:tcPr>
            <w:tcW w:w="2160" w:type="dxa"/>
            <w:tcMar>
              <w:top w:w="113" w:type="dxa"/>
              <w:left w:w="113" w:type="dxa"/>
              <w:bottom w:w="113" w:type="dxa"/>
              <w:right w:w="113" w:type="dxa"/>
            </w:tcMar>
            <w:hideMark/>
          </w:tcPr>
          <w:p w14:paraId="30992A0A" w14:textId="56B935DF" w:rsidR="00764DA6" w:rsidRPr="00D34761" w:rsidRDefault="00764DA6">
            <w:pPr>
              <w:jc w:val="center"/>
              <w:rPr>
                <w:sz w:val="20"/>
                <w:szCs w:val="20"/>
              </w:rPr>
            </w:pPr>
            <w:r w:rsidRPr="00D34761">
              <w:rPr>
                <w:sz w:val="20"/>
                <w:szCs w:val="20"/>
              </w:rPr>
              <w:t>.0</w:t>
            </w:r>
            <w:r w:rsidR="009C681A" w:rsidRPr="00D34761">
              <w:rPr>
                <w:sz w:val="20"/>
                <w:szCs w:val="20"/>
              </w:rPr>
              <w:t>2</w:t>
            </w:r>
          </w:p>
        </w:tc>
        <w:tc>
          <w:tcPr>
            <w:tcW w:w="2160" w:type="dxa"/>
            <w:tcMar>
              <w:top w:w="113" w:type="dxa"/>
              <w:left w:w="113" w:type="dxa"/>
              <w:bottom w:w="113" w:type="dxa"/>
              <w:right w:w="113" w:type="dxa"/>
            </w:tcMar>
            <w:hideMark/>
          </w:tcPr>
          <w:p w14:paraId="7EEE7C26" w14:textId="6B338122" w:rsidR="00764DA6" w:rsidRPr="00D34761" w:rsidRDefault="00764DA6">
            <w:pPr>
              <w:jc w:val="center"/>
              <w:rPr>
                <w:sz w:val="20"/>
                <w:szCs w:val="20"/>
              </w:rPr>
            </w:pPr>
            <w:r w:rsidRPr="00D34761">
              <w:rPr>
                <w:sz w:val="20"/>
                <w:szCs w:val="20"/>
              </w:rPr>
              <w:t>-.0</w:t>
            </w:r>
            <w:r w:rsidR="009C681A" w:rsidRPr="00D34761">
              <w:rPr>
                <w:sz w:val="20"/>
                <w:szCs w:val="20"/>
              </w:rPr>
              <w:t>4</w:t>
            </w:r>
            <w:r w:rsidRPr="00D34761">
              <w:rPr>
                <w:sz w:val="20"/>
                <w:szCs w:val="20"/>
              </w:rPr>
              <w:t> – .07</w:t>
            </w:r>
          </w:p>
        </w:tc>
        <w:tc>
          <w:tcPr>
            <w:tcW w:w="2160" w:type="dxa"/>
            <w:tcMar>
              <w:top w:w="113" w:type="dxa"/>
              <w:left w:w="113" w:type="dxa"/>
              <w:bottom w:w="113" w:type="dxa"/>
              <w:right w:w="113" w:type="dxa"/>
            </w:tcMar>
            <w:hideMark/>
          </w:tcPr>
          <w:p w14:paraId="1E1DB8B1" w14:textId="108B3B2F" w:rsidR="00764DA6" w:rsidRPr="00BF0CA9" w:rsidRDefault="00764DA6">
            <w:pPr>
              <w:jc w:val="center"/>
              <w:rPr>
                <w:sz w:val="20"/>
                <w:szCs w:val="20"/>
              </w:rPr>
            </w:pPr>
            <w:r w:rsidRPr="00BF0CA9">
              <w:rPr>
                <w:sz w:val="20"/>
                <w:szCs w:val="20"/>
              </w:rPr>
              <w:t>.</w:t>
            </w:r>
            <w:r w:rsidR="009C681A" w:rsidRPr="00BF0CA9">
              <w:rPr>
                <w:sz w:val="20"/>
                <w:szCs w:val="20"/>
              </w:rPr>
              <w:t>584</w:t>
            </w:r>
          </w:p>
        </w:tc>
      </w:tr>
      <w:tr w:rsidR="00764DA6" w14:paraId="7A034B9E" w14:textId="77777777" w:rsidTr="007652D2">
        <w:trPr>
          <w:divId w:val="384455139"/>
          <w:trHeight w:val="24"/>
        </w:trPr>
        <w:tc>
          <w:tcPr>
            <w:tcW w:w="6480" w:type="dxa"/>
            <w:tcMar>
              <w:top w:w="113" w:type="dxa"/>
              <w:left w:w="113" w:type="dxa"/>
              <w:bottom w:w="113" w:type="dxa"/>
              <w:right w:w="113" w:type="dxa"/>
            </w:tcMar>
            <w:hideMark/>
          </w:tcPr>
          <w:p w14:paraId="286CD835" w14:textId="1376FBF6"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xml:space="preserve">] * </w:t>
            </w:r>
            <w:r>
              <w:rPr>
                <w:sz w:val="20"/>
                <w:szCs w:val="20"/>
              </w:rPr>
              <w:t>Perspective</w:t>
            </w:r>
            <w:r w:rsidR="00764DA6" w:rsidRPr="00764DA6">
              <w:rPr>
                <w:sz w:val="20"/>
                <w:szCs w:val="20"/>
              </w:rPr>
              <w:t xml:space="preserve"> [goalie]</w:t>
            </w:r>
          </w:p>
        </w:tc>
        <w:tc>
          <w:tcPr>
            <w:tcW w:w="2160" w:type="dxa"/>
            <w:tcMar>
              <w:top w:w="113" w:type="dxa"/>
              <w:left w:w="113" w:type="dxa"/>
              <w:bottom w:w="113" w:type="dxa"/>
              <w:right w:w="113" w:type="dxa"/>
            </w:tcMar>
            <w:hideMark/>
          </w:tcPr>
          <w:p w14:paraId="72AF4364" w14:textId="190287FF" w:rsidR="00764DA6" w:rsidRPr="00D34761" w:rsidRDefault="00764DA6">
            <w:pPr>
              <w:jc w:val="center"/>
              <w:rPr>
                <w:sz w:val="20"/>
                <w:szCs w:val="20"/>
              </w:rPr>
            </w:pPr>
            <w:r w:rsidRPr="00D34761">
              <w:rPr>
                <w:sz w:val="20"/>
                <w:szCs w:val="20"/>
              </w:rPr>
              <w:t>-.0</w:t>
            </w:r>
            <w:r w:rsidR="009C681A" w:rsidRPr="00D34761">
              <w:rPr>
                <w:sz w:val="20"/>
                <w:szCs w:val="20"/>
              </w:rPr>
              <w:t>1</w:t>
            </w:r>
          </w:p>
        </w:tc>
        <w:tc>
          <w:tcPr>
            <w:tcW w:w="2160" w:type="dxa"/>
            <w:tcMar>
              <w:top w:w="113" w:type="dxa"/>
              <w:left w:w="113" w:type="dxa"/>
              <w:bottom w:w="113" w:type="dxa"/>
              <w:right w:w="113" w:type="dxa"/>
            </w:tcMar>
            <w:hideMark/>
          </w:tcPr>
          <w:p w14:paraId="48B940E0" w14:textId="48B653EB" w:rsidR="00764DA6" w:rsidRPr="00D34761" w:rsidRDefault="00764DA6">
            <w:pPr>
              <w:jc w:val="center"/>
              <w:rPr>
                <w:sz w:val="20"/>
                <w:szCs w:val="20"/>
              </w:rPr>
            </w:pPr>
            <w:r w:rsidRPr="00D34761">
              <w:rPr>
                <w:sz w:val="20"/>
                <w:szCs w:val="20"/>
              </w:rPr>
              <w:t>-.0</w:t>
            </w:r>
            <w:r w:rsidR="009C681A" w:rsidRPr="00D34761">
              <w:rPr>
                <w:sz w:val="20"/>
                <w:szCs w:val="20"/>
              </w:rPr>
              <w:t>7</w:t>
            </w:r>
            <w:r w:rsidRPr="00D34761">
              <w:rPr>
                <w:sz w:val="20"/>
                <w:szCs w:val="20"/>
              </w:rPr>
              <w:t> – .05</w:t>
            </w:r>
          </w:p>
        </w:tc>
        <w:tc>
          <w:tcPr>
            <w:tcW w:w="2160" w:type="dxa"/>
            <w:tcMar>
              <w:top w:w="113" w:type="dxa"/>
              <w:left w:w="113" w:type="dxa"/>
              <w:bottom w:w="113" w:type="dxa"/>
              <w:right w:w="113" w:type="dxa"/>
            </w:tcMar>
            <w:hideMark/>
          </w:tcPr>
          <w:p w14:paraId="05FA9A6F" w14:textId="3FC08E1E" w:rsidR="00764DA6" w:rsidRPr="00BF0CA9" w:rsidRDefault="00764DA6">
            <w:pPr>
              <w:jc w:val="center"/>
              <w:rPr>
                <w:sz w:val="20"/>
                <w:szCs w:val="20"/>
              </w:rPr>
            </w:pPr>
            <w:r w:rsidRPr="00BF0CA9">
              <w:rPr>
                <w:sz w:val="20"/>
                <w:szCs w:val="20"/>
              </w:rPr>
              <w:t>.831</w:t>
            </w:r>
          </w:p>
        </w:tc>
      </w:tr>
      <w:tr w:rsidR="00764DA6" w14:paraId="7368081C" w14:textId="77777777" w:rsidTr="007652D2">
        <w:trPr>
          <w:divId w:val="384455139"/>
          <w:trHeight w:val="24"/>
        </w:trPr>
        <w:tc>
          <w:tcPr>
            <w:tcW w:w="6480" w:type="dxa"/>
            <w:tcMar>
              <w:top w:w="113" w:type="dxa"/>
              <w:left w:w="113" w:type="dxa"/>
              <w:bottom w:w="113" w:type="dxa"/>
              <w:right w:w="113" w:type="dxa"/>
            </w:tcMar>
            <w:hideMark/>
          </w:tcPr>
          <w:p w14:paraId="6B78EE8C" w14:textId="1334DA9C" w:rsidR="00764DA6" w:rsidRPr="00764DA6" w:rsidRDefault="007652D2">
            <w:pPr>
              <w:rPr>
                <w:sz w:val="20"/>
                <w:szCs w:val="20"/>
              </w:rPr>
            </w:pPr>
            <w:r>
              <w:rPr>
                <w:sz w:val="20"/>
                <w:szCs w:val="20"/>
              </w:rPr>
              <w:t>Thought</w:t>
            </w:r>
            <w:r w:rsidR="00764DA6" w:rsidRPr="00764DA6">
              <w:rPr>
                <w:sz w:val="20"/>
                <w:szCs w:val="20"/>
              </w:rPr>
              <w:t xml:space="preserve"> [counterfactual</w:t>
            </w:r>
            <w:r>
              <w:rPr>
                <w:sz w:val="20"/>
                <w:szCs w:val="20"/>
              </w:rPr>
              <w:t xml:space="preserve"> thinking</w:t>
            </w:r>
            <w:r w:rsidR="00764DA6" w:rsidRPr="00764DA6">
              <w:rPr>
                <w:sz w:val="20"/>
                <w:szCs w:val="20"/>
              </w:rPr>
              <w:t>] *</w:t>
            </w:r>
            <w:r>
              <w:rPr>
                <w:sz w:val="20"/>
                <w:szCs w:val="20"/>
              </w:rPr>
              <w:t xml:space="preserve"> Perspective</w:t>
            </w:r>
            <w:r w:rsidR="00764DA6" w:rsidRPr="00764DA6">
              <w:rPr>
                <w:sz w:val="20"/>
                <w:szCs w:val="20"/>
              </w:rPr>
              <w:t xml:space="preserve"> [goalie]</w:t>
            </w:r>
          </w:p>
        </w:tc>
        <w:tc>
          <w:tcPr>
            <w:tcW w:w="2160" w:type="dxa"/>
            <w:tcMar>
              <w:top w:w="113" w:type="dxa"/>
              <w:left w:w="113" w:type="dxa"/>
              <w:bottom w:w="113" w:type="dxa"/>
              <w:right w:w="113" w:type="dxa"/>
            </w:tcMar>
            <w:hideMark/>
          </w:tcPr>
          <w:p w14:paraId="19645E55" w14:textId="228AC21D" w:rsidR="00764DA6" w:rsidRPr="00D34761" w:rsidRDefault="00764DA6">
            <w:pPr>
              <w:jc w:val="center"/>
              <w:rPr>
                <w:sz w:val="20"/>
                <w:szCs w:val="20"/>
              </w:rPr>
            </w:pPr>
            <w:r w:rsidRPr="00D34761">
              <w:rPr>
                <w:sz w:val="20"/>
                <w:szCs w:val="20"/>
              </w:rPr>
              <w:t>.0</w:t>
            </w:r>
            <w:r w:rsidR="00170D66" w:rsidRPr="00D34761">
              <w:rPr>
                <w:sz w:val="20"/>
                <w:szCs w:val="20"/>
              </w:rPr>
              <w:t>5</w:t>
            </w:r>
          </w:p>
        </w:tc>
        <w:tc>
          <w:tcPr>
            <w:tcW w:w="2160" w:type="dxa"/>
            <w:tcMar>
              <w:top w:w="113" w:type="dxa"/>
              <w:left w:w="113" w:type="dxa"/>
              <w:bottom w:w="113" w:type="dxa"/>
              <w:right w:w="113" w:type="dxa"/>
            </w:tcMar>
            <w:hideMark/>
          </w:tcPr>
          <w:p w14:paraId="3A83A4E4" w14:textId="34C8DFFB" w:rsidR="00764DA6" w:rsidRPr="00D34761" w:rsidRDefault="00764DA6">
            <w:pPr>
              <w:jc w:val="center"/>
              <w:rPr>
                <w:sz w:val="20"/>
                <w:szCs w:val="20"/>
              </w:rPr>
            </w:pPr>
            <w:r w:rsidRPr="00D34761">
              <w:rPr>
                <w:sz w:val="20"/>
                <w:szCs w:val="20"/>
              </w:rPr>
              <w:t>-.0</w:t>
            </w:r>
            <w:r w:rsidR="00170D66" w:rsidRPr="00D34761">
              <w:rPr>
                <w:sz w:val="20"/>
                <w:szCs w:val="20"/>
              </w:rPr>
              <w:t>1</w:t>
            </w:r>
            <w:r w:rsidRPr="00D34761">
              <w:rPr>
                <w:sz w:val="20"/>
                <w:szCs w:val="20"/>
              </w:rPr>
              <w:t> – .</w:t>
            </w:r>
            <w:r w:rsidR="00170D66" w:rsidRPr="00D34761">
              <w:rPr>
                <w:sz w:val="20"/>
                <w:szCs w:val="20"/>
              </w:rPr>
              <w:t>11</w:t>
            </w:r>
          </w:p>
        </w:tc>
        <w:tc>
          <w:tcPr>
            <w:tcW w:w="2160" w:type="dxa"/>
            <w:tcMar>
              <w:top w:w="113" w:type="dxa"/>
              <w:left w:w="113" w:type="dxa"/>
              <w:bottom w:w="113" w:type="dxa"/>
              <w:right w:w="113" w:type="dxa"/>
            </w:tcMar>
            <w:hideMark/>
          </w:tcPr>
          <w:p w14:paraId="675999A4" w14:textId="7FA48660" w:rsidR="00764DA6" w:rsidRPr="00BF0CA9" w:rsidRDefault="00764DA6">
            <w:pPr>
              <w:jc w:val="center"/>
              <w:rPr>
                <w:sz w:val="20"/>
                <w:szCs w:val="20"/>
              </w:rPr>
            </w:pPr>
            <w:r w:rsidRPr="00BF0CA9">
              <w:rPr>
                <w:sz w:val="20"/>
                <w:szCs w:val="20"/>
              </w:rPr>
              <w:t>.</w:t>
            </w:r>
            <w:r w:rsidR="00170D66" w:rsidRPr="00BF0CA9">
              <w:rPr>
                <w:sz w:val="20"/>
                <w:szCs w:val="20"/>
              </w:rPr>
              <w:t>117</w:t>
            </w:r>
          </w:p>
        </w:tc>
      </w:tr>
      <w:tr w:rsidR="00764DA6" w14:paraId="5961AD3F" w14:textId="77777777" w:rsidTr="007652D2">
        <w:trPr>
          <w:divId w:val="384455139"/>
          <w:trHeight w:val="24"/>
        </w:trPr>
        <w:tc>
          <w:tcPr>
            <w:tcW w:w="6480" w:type="dxa"/>
            <w:tcMar>
              <w:top w:w="113" w:type="dxa"/>
              <w:left w:w="113" w:type="dxa"/>
              <w:bottom w:w="113" w:type="dxa"/>
              <w:right w:w="113" w:type="dxa"/>
            </w:tcMar>
            <w:hideMark/>
          </w:tcPr>
          <w:p w14:paraId="790C0AB6" w14:textId="132F5EE3" w:rsidR="00764DA6" w:rsidRPr="00764DA6" w:rsidRDefault="007652D2">
            <w:pPr>
              <w:rPr>
                <w:sz w:val="20"/>
                <w:szCs w:val="20"/>
              </w:rPr>
            </w:pPr>
            <w:r>
              <w:rPr>
                <w:sz w:val="20"/>
                <w:szCs w:val="20"/>
              </w:rPr>
              <w:t>Thought</w:t>
            </w:r>
            <w:r w:rsidR="00764DA6" w:rsidRPr="00764DA6">
              <w:rPr>
                <w:sz w:val="20"/>
                <w:szCs w:val="20"/>
              </w:rPr>
              <w:t xml:space="preserve"> [causal</w:t>
            </w:r>
            <w:r>
              <w:rPr>
                <w:sz w:val="20"/>
                <w:szCs w:val="20"/>
              </w:rPr>
              <w:t xml:space="preserve"> reasoning</w:t>
            </w:r>
            <w:r w:rsidR="00764DA6" w:rsidRPr="00764DA6">
              <w:rPr>
                <w:sz w:val="20"/>
                <w:szCs w:val="20"/>
              </w:rPr>
              <w:t xml:space="preserve">] * </w:t>
            </w:r>
            <w:r>
              <w:rPr>
                <w:sz w:val="20"/>
                <w:szCs w:val="20"/>
              </w:rPr>
              <w:t>Perspective</w:t>
            </w:r>
            <w:r w:rsidRPr="00764DA6">
              <w:rPr>
                <w:sz w:val="20"/>
                <w:szCs w:val="20"/>
              </w:rPr>
              <w:t xml:space="preserve"> </w:t>
            </w:r>
            <w:r w:rsidR="00764DA6" w:rsidRPr="00764DA6">
              <w:rPr>
                <w:sz w:val="20"/>
                <w:szCs w:val="20"/>
              </w:rPr>
              <w:t>[goalie]</w:t>
            </w:r>
          </w:p>
        </w:tc>
        <w:tc>
          <w:tcPr>
            <w:tcW w:w="2160" w:type="dxa"/>
            <w:tcMar>
              <w:top w:w="113" w:type="dxa"/>
              <w:left w:w="113" w:type="dxa"/>
              <w:bottom w:w="113" w:type="dxa"/>
              <w:right w:w="113" w:type="dxa"/>
            </w:tcMar>
            <w:hideMark/>
          </w:tcPr>
          <w:p w14:paraId="5E03E1B9" w14:textId="2AEA5F61" w:rsidR="00764DA6" w:rsidRPr="00D34761" w:rsidRDefault="00764DA6">
            <w:pPr>
              <w:jc w:val="center"/>
              <w:rPr>
                <w:b/>
                <w:bCs/>
                <w:sz w:val="20"/>
                <w:szCs w:val="20"/>
              </w:rPr>
            </w:pPr>
            <w:r w:rsidRPr="00D34761">
              <w:rPr>
                <w:b/>
                <w:bCs/>
                <w:sz w:val="20"/>
                <w:szCs w:val="20"/>
              </w:rPr>
              <w:t>-.0</w:t>
            </w:r>
            <w:r w:rsidR="00170D66" w:rsidRPr="00D34761">
              <w:rPr>
                <w:b/>
                <w:bCs/>
                <w:sz w:val="20"/>
                <w:szCs w:val="20"/>
              </w:rPr>
              <w:t>6</w:t>
            </w:r>
          </w:p>
        </w:tc>
        <w:tc>
          <w:tcPr>
            <w:tcW w:w="2160" w:type="dxa"/>
            <w:tcMar>
              <w:top w:w="113" w:type="dxa"/>
              <w:left w:w="113" w:type="dxa"/>
              <w:bottom w:w="113" w:type="dxa"/>
              <w:right w:w="113" w:type="dxa"/>
            </w:tcMar>
            <w:hideMark/>
          </w:tcPr>
          <w:p w14:paraId="55F76EEA" w14:textId="5096CFD3" w:rsidR="00764DA6" w:rsidRPr="00D34761" w:rsidRDefault="00764DA6">
            <w:pPr>
              <w:jc w:val="center"/>
              <w:rPr>
                <w:b/>
                <w:bCs/>
                <w:sz w:val="20"/>
                <w:szCs w:val="20"/>
              </w:rPr>
            </w:pPr>
            <w:r w:rsidRPr="00D34761">
              <w:rPr>
                <w:b/>
                <w:bCs/>
                <w:sz w:val="20"/>
                <w:szCs w:val="20"/>
              </w:rPr>
              <w:t>.0</w:t>
            </w:r>
            <w:r w:rsidR="00170D66" w:rsidRPr="00D34761">
              <w:rPr>
                <w:b/>
                <w:bCs/>
                <w:sz w:val="20"/>
                <w:szCs w:val="20"/>
              </w:rPr>
              <w:t>0</w:t>
            </w:r>
            <w:r w:rsidRPr="00D34761">
              <w:rPr>
                <w:b/>
                <w:bCs/>
                <w:sz w:val="20"/>
                <w:szCs w:val="20"/>
              </w:rPr>
              <w:t> – .</w:t>
            </w:r>
            <w:r w:rsidR="00170D66" w:rsidRPr="00D34761">
              <w:rPr>
                <w:b/>
                <w:bCs/>
                <w:sz w:val="20"/>
                <w:szCs w:val="20"/>
              </w:rPr>
              <w:t>12</w:t>
            </w:r>
          </w:p>
        </w:tc>
        <w:tc>
          <w:tcPr>
            <w:tcW w:w="2160" w:type="dxa"/>
            <w:tcMar>
              <w:top w:w="113" w:type="dxa"/>
              <w:left w:w="113" w:type="dxa"/>
              <w:bottom w:w="113" w:type="dxa"/>
              <w:right w:w="113" w:type="dxa"/>
            </w:tcMar>
            <w:hideMark/>
          </w:tcPr>
          <w:p w14:paraId="1066F8C1" w14:textId="59A92117" w:rsidR="00764DA6" w:rsidRPr="00BF0CA9" w:rsidRDefault="00764DA6">
            <w:pPr>
              <w:jc w:val="center"/>
              <w:rPr>
                <w:b/>
                <w:bCs/>
                <w:sz w:val="20"/>
                <w:szCs w:val="20"/>
              </w:rPr>
            </w:pPr>
            <w:r w:rsidRPr="00BF0CA9">
              <w:rPr>
                <w:b/>
                <w:bCs/>
                <w:sz w:val="20"/>
                <w:szCs w:val="20"/>
              </w:rPr>
              <w:t>.</w:t>
            </w:r>
            <w:r w:rsidR="00170D66" w:rsidRPr="00BF0CA9">
              <w:rPr>
                <w:b/>
                <w:bCs/>
                <w:sz w:val="20"/>
                <w:szCs w:val="20"/>
              </w:rPr>
              <w:t>035</w:t>
            </w:r>
          </w:p>
        </w:tc>
      </w:tr>
      <w:tr w:rsidR="00764DA6" w14:paraId="7827BEB5" w14:textId="77777777" w:rsidTr="007652D2">
        <w:trPr>
          <w:divId w:val="384455139"/>
          <w:trHeight w:val="24"/>
        </w:trPr>
        <w:tc>
          <w:tcPr>
            <w:tcW w:w="6480" w:type="dxa"/>
            <w:tcMar>
              <w:top w:w="113" w:type="dxa"/>
              <w:left w:w="113" w:type="dxa"/>
              <w:bottom w:w="113" w:type="dxa"/>
              <w:right w:w="113" w:type="dxa"/>
            </w:tcMar>
            <w:hideMark/>
          </w:tcPr>
          <w:p w14:paraId="13403F61" w14:textId="5DC6084E" w:rsidR="00764DA6" w:rsidRPr="00764DA6" w:rsidRDefault="00764DA6">
            <w:pPr>
              <w:rPr>
                <w:sz w:val="20"/>
                <w:szCs w:val="20"/>
              </w:rPr>
            </w:pPr>
            <w:r w:rsidRPr="00764DA6">
              <w:rPr>
                <w:sz w:val="20"/>
                <w:szCs w:val="20"/>
              </w:rPr>
              <w:t>(</w:t>
            </w:r>
            <w:r w:rsidR="007652D2">
              <w:rPr>
                <w:sz w:val="20"/>
                <w:szCs w:val="20"/>
              </w:rPr>
              <w:t>O</w:t>
            </w:r>
            <w:r w:rsidRPr="00764DA6">
              <w:rPr>
                <w:sz w:val="20"/>
                <w:szCs w:val="20"/>
              </w:rPr>
              <w:t>utcome [</w:t>
            </w:r>
            <w:r w:rsidR="007652D2">
              <w:rPr>
                <w:sz w:val="20"/>
                <w:szCs w:val="20"/>
              </w:rPr>
              <w:t>score</w:t>
            </w:r>
            <w:r w:rsidRPr="00764DA6">
              <w:rPr>
                <w:sz w:val="20"/>
                <w:szCs w:val="20"/>
              </w:rPr>
              <w:t xml:space="preserve">] * </w:t>
            </w:r>
            <w:r w:rsidR="007652D2">
              <w:rPr>
                <w:sz w:val="20"/>
                <w:szCs w:val="20"/>
              </w:rPr>
              <w:t>Thought</w:t>
            </w:r>
            <w:r w:rsidRPr="00764DA6">
              <w:rPr>
                <w:sz w:val="20"/>
                <w:szCs w:val="20"/>
              </w:rPr>
              <w:t xml:space="preserve"> [counterfactual</w:t>
            </w:r>
            <w:r w:rsidR="007652D2">
              <w:rPr>
                <w:sz w:val="20"/>
                <w:szCs w:val="20"/>
              </w:rPr>
              <w:t xml:space="preserve"> thinking</w:t>
            </w:r>
            <w:r w:rsidRPr="00764DA6">
              <w:rPr>
                <w:sz w:val="20"/>
                <w:szCs w:val="20"/>
              </w:rPr>
              <w:t xml:space="preserve">]) * </w:t>
            </w:r>
            <w:r w:rsidR="007652D2">
              <w:rPr>
                <w:sz w:val="20"/>
                <w:szCs w:val="20"/>
              </w:rPr>
              <w:t>Perspective</w:t>
            </w:r>
            <w:r w:rsidRPr="00764DA6">
              <w:rPr>
                <w:sz w:val="20"/>
                <w:szCs w:val="20"/>
              </w:rPr>
              <w:t xml:space="preserve"> [goalie]</w:t>
            </w:r>
          </w:p>
        </w:tc>
        <w:tc>
          <w:tcPr>
            <w:tcW w:w="2160" w:type="dxa"/>
            <w:tcMar>
              <w:top w:w="113" w:type="dxa"/>
              <w:left w:w="113" w:type="dxa"/>
              <w:bottom w:w="113" w:type="dxa"/>
              <w:right w:w="113" w:type="dxa"/>
            </w:tcMar>
            <w:hideMark/>
          </w:tcPr>
          <w:p w14:paraId="22CC1886" w14:textId="7433E31E" w:rsidR="00764DA6" w:rsidRPr="00D34761" w:rsidRDefault="009C681A">
            <w:pPr>
              <w:jc w:val="center"/>
              <w:rPr>
                <w:sz w:val="20"/>
                <w:szCs w:val="20"/>
              </w:rPr>
            </w:pPr>
            <w:r w:rsidRPr="00D34761">
              <w:rPr>
                <w:sz w:val="20"/>
                <w:szCs w:val="20"/>
              </w:rPr>
              <w:t>-</w:t>
            </w:r>
            <w:r w:rsidR="00764DA6" w:rsidRPr="00D34761">
              <w:rPr>
                <w:sz w:val="20"/>
                <w:szCs w:val="20"/>
              </w:rPr>
              <w:t>.0</w:t>
            </w:r>
            <w:r w:rsidRPr="00D34761">
              <w:rPr>
                <w:sz w:val="20"/>
                <w:szCs w:val="20"/>
              </w:rPr>
              <w:t>2</w:t>
            </w:r>
          </w:p>
        </w:tc>
        <w:tc>
          <w:tcPr>
            <w:tcW w:w="2160" w:type="dxa"/>
            <w:tcMar>
              <w:top w:w="113" w:type="dxa"/>
              <w:left w:w="113" w:type="dxa"/>
              <w:bottom w:w="113" w:type="dxa"/>
              <w:right w:w="113" w:type="dxa"/>
            </w:tcMar>
            <w:hideMark/>
          </w:tcPr>
          <w:p w14:paraId="0AD58D92" w14:textId="069EADB0" w:rsidR="00764DA6" w:rsidRPr="00D34761" w:rsidRDefault="00764DA6">
            <w:pPr>
              <w:jc w:val="center"/>
              <w:rPr>
                <w:sz w:val="20"/>
                <w:szCs w:val="20"/>
              </w:rPr>
            </w:pPr>
            <w:r w:rsidRPr="00D34761">
              <w:rPr>
                <w:sz w:val="20"/>
                <w:szCs w:val="20"/>
              </w:rPr>
              <w:t>-.</w:t>
            </w:r>
            <w:r w:rsidR="009C681A" w:rsidRPr="00D34761">
              <w:rPr>
                <w:sz w:val="20"/>
                <w:szCs w:val="20"/>
              </w:rPr>
              <w:t>10</w:t>
            </w:r>
            <w:r w:rsidRPr="00D34761">
              <w:rPr>
                <w:sz w:val="20"/>
                <w:szCs w:val="20"/>
              </w:rPr>
              <w:t> – .</w:t>
            </w:r>
            <w:r w:rsidR="009C681A" w:rsidRPr="00D34761">
              <w:rPr>
                <w:sz w:val="20"/>
                <w:szCs w:val="20"/>
              </w:rPr>
              <w:t>07</w:t>
            </w:r>
          </w:p>
        </w:tc>
        <w:tc>
          <w:tcPr>
            <w:tcW w:w="2160" w:type="dxa"/>
            <w:tcMar>
              <w:top w:w="113" w:type="dxa"/>
              <w:left w:w="113" w:type="dxa"/>
              <w:bottom w:w="113" w:type="dxa"/>
              <w:right w:w="113" w:type="dxa"/>
            </w:tcMar>
            <w:hideMark/>
          </w:tcPr>
          <w:p w14:paraId="3DA4D90E" w14:textId="2D5CCA62" w:rsidR="00764DA6" w:rsidRPr="00D34761" w:rsidRDefault="00764DA6">
            <w:pPr>
              <w:jc w:val="center"/>
              <w:rPr>
                <w:sz w:val="20"/>
                <w:szCs w:val="20"/>
              </w:rPr>
            </w:pPr>
            <w:r w:rsidRPr="00D34761">
              <w:rPr>
                <w:sz w:val="20"/>
                <w:szCs w:val="20"/>
              </w:rPr>
              <w:t>.</w:t>
            </w:r>
            <w:r w:rsidR="009C681A" w:rsidRPr="00D34761">
              <w:rPr>
                <w:sz w:val="20"/>
                <w:szCs w:val="20"/>
              </w:rPr>
              <w:t>712</w:t>
            </w:r>
          </w:p>
        </w:tc>
      </w:tr>
      <w:tr w:rsidR="00764DA6" w14:paraId="1B424221" w14:textId="77777777" w:rsidTr="007652D2">
        <w:trPr>
          <w:divId w:val="384455139"/>
          <w:trHeight w:val="24"/>
        </w:trPr>
        <w:tc>
          <w:tcPr>
            <w:tcW w:w="6480" w:type="dxa"/>
            <w:tcMar>
              <w:top w:w="113" w:type="dxa"/>
              <w:left w:w="113" w:type="dxa"/>
              <w:bottom w:w="113" w:type="dxa"/>
              <w:right w:w="113" w:type="dxa"/>
            </w:tcMar>
            <w:hideMark/>
          </w:tcPr>
          <w:p w14:paraId="27CC10AE" w14:textId="04471981" w:rsidR="00764DA6" w:rsidRPr="00764DA6" w:rsidRDefault="00764DA6">
            <w:pPr>
              <w:rPr>
                <w:sz w:val="20"/>
                <w:szCs w:val="20"/>
              </w:rPr>
            </w:pPr>
            <w:r w:rsidRPr="00764DA6">
              <w:rPr>
                <w:sz w:val="20"/>
                <w:szCs w:val="20"/>
              </w:rPr>
              <w:t>(</w:t>
            </w:r>
            <w:r w:rsidR="007652D2">
              <w:rPr>
                <w:sz w:val="20"/>
                <w:szCs w:val="20"/>
              </w:rPr>
              <w:t>O</w:t>
            </w:r>
            <w:r w:rsidRPr="00764DA6">
              <w:rPr>
                <w:sz w:val="20"/>
                <w:szCs w:val="20"/>
              </w:rPr>
              <w:t>utcome [</w:t>
            </w:r>
            <w:r w:rsidR="007652D2">
              <w:rPr>
                <w:sz w:val="20"/>
                <w:szCs w:val="20"/>
              </w:rPr>
              <w:t>score</w:t>
            </w:r>
            <w:r w:rsidRPr="00764DA6">
              <w:rPr>
                <w:sz w:val="20"/>
                <w:szCs w:val="20"/>
              </w:rPr>
              <w:t>] *</w:t>
            </w:r>
            <w:r w:rsidR="007652D2">
              <w:rPr>
                <w:sz w:val="20"/>
                <w:szCs w:val="20"/>
              </w:rPr>
              <w:t xml:space="preserve"> Thought</w:t>
            </w:r>
            <w:r w:rsidRPr="00764DA6">
              <w:rPr>
                <w:sz w:val="20"/>
                <w:szCs w:val="20"/>
              </w:rPr>
              <w:t xml:space="preserve"> [causal</w:t>
            </w:r>
            <w:r w:rsidR="007652D2">
              <w:rPr>
                <w:sz w:val="20"/>
                <w:szCs w:val="20"/>
              </w:rPr>
              <w:t xml:space="preserve"> reasoning</w:t>
            </w:r>
            <w:r w:rsidRPr="00764DA6">
              <w:rPr>
                <w:sz w:val="20"/>
                <w:szCs w:val="20"/>
              </w:rPr>
              <w:t xml:space="preserve">]) * </w:t>
            </w:r>
            <w:r w:rsidR="007652D2">
              <w:rPr>
                <w:sz w:val="20"/>
                <w:szCs w:val="20"/>
              </w:rPr>
              <w:t>Perspective</w:t>
            </w:r>
            <w:r w:rsidRPr="00764DA6">
              <w:rPr>
                <w:sz w:val="20"/>
                <w:szCs w:val="20"/>
              </w:rPr>
              <w:t xml:space="preserve"> [goalie]</w:t>
            </w:r>
          </w:p>
        </w:tc>
        <w:tc>
          <w:tcPr>
            <w:tcW w:w="2160" w:type="dxa"/>
            <w:tcMar>
              <w:top w:w="113" w:type="dxa"/>
              <w:left w:w="113" w:type="dxa"/>
              <w:bottom w:w="113" w:type="dxa"/>
              <w:right w:w="113" w:type="dxa"/>
            </w:tcMar>
            <w:hideMark/>
          </w:tcPr>
          <w:p w14:paraId="5AA89E7A" w14:textId="5BCCD124" w:rsidR="00764DA6" w:rsidRPr="00764DA6" w:rsidRDefault="00764DA6">
            <w:pPr>
              <w:jc w:val="center"/>
              <w:rPr>
                <w:sz w:val="20"/>
                <w:szCs w:val="20"/>
              </w:rPr>
            </w:pPr>
            <w:r w:rsidRPr="00764DA6">
              <w:rPr>
                <w:sz w:val="20"/>
                <w:szCs w:val="20"/>
              </w:rPr>
              <w:t>-.06</w:t>
            </w:r>
          </w:p>
        </w:tc>
        <w:tc>
          <w:tcPr>
            <w:tcW w:w="2160" w:type="dxa"/>
            <w:tcMar>
              <w:top w:w="113" w:type="dxa"/>
              <w:left w:w="113" w:type="dxa"/>
              <w:bottom w:w="113" w:type="dxa"/>
              <w:right w:w="113" w:type="dxa"/>
            </w:tcMar>
            <w:hideMark/>
          </w:tcPr>
          <w:p w14:paraId="11D4A22A" w14:textId="327C1B74" w:rsidR="00764DA6" w:rsidRPr="00764DA6" w:rsidRDefault="00764DA6">
            <w:pPr>
              <w:jc w:val="center"/>
              <w:rPr>
                <w:sz w:val="20"/>
                <w:szCs w:val="20"/>
              </w:rPr>
            </w:pPr>
            <w:r w:rsidRPr="00764DA6">
              <w:rPr>
                <w:sz w:val="20"/>
                <w:szCs w:val="20"/>
              </w:rPr>
              <w:t>-.</w:t>
            </w:r>
            <w:r w:rsidR="009C681A">
              <w:rPr>
                <w:sz w:val="20"/>
                <w:szCs w:val="20"/>
              </w:rPr>
              <w:t>14</w:t>
            </w:r>
            <w:r w:rsidRPr="00764DA6">
              <w:rPr>
                <w:sz w:val="20"/>
                <w:szCs w:val="20"/>
              </w:rPr>
              <w:t> – .0</w:t>
            </w:r>
            <w:r w:rsidR="009C681A">
              <w:rPr>
                <w:sz w:val="20"/>
                <w:szCs w:val="20"/>
              </w:rPr>
              <w:t>3</w:t>
            </w:r>
          </w:p>
        </w:tc>
        <w:tc>
          <w:tcPr>
            <w:tcW w:w="2160" w:type="dxa"/>
            <w:tcMar>
              <w:top w:w="113" w:type="dxa"/>
              <w:left w:w="113" w:type="dxa"/>
              <w:bottom w:w="113" w:type="dxa"/>
              <w:right w:w="113" w:type="dxa"/>
            </w:tcMar>
            <w:hideMark/>
          </w:tcPr>
          <w:p w14:paraId="255DD1B1" w14:textId="2713FF1F" w:rsidR="00764DA6" w:rsidRPr="00764DA6" w:rsidRDefault="00764DA6">
            <w:pPr>
              <w:jc w:val="center"/>
              <w:rPr>
                <w:sz w:val="20"/>
                <w:szCs w:val="20"/>
              </w:rPr>
            </w:pPr>
            <w:r w:rsidRPr="00764DA6">
              <w:rPr>
                <w:sz w:val="20"/>
                <w:szCs w:val="20"/>
              </w:rPr>
              <w:t>.</w:t>
            </w:r>
            <w:r w:rsidR="009C681A">
              <w:rPr>
                <w:sz w:val="20"/>
                <w:szCs w:val="20"/>
              </w:rPr>
              <w:t>173</w:t>
            </w:r>
          </w:p>
        </w:tc>
      </w:tr>
      <w:tr w:rsidR="00764DA6" w14:paraId="1F43E437" w14:textId="77777777" w:rsidTr="007652D2">
        <w:trPr>
          <w:divId w:val="384455139"/>
          <w:trHeight w:val="12"/>
        </w:trPr>
        <w:tc>
          <w:tcPr>
            <w:tcW w:w="12960" w:type="dxa"/>
            <w:gridSpan w:val="4"/>
            <w:tcMar>
              <w:top w:w="192" w:type="dxa"/>
              <w:left w:w="15" w:type="dxa"/>
              <w:bottom w:w="15" w:type="dxa"/>
              <w:right w:w="15" w:type="dxa"/>
            </w:tcMar>
            <w:hideMark/>
          </w:tcPr>
          <w:p w14:paraId="57EFA2C2" w14:textId="77777777" w:rsidR="00764DA6" w:rsidRPr="00764DA6" w:rsidRDefault="00764DA6">
            <w:pPr>
              <w:rPr>
                <w:b/>
                <w:bCs/>
                <w:sz w:val="20"/>
                <w:szCs w:val="20"/>
              </w:rPr>
            </w:pPr>
            <w:r w:rsidRPr="00764DA6">
              <w:rPr>
                <w:b/>
                <w:bCs/>
                <w:sz w:val="20"/>
                <w:szCs w:val="20"/>
              </w:rPr>
              <w:t>Random Effects</w:t>
            </w:r>
          </w:p>
        </w:tc>
      </w:tr>
      <w:tr w:rsidR="00764DA6" w14:paraId="4A236416" w14:textId="77777777" w:rsidTr="007652D2">
        <w:trPr>
          <w:divId w:val="384455139"/>
        </w:trPr>
        <w:tc>
          <w:tcPr>
            <w:tcW w:w="6480" w:type="dxa"/>
            <w:tcMar>
              <w:top w:w="57" w:type="dxa"/>
              <w:left w:w="113" w:type="dxa"/>
              <w:bottom w:w="57" w:type="dxa"/>
              <w:right w:w="113" w:type="dxa"/>
            </w:tcMar>
            <w:hideMark/>
          </w:tcPr>
          <w:p w14:paraId="0A96CF80" w14:textId="77777777" w:rsidR="00764DA6" w:rsidRPr="00764DA6" w:rsidRDefault="00764DA6">
            <w:pPr>
              <w:rPr>
                <w:sz w:val="20"/>
                <w:szCs w:val="20"/>
              </w:rPr>
            </w:pPr>
            <w:r w:rsidRPr="00764DA6">
              <w:rPr>
                <w:sz w:val="20"/>
                <w:szCs w:val="20"/>
              </w:rPr>
              <w:t>σ</w:t>
            </w:r>
            <w:r w:rsidRPr="00764DA6">
              <w:rPr>
                <w:sz w:val="20"/>
                <w:szCs w:val="20"/>
                <w:vertAlign w:val="superscript"/>
              </w:rPr>
              <w:t>2</w:t>
            </w:r>
          </w:p>
        </w:tc>
        <w:tc>
          <w:tcPr>
            <w:tcW w:w="6480" w:type="dxa"/>
            <w:gridSpan w:val="3"/>
            <w:tcMar>
              <w:top w:w="57" w:type="dxa"/>
              <w:left w:w="113" w:type="dxa"/>
              <w:bottom w:w="57" w:type="dxa"/>
              <w:right w:w="113" w:type="dxa"/>
            </w:tcMar>
            <w:hideMark/>
          </w:tcPr>
          <w:p w14:paraId="56A319D8" w14:textId="194A3AE4" w:rsidR="00764DA6" w:rsidRPr="00764DA6" w:rsidRDefault="00764DA6" w:rsidP="00764DA6">
            <w:pPr>
              <w:ind w:left="794"/>
              <w:rPr>
                <w:sz w:val="20"/>
                <w:szCs w:val="20"/>
              </w:rPr>
            </w:pPr>
            <w:r w:rsidRPr="00764DA6">
              <w:rPr>
                <w:sz w:val="20"/>
                <w:szCs w:val="20"/>
              </w:rPr>
              <w:t>.02</w:t>
            </w:r>
          </w:p>
        </w:tc>
      </w:tr>
      <w:tr w:rsidR="00764DA6" w14:paraId="33FFB3C9" w14:textId="77777777" w:rsidTr="007652D2">
        <w:trPr>
          <w:divId w:val="384455139"/>
        </w:trPr>
        <w:tc>
          <w:tcPr>
            <w:tcW w:w="6480" w:type="dxa"/>
            <w:tcMar>
              <w:top w:w="57" w:type="dxa"/>
              <w:left w:w="113" w:type="dxa"/>
              <w:bottom w:w="57" w:type="dxa"/>
              <w:right w:w="113" w:type="dxa"/>
            </w:tcMar>
            <w:hideMark/>
          </w:tcPr>
          <w:p w14:paraId="4AC37A0E" w14:textId="77777777" w:rsidR="00764DA6" w:rsidRPr="00764DA6" w:rsidRDefault="00764DA6">
            <w:pPr>
              <w:rPr>
                <w:sz w:val="20"/>
                <w:szCs w:val="20"/>
              </w:rPr>
            </w:pPr>
            <w:r w:rsidRPr="00764DA6">
              <w:rPr>
                <w:sz w:val="20"/>
                <w:szCs w:val="20"/>
              </w:rPr>
              <w:t>τ</w:t>
            </w:r>
            <w:r w:rsidRPr="00764DA6">
              <w:rPr>
                <w:sz w:val="20"/>
                <w:szCs w:val="20"/>
                <w:vertAlign w:val="subscript"/>
              </w:rPr>
              <w:t>00</w:t>
            </w:r>
            <w:r w:rsidRPr="00764DA6">
              <w:rPr>
                <w:sz w:val="20"/>
                <w:szCs w:val="20"/>
              </w:rPr>
              <w:t xml:space="preserve"> </w:t>
            </w:r>
            <w:r w:rsidRPr="00764DA6">
              <w:rPr>
                <w:sz w:val="20"/>
                <w:szCs w:val="20"/>
                <w:vertAlign w:val="subscript"/>
              </w:rPr>
              <w:t>id</w:t>
            </w:r>
          </w:p>
        </w:tc>
        <w:tc>
          <w:tcPr>
            <w:tcW w:w="6480" w:type="dxa"/>
            <w:gridSpan w:val="3"/>
            <w:tcMar>
              <w:top w:w="57" w:type="dxa"/>
              <w:left w:w="113" w:type="dxa"/>
              <w:bottom w:w="57" w:type="dxa"/>
              <w:right w:w="113" w:type="dxa"/>
            </w:tcMar>
            <w:hideMark/>
          </w:tcPr>
          <w:p w14:paraId="482E51AA" w14:textId="4FC1F6F9" w:rsidR="00764DA6" w:rsidRPr="00764DA6" w:rsidRDefault="00764DA6" w:rsidP="00764DA6">
            <w:pPr>
              <w:ind w:left="794"/>
              <w:rPr>
                <w:sz w:val="20"/>
                <w:szCs w:val="20"/>
              </w:rPr>
            </w:pPr>
            <w:r w:rsidRPr="00764DA6">
              <w:rPr>
                <w:sz w:val="20"/>
                <w:szCs w:val="20"/>
              </w:rPr>
              <w:t>.02</w:t>
            </w:r>
          </w:p>
        </w:tc>
      </w:tr>
      <w:tr w:rsidR="00764DA6" w14:paraId="5EC4F410" w14:textId="77777777" w:rsidTr="007652D2">
        <w:trPr>
          <w:divId w:val="384455139"/>
        </w:trPr>
        <w:tc>
          <w:tcPr>
            <w:tcW w:w="6480" w:type="dxa"/>
            <w:tcMar>
              <w:top w:w="57" w:type="dxa"/>
              <w:left w:w="113" w:type="dxa"/>
              <w:bottom w:w="57" w:type="dxa"/>
              <w:right w:w="113" w:type="dxa"/>
            </w:tcMar>
            <w:hideMark/>
          </w:tcPr>
          <w:p w14:paraId="73A0F55E" w14:textId="77777777" w:rsidR="00764DA6" w:rsidRPr="00764DA6" w:rsidRDefault="00764DA6">
            <w:pPr>
              <w:rPr>
                <w:sz w:val="20"/>
                <w:szCs w:val="20"/>
              </w:rPr>
            </w:pPr>
            <w:r w:rsidRPr="00764DA6">
              <w:rPr>
                <w:sz w:val="20"/>
                <w:szCs w:val="20"/>
              </w:rPr>
              <w:t>ICC</w:t>
            </w:r>
          </w:p>
        </w:tc>
        <w:tc>
          <w:tcPr>
            <w:tcW w:w="6480" w:type="dxa"/>
            <w:gridSpan w:val="3"/>
            <w:tcMar>
              <w:top w:w="57" w:type="dxa"/>
              <w:left w:w="113" w:type="dxa"/>
              <w:bottom w:w="57" w:type="dxa"/>
              <w:right w:w="113" w:type="dxa"/>
            </w:tcMar>
            <w:hideMark/>
          </w:tcPr>
          <w:p w14:paraId="00F1FEB4" w14:textId="5F2C867F" w:rsidR="00764DA6" w:rsidRPr="00764DA6" w:rsidRDefault="00764DA6" w:rsidP="00764DA6">
            <w:pPr>
              <w:ind w:left="794"/>
              <w:rPr>
                <w:sz w:val="20"/>
                <w:szCs w:val="20"/>
              </w:rPr>
            </w:pPr>
            <w:r w:rsidRPr="00764DA6">
              <w:rPr>
                <w:sz w:val="20"/>
                <w:szCs w:val="20"/>
              </w:rPr>
              <w:t>.46</w:t>
            </w:r>
          </w:p>
        </w:tc>
      </w:tr>
      <w:tr w:rsidR="00764DA6" w14:paraId="593A3964" w14:textId="77777777" w:rsidTr="007652D2">
        <w:trPr>
          <w:divId w:val="384455139"/>
        </w:trPr>
        <w:tc>
          <w:tcPr>
            <w:tcW w:w="6480" w:type="dxa"/>
            <w:tcMar>
              <w:top w:w="57" w:type="dxa"/>
              <w:left w:w="113" w:type="dxa"/>
              <w:bottom w:w="57" w:type="dxa"/>
              <w:right w:w="113" w:type="dxa"/>
            </w:tcMar>
            <w:hideMark/>
          </w:tcPr>
          <w:p w14:paraId="44D3FE41" w14:textId="77777777" w:rsidR="00764DA6" w:rsidRPr="00764DA6" w:rsidRDefault="00764DA6">
            <w:pPr>
              <w:rPr>
                <w:sz w:val="20"/>
                <w:szCs w:val="20"/>
              </w:rPr>
            </w:pPr>
            <w:r w:rsidRPr="00764DA6">
              <w:rPr>
                <w:sz w:val="20"/>
                <w:szCs w:val="20"/>
              </w:rPr>
              <w:t xml:space="preserve">N </w:t>
            </w:r>
            <w:r w:rsidRPr="00764DA6">
              <w:rPr>
                <w:sz w:val="20"/>
                <w:szCs w:val="20"/>
                <w:vertAlign w:val="subscript"/>
              </w:rPr>
              <w:t>id</w:t>
            </w:r>
          </w:p>
        </w:tc>
        <w:tc>
          <w:tcPr>
            <w:tcW w:w="6480" w:type="dxa"/>
            <w:gridSpan w:val="3"/>
            <w:tcMar>
              <w:top w:w="57" w:type="dxa"/>
              <w:left w:w="113" w:type="dxa"/>
              <w:bottom w:w="57" w:type="dxa"/>
              <w:right w:w="113" w:type="dxa"/>
            </w:tcMar>
            <w:hideMark/>
          </w:tcPr>
          <w:p w14:paraId="13CDCCE5" w14:textId="77777777" w:rsidR="00764DA6" w:rsidRPr="00764DA6" w:rsidRDefault="00764DA6" w:rsidP="00764DA6">
            <w:pPr>
              <w:ind w:left="794"/>
              <w:rPr>
                <w:sz w:val="20"/>
                <w:szCs w:val="20"/>
              </w:rPr>
            </w:pPr>
            <w:r w:rsidRPr="00764DA6">
              <w:rPr>
                <w:sz w:val="20"/>
                <w:szCs w:val="20"/>
              </w:rPr>
              <w:t>212</w:t>
            </w:r>
          </w:p>
        </w:tc>
      </w:tr>
      <w:tr w:rsidR="00764DA6" w14:paraId="2F25D9DB" w14:textId="77777777" w:rsidTr="007652D2">
        <w:trPr>
          <w:divId w:val="384455139"/>
        </w:trPr>
        <w:tc>
          <w:tcPr>
            <w:tcW w:w="6480" w:type="dxa"/>
            <w:tcBorders>
              <w:top w:val="single" w:sz="6" w:space="0" w:color="auto"/>
            </w:tcBorders>
            <w:tcMar>
              <w:top w:w="57" w:type="dxa"/>
              <w:left w:w="113" w:type="dxa"/>
              <w:bottom w:w="57" w:type="dxa"/>
              <w:right w:w="113" w:type="dxa"/>
            </w:tcMar>
            <w:hideMark/>
          </w:tcPr>
          <w:p w14:paraId="29B8A71E" w14:textId="77777777" w:rsidR="00764DA6" w:rsidRPr="00764DA6" w:rsidRDefault="00764DA6">
            <w:pPr>
              <w:rPr>
                <w:sz w:val="20"/>
                <w:szCs w:val="20"/>
              </w:rPr>
            </w:pPr>
            <w:r w:rsidRPr="00764DA6">
              <w:rPr>
                <w:sz w:val="20"/>
                <w:szCs w:val="20"/>
              </w:rPr>
              <w:t>Observations</w:t>
            </w:r>
          </w:p>
        </w:tc>
        <w:tc>
          <w:tcPr>
            <w:tcW w:w="6480" w:type="dxa"/>
            <w:gridSpan w:val="3"/>
            <w:tcBorders>
              <w:top w:val="single" w:sz="6" w:space="0" w:color="auto"/>
            </w:tcBorders>
            <w:tcMar>
              <w:top w:w="57" w:type="dxa"/>
              <w:left w:w="113" w:type="dxa"/>
              <w:bottom w:w="57" w:type="dxa"/>
              <w:right w:w="113" w:type="dxa"/>
            </w:tcMar>
            <w:hideMark/>
          </w:tcPr>
          <w:p w14:paraId="2BEFF20E" w14:textId="77777777" w:rsidR="00764DA6" w:rsidRPr="00764DA6" w:rsidRDefault="00764DA6" w:rsidP="00764DA6">
            <w:pPr>
              <w:ind w:left="794"/>
              <w:rPr>
                <w:sz w:val="20"/>
                <w:szCs w:val="20"/>
              </w:rPr>
            </w:pPr>
            <w:r w:rsidRPr="00764DA6">
              <w:rPr>
                <w:sz w:val="20"/>
                <w:szCs w:val="20"/>
              </w:rPr>
              <w:t>1272</w:t>
            </w:r>
          </w:p>
        </w:tc>
      </w:tr>
      <w:tr w:rsidR="00764DA6" w14:paraId="02A1DBEB" w14:textId="77777777" w:rsidTr="007652D2">
        <w:trPr>
          <w:divId w:val="384455139"/>
        </w:trPr>
        <w:tc>
          <w:tcPr>
            <w:tcW w:w="6480" w:type="dxa"/>
            <w:tcBorders>
              <w:bottom w:val="double" w:sz="4" w:space="0" w:color="auto"/>
            </w:tcBorders>
            <w:tcMar>
              <w:top w:w="57" w:type="dxa"/>
              <w:left w:w="113" w:type="dxa"/>
              <w:bottom w:w="57" w:type="dxa"/>
              <w:right w:w="113" w:type="dxa"/>
            </w:tcMar>
            <w:hideMark/>
          </w:tcPr>
          <w:p w14:paraId="5A236712" w14:textId="77777777" w:rsidR="00764DA6" w:rsidRPr="00764DA6" w:rsidRDefault="00764DA6">
            <w:pPr>
              <w:rPr>
                <w:sz w:val="20"/>
                <w:szCs w:val="20"/>
              </w:rPr>
            </w:pPr>
            <w:r w:rsidRPr="00764DA6">
              <w:rPr>
                <w:sz w:val="20"/>
                <w:szCs w:val="20"/>
              </w:rPr>
              <w:t>Marginal R</w:t>
            </w:r>
            <w:r w:rsidRPr="00764DA6">
              <w:rPr>
                <w:sz w:val="20"/>
                <w:szCs w:val="20"/>
                <w:vertAlign w:val="superscript"/>
              </w:rPr>
              <w:t>2</w:t>
            </w:r>
            <w:r w:rsidRPr="00764DA6">
              <w:rPr>
                <w:sz w:val="20"/>
                <w:szCs w:val="20"/>
              </w:rPr>
              <w:t xml:space="preserve"> / Conditional R</w:t>
            </w:r>
            <w:r w:rsidRPr="00764DA6">
              <w:rPr>
                <w:sz w:val="20"/>
                <w:szCs w:val="20"/>
                <w:vertAlign w:val="superscript"/>
              </w:rPr>
              <w:t>2</w:t>
            </w:r>
          </w:p>
        </w:tc>
        <w:tc>
          <w:tcPr>
            <w:tcW w:w="6480" w:type="dxa"/>
            <w:gridSpan w:val="3"/>
            <w:tcBorders>
              <w:bottom w:val="double" w:sz="4" w:space="0" w:color="auto"/>
            </w:tcBorders>
            <w:tcMar>
              <w:top w:w="57" w:type="dxa"/>
              <w:left w:w="113" w:type="dxa"/>
              <w:bottom w:w="57" w:type="dxa"/>
              <w:right w:w="113" w:type="dxa"/>
            </w:tcMar>
            <w:hideMark/>
          </w:tcPr>
          <w:p w14:paraId="1B360671" w14:textId="6152A5F0" w:rsidR="00764DA6" w:rsidRPr="00764DA6" w:rsidRDefault="00764DA6" w:rsidP="00764DA6">
            <w:pPr>
              <w:ind w:left="794"/>
              <w:rPr>
                <w:sz w:val="20"/>
                <w:szCs w:val="20"/>
              </w:rPr>
            </w:pPr>
            <w:r w:rsidRPr="00764DA6">
              <w:rPr>
                <w:sz w:val="20"/>
                <w:szCs w:val="20"/>
              </w:rPr>
              <w:t>.02 / .4</w:t>
            </w:r>
            <w:r w:rsidR="009C681A">
              <w:rPr>
                <w:sz w:val="20"/>
                <w:szCs w:val="20"/>
              </w:rPr>
              <w:t>8</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7EE64E74" w14:textId="77777777" w:rsidR="00413AFB" w:rsidRDefault="00D5117B" w:rsidP="0035362E">
      <w:pPr>
        <w:spacing w:line="360" w:lineRule="auto"/>
      </w:pPr>
      <w:r>
        <w:rPr>
          <w:highlight w:val="white"/>
        </w:rPr>
        <w:lastRenderedPageBreak/>
        <w:tab/>
      </w:r>
      <w:r w:rsidR="00D45ACD">
        <w:rPr>
          <w:highlight w:val="white"/>
        </w:rPr>
        <w:t xml:space="preserve"> </w:t>
      </w:r>
      <w:r w:rsidR="00DE553D" w:rsidRPr="00DE553D">
        <w:rPr>
          <w:b/>
          <w:bCs/>
        </w:rPr>
        <w:t>Predicting causal judgments from internal thoughts.</w:t>
      </w:r>
      <w:r w:rsidR="00DE553D">
        <w:rPr>
          <w:b/>
          <w:bCs/>
        </w:rPr>
        <w:t xml:space="preserve"> </w:t>
      </w:r>
      <w:r w:rsidR="0035362E">
        <w:t xml:space="preserve">We next assessed the extent to which participants relied on outcome assessment and counterfactual thinking for causal reasoning. </w:t>
      </w:r>
      <w:r w:rsidR="009B0929">
        <w:t>To assess this</w:t>
      </w:r>
      <w:r w:rsidR="0035362E">
        <w:t xml:space="preserve">, we first </w:t>
      </w:r>
      <w:r w:rsidR="00783DA3">
        <w:t xml:space="preserve">conducted two linear mixed-effect analyses to separately </w:t>
      </w:r>
      <w:r w:rsidR="0035362E">
        <w:t>model</w:t>
      </w:r>
      <w:r w:rsidR="00783DA3">
        <w:t xml:space="preserve"> </w:t>
      </w:r>
      <w:r w:rsidR="0035362E">
        <w:t>event judgements for outcome assessment</w:t>
      </w:r>
      <w:r w:rsidR="00F36F23">
        <w:t xml:space="preserve"> (model 1)</w:t>
      </w:r>
      <w:r w:rsidR="007517D4">
        <w:t xml:space="preserve"> and counterfactual thinking</w:t>
      </w:r>
      <w:r w:rsidR="00F36F23">
        <w:t xml:space="preserve"> (model 2)</w:t>
      </w:r>
      <w:r w:rsidR="007517D4">
        <w:t xml:space="preserve"> as a </w:t>
      </w:r>
      <w:r w:rsidR="007517D4" w:rsidRPr="005A32F1">
        <w:rPr>
          <w:i/>
          <w:iCs/>
          <w:highlight w:val="white"/>
        </w:rPr>
        <w:t>perspective</w:t>
      </w:r>
      <w:r w:rsidR="007517D4">
        <w:rPr>
          <w:highlight w:val="white"/>
        </w:rPr>
        <w:t xml:space="preserve"> (personal [reference group] and impersonal) by </w:t>
      </w:r>
      <w:r w:rsidR="007517D4">
        <w:rPr>
          <w:i/>
          <w:iCs/>
          <w:highlight w:val="white"/>
        </w:rPr>
        <w:t xml:space="preserve">outcome </w:t>
      </w:r>
      <w:r w:rsidR="007517D4">
        <w:rPr>
          <w:highlight w:val="white"/>
        </w:rPr>
        <w:t xml:space="preserve">(two levels: miss [reference group] and score) by </w:t>
      </w:r>
      <w:r w:rsidR="007517D4" w:rsidRPr="001D4E33">
        <w:rPr>
          <w:i/>
          <w:iCs/>
          <w:highlight w:val="white"/>
        </w:rPr>
        <w:t>vividness</w:t>
      </w:r>
      <w:r w:rsidR="007517D4">
        <w:rPr>
          <w:highlight w:val="white"/>
        </w:rPr>
        <w:t xml:space="preserve"> three-way interaction with </w:t>
      </w:r>
      <w:r w:rsidR="007517D4">
        <w:rPr>
          <w:i/>
          <w:iCs/>
          <w:highlight w:val="white"/>
        </w:rPr>
        <w:t>participant</w:t>
      </w:r>
      <w:r w:rsidR="007517D4">
        <w:rPr>
          <w:highlight w:val="white"/>
        </w:rPr>
        <w:t xml:space="preserve"> as a random effect.</w:t>
      </w:r>
      <w:r w:rsidR="001D4E33">
        <w:t xml:space="preserve"> </w:t>
      </w:r>
    </w:p>
    <w:p w14:paraId="7038B2EB" w14:textId="5A945420" w:rsidR="00D96982" w:rsidRDefault="001D4E33" w:rsidP="008A05BD">
      <w:pPr>
        <w:spacing w:line="360" w:lineRule="auto"/>
        <w:ind w:firstLine="720"/>
      </w:pPr>
      <w:r>
        <w:t xml:space="preserve">The results from these </w:t>
      </w:r>
      <w:r w:rsidR="00413AFB">
        <w:t>models</w:t>
      </w:r>
      <w:r>
        <w:t xml:space="preserve"> are reported in </w:t>
      </w:r>
      <w:r w:rsidRPr="001D4E33">
        <w:rPr>
          <w:b/>
          <w:bCs/>
        </w:rPr>
        <w:t xml:space="preserve">Table </w:t>
      </w:r>
      <w:r w:rsidR="00413AFB">
        <w:rPr>
          <w:b/>
          <w:bCs/>
        </w:rPr>
        <w:t>3</w:t>
      </w:r>
      <w:r>
        <w:t>. In both of these models</w:t>
      </w:r>
      <w:r w:rsidR="005D617F">
        <w:t xml:space="preserve"> showed that vividness was a significant predictor of event judgements, although this main effect was characterized by an outcome by vividness interaction. Specifically, the vividness of mental simulations for miss trials (</w:t>
      </w:r>
      <w:r w:rsidR="005D617F" w:rsidRPr="005D617F">
        <w:rPr>
          <w:i/>
          <w:iCs/>
        </w:rPr>
        <w:t>B</w:t>
      </w:r>
      <w:r w:rsidR="005D617F">
        <w:t xml:space="preserve"> = -.34, </w:t>
      </w:r>
      <w:r w:rsidR="005D617F" w:rsidRPr="005D617F">
        <w:rPr>
          <w:i/>
          <w:iCs/>
        </w:rPr>
        <w:t>SE</w:t>
      </w:r>
      <w:r w:rsidR="005D617F">
        <w:t xml:space="preserve"> = .10, </w:t>
      </w:r>
      <w:r w:rsidR="005D617F" w:rsidRPr="005D617F">
        <w:rPr>
          <w:i/>
          <w:iCs/>
        </w:rPr>
        <w:t>CI</w:t>
      </w:r>
      <w:r w:rsidR="005D617F">
        <w:t xml:space="preserve"> = -.53 </w:t>
      </w:r>
      <w:r w:rsidR="005D617F" w:rsidRPr="00D96982">
        <w:rPr>
          <w:rFonts w:ascii="Arial" w:hAnsi="Arial" w:cs="Arial"/>
          <w:sz w:val="20"/>
          <w:szCs w:val="20"/>
        </w:rPr>
        <w:t>–</w:t>
      </w:r>
      <w:r w:rsidR="005D617F">
        <w:rPr>
          <w:rFonts w:ascii="Arial" w:hAnsi="Arial" w:cs="Arial"/>
          <w:sz w:val="20"/>
          <w:szCs w:val="20"/>
        </w:rPr>
        <w:t xml:space="preserve"> </w:t>
      </w:r>
      <w:r w:rsidR="005D617F">
        <w:t xml:space="preserve">-.15) negatively predicted outcome judgements but </w:t>
      </w:r>
      <w:r w:rsidR="008A05BD">
        <w:t>vividness for score trials (</w:t>
      </w:r>
      <w:r w:rsidR="008A05BD" w:rsidRPr="005D617F">
        <w:rPr>
          <w:i/>
          <w:iCs/>
        </w:rPr>
        <w:t>B</w:t>
      </w:r>
      <w:r w:rsidR="008A05BD">
        <w:t xml:space="preserve"> = .25, </w:t>
      </w:r>
      <w:r w:rsidR="008A05BD" w:rsidRPr="005D617F">
        <w:rPr>
          <w:i/>
          <w:iCs/>
        </w:rPr>
        <w:t>SE</w:t>
      </w:r>
      <w:r w:rsidR="008A05BD">
        <w:t xml:space="preserve"> = .10, </w:t>
      </w:r>
      <w:r w:rsidR="008A05BD" w:rsidRPr="005D617F">
        <w:rPr>
          <w:i/>
          <w:iCs/>
        </w:rPr>
        <w:t>CI</w:t>
      </w:r>
      <w:r w:rsidR="008A05BD">
        <w:t xml:space="preserve"> = .06 </w:t>
      </w:r>
      <w:r w:rsidR="008A05BD" w:rsidRPr="00D96982">
        <w:rPr>
          <w:rFonts w:ascii="Arial" w:hAnsi="Arial" w:cs="Arial"/>
          <w:sz w:val="20"/>
          <w:szCs w:val="20"/>
        </w:rPr>
        <w:t>–</w:t>
      </w:r>
      <w:r w:rsidR="008A05BD">
        <w:rPr>
          <w:rFonts w:ascii="Arial" w:hAnsi="Arial" w:cs="Arial"/>
          <w:sz w:val="20"/>
          <w:szCs w:val="20"/>
        </w:rPr>
        <w:t xml:space="preserve"> </w:t>
      </w:r>
      <w:r w:rsidR="008A05BD">
        <w:t xml:space="preserve">.44) </w:t>
      </w:r>
      <w:r w:rsidR="005D617F" w:rsidRPr="008A05BD">
        <w:rPr>
          <w:i/>
          <w:iCs/>
        </w:rPr>
        <w:t>positively</w:t>
      </w:r>
      <w:r w:rsidR="005D617F">
        <w:t xml:space="preserve"> predicted outcome judgements. A post-hoc comparison suggests that these effects were significantly different; </w:t>
      </w:r>
      <w:r w:rsidR="005D617F" w:rsidRPr="005D617F">
        <w:rPr>
          <w:i/>
          <w:iCs/>
        </w:rPr>
        <w:t>B</w:t>
      </w:r>
      <w:r w:rsidR="005D617F">
        <w:t xml:space="preserve"> = -.58, </w:t>
      </w:r>
      <w:r w:rsidR="005D617F" w:rsidRPr="005D617F">
        <w:rPr>
          <w:i/>
          <w:iCs/>
        </w:rPr>
        <w:t>SE</w:t>
      </w:r>
      <w:r w:rsidR="005D617F">
        <w:t xml:space="preserve"> = .14, </w:t>
      </w:r>
      <w:r w:rsidR="005D617F" w:rsidRPr="005D617F">
        <w:rPr>
          <w:i/>
          <w:iCs/>
        </w:rPr>
        <w:t>p</w:t>
      </w:r>
      <w:r w:rsidR="005D617F">
        <w:t xml:space="preserve"> &lt;</w:t>
      </w:r>
      <w:r w:rsidR="008A05BD">
        <w:t xml:space="preserve"> </w:t>
      </w:r>
      <w:r w:rsidR="005D617F">
        <w:t xml:space="preserve">.001. This pattern </w:t>
      </w:r>
      <w:r w:rsidR="008A05BD">
        <w:t xml:space="preserve">of results </w:t>
      </w:r>
      <w:r w:rsidR="005D617F">
        <w:t>w</w:t>
      </w:r>
      <w:r w:rsidR="008A05BD">
        <w:t>as</w:t>
      </w:r>
      <w:r w:rsidR="005D617F">
        <w:t xml:space="preserve"> reversed for </w:t>
      </w:r>
      <w:r w:rsidR="008A05BD">
        <w:t>counterfactual</w:t>
      </w:r>
      <w:r w:rsidR="005D617F">
        <w:t xml:space="preserve"> judgments. That is, </w:t>
      </w:r>
      <w:r w:rsidR="008A05BD">
        <w:t>the vividness of mental simulations for miss trials (</w:t>
      </w:r>
      <w:r w:rsidR="008A05BD" w:rsidRPr="005D617F">
        <w:rPr>
          <w:i/>
          <w:iCs/>
        </w:rPr>
        <w:t>B</w:t>
      </w:r>
      <w:r w:rsidR="008A05BD">
        <w:t xml:space="preserve"> = .39, </w:t>
      </w:r>
      <w:r w:rsidR="008A05BD" w:rsidRPr="005D617F">
        <w:rPr>
          <w:i/>
          <w:iCs/>
        </w:rPr>
        <w:t>SE</w:t>
      </w:r>
      <w:r w:rsidR="008A05BD">
        <w:t xml:space="preserve"> = .12, </w:t>
      </w:r>
      <w:r w:rsidR="008A05BD" w:rsidRPr="005D617F">
        <w:rPr>
          <w:i/>
          <w:iCs/>
        </w:rPr>
        <w:t>CI</w:t>
      </w:r>
      <w:r w:rsidR="008A05BD">
        <w:t xml:space="preserve"> = .16 </w:t>
      </w:r>
      <w:r w:rsidR="008A05BD" w:rsidRPr="00D96982">
        <w:rPr>
          <w:rFonts w:ascii="Arial" w:hAnsi="Arial" w:cs="Arial"/>
          <w:sz w:val="20"/>
          <w:szCs w:val="20"/>
        </w:rPr>
        <w:t>–</w:t>
      </w:r>
      <w:r w:rsidR="008A05BD">
        <w:rPr>
          <w:rFonts w:ascii="Arial" w:hAnsi="Arial" w:cs="Arial"/>
          <w:sz w:val="20"/>
          <w:szCs w:val="20"/>
        </w:rPr>
        <w:t xml:space="preserve"> </w:t>
      </w:r>
      <w:r w:rsidR="008A05BD">
        <w:t>.62) positively predicted counterfactual judgements but vividness for score trials (</w:t>
      </w:r>
      <w:r w:rsidR="008A05BD" w:rsidRPr="005D617F">
        <w:rPr>
          <w:i/>
          <w:iCs/>
        </w:rPr>
        <w:t>B</w:t>
      </w:r>
      <w:r w:rsidR="008A05BD">
        <w:t xml:space="preserve"> = -.34, </w:t>
      </w:r>
      <w:r w:rsidR="008A05BD" w:rsidRPr="005D617F">
        <w:rPr>
          <w:i/>
          <w:iCs/>
        </w:rPr>
        <w:t>SE</w:t>
      </w:r>
      <w:r w:rsidR="008A05BD">
        <w:t xml:space="preserve"> = .11, </w:t>
      </w:r>
      <w:r w:rsidR="008A05BD" w:rsidRPr="005D617F">
        <w:rPr>
          <w:i/>
          <w:iCs/>
        </w:rPr>
        <w:t>CI</w:t>
      </w:r>
      <w:r w:rsidR="008A05BD">
        <w:t xml:space="preserve"> = -.56 </w:t>
      </w:r>
      <w:r w:rsidR="008A05BD" w:rsidRPr="00D96982">
        <w:rPr>
          <w:rFonts w:ascii="Arial" w:hAnsi="Arial" w:cs="Arial"/>
          <w:sz w:val="20"/>
          <w:szCs w:val="20"/>
        </w:rPr>
        <w:t>–</w:t>
      </w:r>
      <w:r w:rsidR="008A05BD">
        <w:rPr>
          <w:rFonts w:ascii="Arial" w:hAnsi="Arial" w:cs="Arial"/>
          <w:sz w:val="20"/>
          <w:szCs w:val="20"/>
        </w:rPr>
        <w:t xml:space="preserve"> </w:t>
      </w:r>
      <w:r w:rsidR="008A05BD">
        <w:t xml:space="preserve">-.12) </w:t>
      </w:r>
      <w:r w:rsidR="008A05BD">
        <w:rPr>
          <w:i/>
          <w:iCs/>
        </w:rPr>
        <w:t>negatively</w:t>
      </w:r>
      <w:r w:rsidR="008A05BD">
        <w:t xml:space="preserve"> predicted counterfactual judgements. A post-hoc comparison suggests that these effects were significantly different; </w:t>
      </w:r>
      <w:r w:rsidR="008A05BD" w:rsidRPr="005D617F">
        <w:rPr>
          <w:i/>
          <w:iCs/>
        </w:rPr>
        <w:t>B</w:t>
      </w:r>
      <w:r w:rsidR="008A05BD">
        <w:t xml:space="preserve"> = .73, </w:t>
      </w:r>
      <w:r w:rsidR="008A05BD" w:rsidRPr="005D617F">
        <w:rPr>
          <w:i/>
          <w:iCs/>
        </w:rPr>
        <w:t>SE</w:t>
      </w:r>
      <w:r w:rsidR="008A05BD">
        <w:t xml:space="preserve"> = .16, </w:t>
      </w:r>
      <w:r w:rsidR="008A05BD" w:rsidRPr="005D617F">
        <w:rPr>
          <w:i/>
          <w:iCs/>
        </w:rPr>
        <w:t>p</w:t>
      </w:r>
      <w:r w:rsidR="008A05BD">
        <w:t xml:space="preserve"> &lt; .001.</w:t>
      </w:r>
    </w:p>
    <w:p w14:paraId="3DE96861" w14:textId="46A48643" w:rsidR="00D96982" w:rsidRPr="007421DC" w:rsidRDefault="00783DA3" w:rsidP="007421DC">
      <w:pPr>
        <w:spacing w:line="360" w:lineRule="auto"/>
        <w:rPr>
          <w:b/>
          <w:bCs/>
          <w:highlight w:val="yellow"/>
        </w:rPr>
        <w:sectPr w:rsidR="00D96982" w:rsidRPr="007421DC">
          <w:pgSz w:w="12240" w:h="15840"/>
          <w:pgMar w:top="1440" w:right="1440" w:bottom="1440" w:left="1440" w:header="720" w:footer="720" w:gutter="0"/>
          <w:pgNumType w:start="1"/>
          <w:cols w:space="720"/>
        </w:sectPr>
      </w:pPr>
      <w:r>
        <w:tab/>
      </w:r>
    </w:p>
    <w:p w14:paraId="15345DBF" w14:textId="5E627975" w:rsidR="00D96982" w:rsidRDefault="00C73643">
      <w:pPr>
        <w:divId w:val="315039535"/>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Pr="00D45ACD">
        <w:rPr>
          <w:i/>
          <w:iCs/>
          <w:highlight w:val="white"/>
        </w:rPr>
        <w:t xml:space="preserve">in the regression models predicting </w:t>
      </w:r>
      <w:r>
        <w:rPr>
          <w:i/>
          <w:iCs/>
        </w:rPr>
        <w:t>event judgements for outcome assessment and counterfactual thinking</w:t>
      </w:r>
    </w:p>
    <w:tbl>
      <w:tblPr>
        <w:tblW w:w="0" w:type="auto"/>
        <w:tblCellMar>
          <w:top w:w="15" w:type="dxa"/>
          <w:left w:w="15" w:type="dxa"/>
          <w:bottom w:w="15" w:type="dxa"/>
          <w:right w:w="15" w:type="dxa"/>
        </w:tblCellMar>
        <w:tblLook w:val="04A0" w:firstRow="1" w:lastRow="0" w:firstColumn="1" w:lastColumn="0" w:noHBand="0" w:noVBand="1"/>
      </w:tblPr>
      <w:tblGrid>
        <w:gridCol w:w="4892"/>
        <w:gridCol w:w="752"/>
        <w:gridCol w:w="1239"/>
        <w:gridCol w:w="807"/>
        <w:gridCol w:w="721"/>
        <w:gridCol w:w="1407"/>
        <w:gridCol w:w="982"/>
      </w:tblGrid>
      <w:tr w:rsidR="00676B9E" w14:paraId="595D4056" w14:textId="77777777">
        <w:trPr>
          <w:divId w:val="61561199"/>
        </w:trPr>
        <w:tc>
          <w:tcPr>
            <w:tcW w:w="0" w:type="auto"/>
            <w:tcBorders>
              <w:top w:val="double" w:sz="6" w:space="0" w:color="auto"/>
            </w:tcBorders>
            <w:tcMar>
              <w:top w:w="113" w:type="dxa"/>
              <w:left w:w="113" w:type="dxa"/>
              <w:bottom w:w="113" w:type="dxa"/>
              <w:right w:w="113" w:type="dxa"/>
            </w:tcMar>
            <w:vAlign w:val="center"/>
            <w:hideMark/>
          </w:tcPr>
          <w:p w14:paraId="7C18CD4A" w14:textId="77777777" w:rsidR="00D96982" w:rsidRPr="006C3889" w:rsidRDefault="00D96982">
            <w:pPr>
              <w:rPr>
                <w:b/>
                <w:bCs/>
                <w:sz w:val="20"/>
                <w:szCs w:val="20"/>
              </w:rPr>
            </w:pPr>
            <w:r w:rsidRPr="006C3889">
              <w:rPr>
                <w:b/>
                <w:bCs/>
                <w:sz w:val="20"/>
                <w:szCs w:val="20"/>
              </w:rPr>
              <w:t> </w:t>
            </w:r>
          </w:p>
        </w:tc>
        <w:tc>
          <w:tcPr>
            <w:tcW w:w="0" w:type="auto"/>
            <w:gridSpan w:val="3"/>
            <w:tcBorders>
              <w:top w:val="double" w:sz="6" w:space="0" w:color="auto"/>
            </w:tcBorders>
            <w:tcMar>
              <w:top w:w="113" w:type="dxa"/>
              <w:left w:w="113" w:type="dxa"/>
              <w:bottom w:w="113" w:type="dxa"/>
              <w:right w:w="113" w:type="dxa"/>
            </w:tcMar>
            <w:vAlign w:val="center"/>
            <w:hideMark/>
          </w:tcPr>
          <w:p w14:paraId="5E889D92" w14:textId="36D9A562" w:rsidR="00D96982" w:rsidRPr="006C3889" w:rsidRDefault="00E560B4">
            <w:pPr>
              <w:jc w:val="center"/>
              <w:rPr>
                <w:b/>
                <w:bCs/>
                <w:sz w:val="20"/>
                <w:szCs w:val="20"/>
              </w:rPr>
            </w:pPr>
            <w:r w:rsidRPr="006C3889">
              <w:rPr>
                <w:b/>
                <w:bCs/>
                <w:sz w:val="20"/>
                <w:szCs w:val="20"/>
              </w:rPr>
              <w:t xml:space="preserve">Model 1: </w:t>
            </w:r>
            <w:r w:rsidR="00D96982" w:rsidRPr="006C3889">
              <w:rPr>
                <w:b/>
                <w:bCs/>
                <w:sz w:val="20"/>
                <w:szCs w:val="20"/>
              </w:rPr>
              <w:t xml:space="preserve">Outcome assessment </w:t>
            </w:r>
          </w:p>
        </w:tc>
        <w:tc>
          <w:tcPr>
            <w:tcW w:w="0" w:type="auto"/>
            <w:gridSpan w:val="3"/>
            <w:tcBorders>
              <w:top w:val="double" w:sz="6" w:space="0" w:color="auto"/>
            </w:tcBorders>
            <w:tcMar>
              <w:top w:w="113" w:type="dxa"/>
              <w:left w:w="113" w:type="dxa"/>
              <w:bottom w:w="113" w:type="dxa"/>
              <w:right w:w="113" w:type="dxa"/>
            </w:tcMar>
            <w:vAlign w:val="center"/>
            <w:hideMark/>
          </w:tcPr>
          <w:p w14:paraId="3A11D676" w14:textId="62AA28AD" w:rsidR="00D96982" w:rsidRPr="006C3889" w:rsidRDefault="00E560B4">
            <w:pPr>
              <w:jc w:val="center"/>
              <w:rPr>
                <w:b/>
                <w:bCs/>
                <w:sz w:val="20"/>
                <w:szCs w:val="20"/>
              </w:rPr>
            </w:pPr>
            <w:r w:rsidRPr="006C3889">
              <w:rPr>
                <w:b/>
                <w:bCs/>
                <w:sz w:val="20"/>
                <w:szCs w:val="20"/>
              </w:rPr>
              <w:t xml:space="preserve">Model 2: </w:t>
            </w:r>
            <w:r w:rsidR="00D96982" w:rsidRPr="006C3889">
              <w:rPr>
                <w:b/>
                <w:bCs/>
                <w:sz w:val="20"/>
                <w:szCs w:val="20"/>
              </w:rPr>
              <w:t xml:space="preserve">Counterfactual thinking </w:t>
            </w:r>
          </w:p>
        </w:tc>
      </w:tr>
      <w:tr w:rsidR="00D96982" w14:paraId="3E71A771" w14:textId="77777777">
        <w:trPr>
          <w:divId w:val="61561199"/>
        </w:trPr>
        <w:tc>
          <w:tcPr>
            <w:tcW w:w="0" w:type="auto"/>
            <w:tcBorders>
              <w:bottom w:val="single" w:sz="6" w:space="0" w:color="auto"/>
            </w:tcBorders>
            <w:vAlign w:val="center"/>
            <w:hideMark/>
          </w:tcPr>
          <w:p w14:paraId="697A0A6B" w14:textId="77777777" w:rsidR="00D96982" w:rsidRPr="006C3889" w:rsidRDefault="00D96982" w:rsidP="00676B9E">
            <w:pPr>
              <w:jc w:val="center"/>
              <w:rPr>
                <w:i/>
                <w:iCs/>
                <w:sz w:val="20"/>
                <w:szCs w:val="20"/>
              </w:rPr>
            </w:pPr>
            <w:r w:rsidRPr="006C3889">
              <w:rPr>
                <w:i/>
                <w:iCs/>
                <w:sz w:val="20"/>
                <w:szCs w:val="20"/>
              </w:rPr>
              <w:t>Predictors</w:t>
            </w:r>
          </w:p>
        </w:tc>
        <w:tc>
          <w:tcPr>
            <w:tcW w:w="0" w:type="auto"/>
            <w:tcBorders>
              <w:bottom w:val="single" w:sz="6" w:space="0" w:color="auto"/>
            </w:tcBorders>
            <w:vAlign w:val="center"/>
            <w:hideMark/>
          </w:tcPr>
          <w:p w14:paraId="09EE8949" w14:textId="4DB2E284" w:rsidR="00D96982" w:rsidRPr="006C3889" w:rsidRDefault="00D96982" w:rsidP="00676B9E">
            <w:pPr>
              <w:jc w:val="center"/>
              <w:rPr>
                <w:i/>
                <w:iCs/>
                <w:sz w:val="20"/>
                <w:szCs w:val="20"/>
              </w:rPr>
            </w:pPr>
            <w:r w:rsidRPr="006C3889">
              <w:rPr>
                <w:i/>
                <w:iCs/>
                <w:sz w:val="20"/>
                <w:szCs w:val="20"/>
              </w:rPr>
              <w:t>B</w:t>
            </w:r>
          </w:p>
        </w:tc>
        <w:tc>
          <w:tcPr>
            <w:tcW w:w="0" w:type="auto"/>
            <w:tcBorders>
              <w:bottom w:val="single" w:sz="6" w:space="0" w:color="auto"/>
            </w:tcBorders>
            <w:vAlign w:val="center"/>
            <w:hideMark/>
          </w:tcPr>
          <w:p w14:paraId="1F1563E7" w14:textId="32F5EEEB" w:rsidR="00D96982" w:rsidRPr="006C3889" w:rsidRDefault="00D96982" w:rsidP="00676B9E">
            <w:pPr>
              <w:jc w:val="center"/>
              <w:rPr>
                <w:i/>
                <w:iCs/>
                <w:sz w:val="20"/>
                <w:szCs w:val="20"/>
              </w:rPr>
            </w:pPr>
            <w:r w:rsidRPr="006C3889">
              <w:rPr>
                <w:i/>
                <w:iCs/>
                <w:sz w:val="20"/>
                <w:szCs w:val="20"/>
              </w:rPr>
              <w:t>95% CI</w:t>
            </w:r>
          </w:p>
        </w:tc>
        <w:tc>
          <w:tcPr>
            <w:tcW w:w="0" w:type="auto"/>
            <w:tcBorders>
              <w:bottom w:val="single" w:sz="6" w:space="0" w:color="auto"/>
            </w:tcBorders>
            <w:vAlign w:val="center"/>
            <w:hideMark/>
          </w:tcPr>
          <w:p w14:paraId="12A6591B" w14:textId="77777777" w:rsidR="00D96982" w:rsidRPr="006C3889" w:rsidRDefault="00D96982" w:rsidP="00676B9E">
            <w:pPr>
              <w:jc w:val="center"/>
              <w:rPr>
                <w:i/>
                <w:iCs/>
                <w:sz w:val="20"/>
                <w:szCs w:val="20"/>
              </w:rPr>
            </w:pPr>
            <w:r w:rsidRPr="006C3889">
              <w:rPr>
                <w:i/>
                <w:iCs/>
                <w:sz w:val="20"/>
                <w:szCs w:val="20"/>
              </w:rPr>
              <w:t>p</w:t>
            </w:r>
          </w:p>
        </w:tc>
        <w:tc>
          <w:tcPr>
            <w:tcW w:w="0" w:type="auto"/>
            <w:tcBorders>
              <w:bottom w:val="single" w:sz="6" w:space="0" w:color="auto"/>
            </w:tcBorders>
            <w:vAlign w:val="center"/>
            <w:hideMark/>
          </w:tcPr>
          <w:p w14:paraId="12B51F87" w14:textId="7F2D816C" w:rsidR="00D96982" w:rsidRPr="006C3889" w:rsidRDefault="00D96982" w:rsidP="00676B9E">
            <w:pPr>
              <w:jc w:val="center"/>
              <w:rPr>
                <w:i/>
                <w:iCs/>
                <w:sz w:val="20"/>
                <w:szCs w:val="20"/>
              </w:rPr>
            </w:pPr>
            <w:r w:rsidRPr="006C3889">
              <w:rPr>
                <w:i/>
                <w:iCs/>
                <w:sz w:val="20"/>
                <w:szCs w:val="20"/>
              </w:rPr>
              <w:t>B</w:t>
            </w:r>
          </w:p>
        </w:tc>
        <w:tc>
          <w:tcPr>
            <w:tcW w:w="0" w:type="auto"/>
            <w:tcBorders>
              <w:bottom w:val="single" w:sz="6" w:space="0" w:color="auto"/>
            </w:tcBorders>
            <w:vAlign w:val="center"/>
            <w:hideMark/>
          </w:tcPr>
          <w:p w14:paraId="498732CB" w14:textId="1261A242" w:rsidR="00D96982" w:rsidRPr="006C3889" w:rsidRDefault="00D96982" w:rsidP="00676B9E">
            <w:pPr>
              <w:jc w:val="center"/>
              <w:rPr>
                <w:i/>
                <w:iCs/>
                <w:sz w:val="20"/>
                <w:szCs w:val="20"/>
              </w:rPr>
            </w:pPr>
            <w:r w:rsidRPr="006C3889">
              <w:rPr>
                <w:i/>
                <w:iCs/>
                <w:sz w:val="20"/>
                <w:szCs w:val="20"/>
              </w:rPr>
              <w:t>95% CI</w:t>
            </w:r>
          </w:p>
        </w:tc>
        <w:tc>
          <w:tcPr>
            <w:tcW w:w="0" w:type="auto"/>
            <w:tcBorders>
              <w:bottom w:val="single" w:sz="6" w:space="0" w:color="auto"/>
            </w:tcBorders>
            <w:vAlign w:val="center"/>
            <w:hideMark/>
          </w:tcPr>
          <w:p w14:paraId="62B46ACA" w14:textId="77777777" w:rsidR="00D96982" w:rsidRPr="006C3889" w:rsidRDefault="00D96982" w:rsidP="00676B9E">
            <w:pPr>
              <w:jc w:val="center"/>
              <w:rPr>
                <w:i/>
                <w:iCs/>
                <w:sz w:val="20"/>
                <w:szCs w:val="20"/>
              </w:rPr>
            </w:pPr>
            <w:r w:rsidRPr="006C3889">
              <w:rPr>
                <w:i/>
                <w:iCs/>
                <w:sz w:val="20"/>
                <w:szCs w:val="20"/>
              </w:rPr>
              <w:t>p</w:t>
            </w:r>
          </w:p>
        </w:tc>
      </w:tr>
      <w:tr w:rsidR="00D96982" w14:paraId="741162E5" w14:textId="77777777">
        <w:trPr>
          <w:divId w:val="61561199"/>
        </w:trPr>
        <w:tc>
          <w:tcPr>
            <w:tcW w:w="0" w:type="auto"/>
            <w:tcMar>
              <w:top w:w="113" w:type="dxa"/>
              <w:left w:w="113" w:type="dxa"/>
              <w:bottom w:w="113" w:type="dxa"/>
              <w:right w:w="113" w:type="dxa"/>
            </w:tcMar>
            <w:hideMark/>
          </w:tcPr>
          <w:p w14:paraId="29316EA6" w14:textId="77777777" w:rsidR="00D96982" w:rsidRPr="006C3889" w:rsidRDefault="00D96982">
            <w:pPr>
              <w:rPr>
                <w:sz w:val="20"/>
                <w:szCs w:val="20"/>
              </w:rPr>
            </w:pPr>
            <w:r w:rsidRPr="006C3889">
              <w:rPr>
                <w:sz w:val="20"/>
                <w:szCs w:val="20"/>
              </w:rPr>
              <w:t>(Intercept)</w:t>
            </w:r>
          </w:p>
        </w:tc>
        <w:tc>
          <w:tcPr>
            <w:tcW w:w="0" w:type="auto"/>
            <w:tcMar>
              <w:top w:w="113" w:type="dxa"/>
              <w:left w:w="113" w:type="dxa"/>
              <w:bottom w:w="113" w:type="dxa"/>
              <w:right w:w="113" w:type="dxa"/>
            </w:tcMar>
            <w:hideMark/>
          </w:tcPr>
          <w:p w14:paraId="686E8C8D" w14:textId="7E76F041" w:rsidR="00D96982" w:rsidRPr="006C3889" w:rsidRDefault="00D96982" w:rsidP="00D96982">
            <w:pPr>
              <w:jc w:val="center"/>
              <w:rPr>
                <w:b/>
                <w:bCs/>
                <w:sz w:val="20"/>
                <w:szCs w:val="20"/>
              </w:rPr>
            </w:pPr>
            <w:r w:rsidRPr="006C3889">
              <w:rPr>
                <w:b/>
                <w:bCs/>
                <w:sz w:val="20"/>
                <w:szCs w:val="20"/>
              </w:rPr>
              <w:t>.48</w:t>
            </w:r>
          </w:p>
        </w:tc>
        <w:tc>
          <w:tcPr>
            <w:tcW w:w="0" w:type="auto"/>
            <w:tcMar>
              <w:top w:w="113" w:type="dxa"/>
              <w:left w:w="113" w:type="dxa"/>
              <w:bottom w:w="113" w:type="dxa"/>
              <w:right w:w="113" w:type="dxa"/>
            </w:tcMar>
            <w:hideMark/>
          </w:tcPr>
          <w:p w14:paraId="7412EA8A" w14:textId="2EF410B7" w:rsidR="00D96982" w:rsidRPr="006C3889" w:rsidRDefault="00D96982">
            <w:pPr>
              <w:jc w:val="center"/>
              <w:rPr>
                <w:b/>
                <w:bCs/>
                <w:sz w:val="20"/>
                <w:szCs w:val="20"/>
              </w:rPr>
            </w:pPr>
            <w:r w:rsidRPr="006C3889">
              <w:rPr>
                <w:b/>
                <w:bCs/>
                <w:sz w:val="20"/>
                <w:szCs w:val="20"/>
              </w:rPr>
              <w:t>.26 – .70</w:t>
            </w:r>
          </w:p>
        </w:tc>
        <w:tc>
          <w:tcPr>
            <w:tcW w:w="0" w:type="auto"/>
            <w:tcMar>
              <w:top w:w="113" w:type="dxa"/>
              <w:left w:w="113" w:type="dxa"/>
              <w:bottom w:w="113" w:type="dxa"/>
              <w:right w:w="113" w:type="dxa"/>
            </w:tcMar>
            <w:hideMark/>
          </w:tcPr>
          <w:p w14:paraId="14BCB0DD" w14:textId="1CEF329E" w:rsidR="00D96982" w:rsidRPr="006C3889" w:rsidRDefault="00D96982">
            <w:pPr>
              <w:jc w:val="center"/>
              <w:rPr>
                <w:b/>
                <w:bCs/>
                <w:sz w:val="20"/>
                <w:szCs w:val="20"/>
              </w:rPr>
            </w:pPr>
            <w:r w:rsidRPr="006C3889">
              <w:rPr>
                <w:rStyle w:val="Strong"/>
                <w:sz w:val="20"/>
                <w:szCs w:val="20"/>
              </w:rPr>
              <w:t>&lt;.001</w:t>
            </w:r>
          </w:p>
        </w:tc>
        <w:tc>
          <w:tcPr>
            <w:tcW w:w="0" w:type="auto"/>
            <w:tcMar>
              <w:top w:w="113" w:type="dxa"/>
              <w:left w:w="113" w:type="dxa"/>
              <w:bottom w:w="113" w:type="dxa"/>
              <w:right w:w="113" w:type="dxa"/>
            </w:tcMar>
            <w:hideMark/>
          </w:tcPr>
          <w:p w14:paraId="25D9C429" w14:textId="17E17FC0" w:rsidR="00D96982" w:rsidRPr="006C3889" w:rsidRDefault="00D96982">
            <w:pPr>
              <w:jc w:val="center"/>
              <w:rPr>
                <w:b/>
                <w:bCs/>
                <w:sz w:val="20"/>
                <w:szCs w:val="20"/>
              </w:rPr>
            </w:pPr>
            <w:r w:rsidRPr="006C3889">
              <w:rPr>
                <w:b/>
                <w:bCs/>
                <w:sz w:val="20"/>
                <w:szCs w:val="20"/>
              </w:rPr>
              <w:t>.53</w:t>
            </w:r>
          </w:p>
        </w:tc>
        <w:tc>
          <w:tcPr>
            <w:tcW w:w="0" w:type="auto"/>
            <w:tcMar>
              <w:top w:w="113" w:type="dxa"/>
              <w:left w:w="113" w:type="dxa"/>
              <w:bottom w:w="113" w:type="dxa"/>
              <w:right w:w="113" w:type="dxa"/>
            </w:tcMar>
            <w:hideMark/>
          </w:tcPr>
          <w:p w14:paraId="2E472360" w14:textId="229C8341" w:rsidR="00D96982" w:rsidRPr="006C3889" w:rsidRDefault="00D96982">
            <w:pPr>
              <w:jc w:val="center"/>
              <w:rPr>
                <w:b/>
                <w:bCs/>
                <w:sz w:val="20"/>
                <w:szCs w:val="20"/>
              </w:rPr>
            </w:pPr>
            <w:r w:rsidRPr="006C3889">
              <w:rPr>
                <w:b/>
                <w:bCs/>
                <w:sz w:val="20"/>
                <w:szCs w:val="20"/>
              </w:rPr>
              <w:t>.28 – .7</w:t>
            </w:r>
            <w:r w:rsidR="00676B9E" w:rsidRPr="006C3889">
              <w:rPr>
                <w:b/>
                <w:bCs/>
                <w:sz w:val="20"/>
                <w:szCs w:val="20"/>
              </w:rPr>
              <w:t>9</w:t>
            </w:r>
          </w:p>
        </w:tc>
        <w:tc>
          <w:tcPr>
            <w:tcW w:w="0" w:type="auto"/>
            <w:tcMar>
              <w:top w:w="113" w:type="dxa"/>
              <w:left w:w="113" w:type="dxa"/>
              <w:bottom w:w="113" w:type="dxa"/>
              <w:right w:w="113" w:type="dxa"/>
            </w:tcMar>
            <w:hideMark/>
          </w:tcPr>
          <w:p w14:paraId="7A24E27A" w14:textId="2FB3DEF6" w:rsidR="00D96982" w:rsidRPr="006C3889" w:rsidRDefault="00D96982">
            <w:pPr>
              <w:jc w:val="center"/>
              <w:rPr>
                <w:sz w:val="20"/>
                <w:szCs w:val="20"/>
              </w:rPr>
            </w:pPr>
            <w:r w:rsidRPr="006C3889">
              <w:rPr>
                <w:rStyle w:val="Strong"/>
                <w:sz w:val="20"/>
                <w:szCs w:val="20"/>
              </w:rPr>
              <w:t>&lt;</w:t>
            </w:r>
            <w:r w:rsidR="00676B9E" w:rsidRPr="006C3889">
              <w:rPr>
                <w:rStyle w:val="Strong"/>
                <w:sz w:val="20"/>
                <w:szCs w:val="20"/>
              </w:rPr>
              <w:t xml:space="preserve"> </w:t>
            </w:r>
            <w:r w:rsidRPr="006C3889">
              <w:rPr>
                <w:rStyle w:val="Strong"/>
                <w:sz w:val="20"/>
                <w:szCs w:val="20"/>
              </w:rPr>
              <w:t>.001</w:t>
            </w:r>
          </w:p>
        </w:tc>
      </w:tr>
      <w:tr w:rsidR="00D96982" w14:paraId="07961639" w14:textId="77777777">
        <w:trPr>
          <w:divId w:val="61561199"/>
        </w:trPr>
        <w:tc>
          <w:tcPr>
            <w:tcW w:w="0" w:type="auto"/>
            <w:tcMar>
              <w:top w:w="113" w:type="dxa"/>
              <w:left w:w="113" w:type="dxa"/>
              <w:bottom w:w="113" w:type="dxa"/>
              <w:right w:w="113" w:type="dxa"/>
            </w:tcMar>
            <w:hideMark/>
          </w:tcPr>
          <w:p w14:paraId="5A0BDFB4" w14:textId="1001DDA1" w:rsidR="00D96982" w:rsidRPr="006C3889" w:rsidRDefault="00676B9E">
            <w:pPr>
              <w:rPr>
                <w:sz w:val="20"/>
                <w:szCs w:val="20"/>
              </w:rPr>
            </w:pPr>
            <w:r w:rsidRPr="006C3889">
              <w:rPr>
                <w:sz w:val="20"/>
                <w:szCs w:val="20"/>
              </w:rPr>
              <w:t>O</w:t>
            </w:r>
            <w:r w:rsidR="00D96982" w:rsidRPr="006C3889">
              <w:rPr>
                <w:sz w:val="20"/>
                <w:szCs w:val="20"/>
              </w:rPr>
              <w:t>utcome [</w:t>
            </w:r>
            <w:r w:rsidRPr="006C3889">
              <w:rPr>
                <w:sz w:val="20"/>
                <w:szCs w:val="20"/>
              </w:rPr>
              <w:t>score</w:t>
            </w:r>
            <w:r w:rsidR="00D96982" w:rsidRPr="006C3889">
              <w:rPr>
                <w:sz w:val="20"/>
                <w:szCs w:val="20"/>
              </w:rPr>
              <w:t>]</w:t>
            </w:r>
          </w:p>
        </w:tc>
        <w:tc>
          <w:tcPr>
            <w:tcW w:w="0" w:type="auto"/>
            <w:tcMar>
              <w:top w:w="113" w:type="dxa"/>
              <w:left w:w="113" w:type="dxa"/>
              <w:bottom w:w="113" w:type="dxa"/>
              <w:right w:w="113" w:type="dxa"/>
            </w:tcMar>
            <w:hideMark/>
          </w:tcPr>
          <w:p w14:paraId="1491E79E" w14:textId="1ED5785B" w:rsidR="00D96982" w:rsidRPr="006C3889" w:rsidRDefault="00D96982">
            <w:pPr>
              <w:jc w:val="center"/>
              <w:rPr>
                <w:sz w:val="20"/>
                <w:szCs w:val="20"/>
              </w:rPr>
            </w:pPr>
            <w:r w:rsidRPr="006C3889">
              <w:rPr>
                <w:sz w:val="20"/>
                <w:szCs w:val="20"/>
              </w:rPr>
              <w:t>.26</w:t>
            </w:r>
          </w:p>
        </w:tc>
        <w:tc>
          <w:tcPr>
            <w:tcW w:w="0" w:type="auto"/>
            <w:tcMar>
              <w:top w:w="113" w:type="dxa"/>
              <w:left w:w="113" w:type="dxa"/>
              <w:bottom w:w="113" w:type="dxa"/>
              <w:right w:w="113" w:type="dxa"/>
            </w:tcMar>
            <w:hideMark/>
          </w:tcPr>
          <w:p w14:paraId="3C6F491A" w14:textId="7E5BA5A9" w:rsidR="00D96982" w:rsidRPr="006C3889" w:rsidRDefault="00D96982">
            <w:pPr>
              <w:jc w:val="center"/>
              <w:rPr>
                <w:sz w:val="20"/>
                <w:szCs w:val="20"/>
              </w:rPr>
            </w:pPr>
            <w:r w:rsidRPr="006C3889">
              <w:rPr>
                <w:sz w:val="20"/>
                <w:szCs w:val="20"/>
              </w:rPr>
              <w:t>-.06 – .58</w:t>
            </w:r>
          </w:p>
        </w:tc>
        <w:tc>
          <w:tcPr>
            <w:tcW w:w="0" w:type="auto"/>
            <w:tcMar>
              <w:top w:w="113" w:type="dxa"/>
              <w:left w:w="113" w:type="dxa"/>
              <w:bottom w:w="113" w:type="dxa"/>
              <w:right w:w="113" w:type="dxa"/>
            </w:tcMar>
            <w:hideMark/>
          </w:tcPr>
          <w:p w14:paraId="145446D6" w14:textId="1F75925F" w:rsidR="00D96982" w:rsidRPr="006C3889" w:rsidRDefault="00D96982">
            <w:pPr>
              <w:jc w:val="center"/>
              <w:rPr>
                <w:sz w:val="20"/>
                <w:szCs w:val="20"/>
              </w:rPr>
            </w:pPr>
            <w:r w:rsidRPr="006C3889">
              <w:rPr>
                <w:sz w:val="20"/>
                <w:szCs w:val="20"/>
              </w:rPr>
              <w:t>.105</w:t>
            </w:r>
          </w:p>
        </w:tc>
        <w:tc>
          <w:tcPr>
            <w:tcW w:w="0" w:type="auto"/>
            <w:tcMar>
              <w:top w:w="113" w:type="dxa"/>
              <w:left w:w="113" w:type="dxa"/>
              <w:bottom w:w="113" w:type="dxa"/>
              <w:right w:w="113" w:type="dxa"/>
            </w:tcMar>
            <w:hideMark/>
          </w:tcPr>
          <w:p w14:paraId="002E31CC" w14:textId="2A0EE12F" w:rsidR="00D96982" w:rsidRPr="006C3889" w:rsidRDefault="00D96982">
            <w:pPr>
              <w:jc w:val="center"/>
              <w:rPr>
                <w:sz w:val="20"/>
                <w:szCs w:val="20"/>
              </w:rPr>
            </w:pPr>
            <w:r w:rsidRPr="006C3889">
              <w:rPr>
                <w:sz w:val="20"/>
                <w:szCs w:val="20"/>
              </w:rPr>
              <w:t>-.0</w:t>
            </w:r>
            <w:r w:rsidR="00676B9E" w:rsidRPr="006C3889">
              <w:rPr>
                <w:sz w:val="20"/>
                <w:szCs w:val="20"/>
              </w:rPr>
              <w:t>8</w:t>
            </w:r>
          </w:p>
        </w:tc>
        <w:tc>
          <w:tcPr>
            <w:tcW w:w="0" w:type="auto"/>
            <w:tcMar>
              <w:top w:w="113" w:type="dxa"/>
              <w:left w:w="113" w:type="dxa"/>
              <w:bottom w:w="113" w:type="dxa"/>
              <w:right w:w="113" w:type="dxa"/>
            </w:tcMar>
            <w:hideMark/>
          </w:tcPr>
          <w:p w14:paraId="07391F7A" w14:textId="0488C759" w:rsidR="00D96982" w:rsidRPr="006C3889" w:rsidRDefault="00D96982">
            <w:pPr>
              <w:jc w:val="center"/>
              <w:rPr>
                <w:sz w:val="20"/>
                <w:szCs w:val="20"/>
              </w:rPr>
            </w:pPr>
            <w:r w:rsidRPr="006C3889">
              <w:rPr>
                <w:sz w:val="20"/>
                <w:szCs w:val="20"/>
              </w:rPr>
              <w:t>-.4</w:t>
            </w:r>
            <w:r w:rsidR="00676B9E" w:rsidRPr="006C3889">
              <w:rPr>
                <w:sz w:val="20"/>
                <w:szCs w:val="20"/>
              </w:rPr>
              <w:t>3</w:t>
            </w:r>
            <w:r w:rsidRPr="006C3889">
              <w:rPr>
                <w:sz w:val="20"/>
                <w:szCs w:val="20"/>
              </w:rPr>
              <w:t> – .26</w:t>
            </w:r>
          </w:p>
        </w:tc>
        <w:tc>
          <w:tcPr>
            <w:tcW w:w="0" w:type="auto"/>
            <w:tcMar>
              <w:top w:w="113" w:type="dxa"/>
              <w:left w:w="113" w:type="dxa"/>
              <w:bottom w:w="113" w:type="dxa"/>
              <w:right w:w="113" w:type="dxa"/>
            </w:tcMar>
            <w:hideMark/>
          </w:tcPr>
          <w:p w14:paraId="35793FEC" w14:textId="415D0093" w:rsidR="00D96982" w:rsidRPr="006C3889" w:rsidRDefault="00D96982">
            <w:pPr>
              <w:jc w:val="center"/>
              <w:rPr>
                <w:sz w:val="20"/>
                <w:szCs w:val="20"/>
              </w:rPr>
            </w:pPr>
            <w:r w:rsidRPr="006C3889">
              <w:rPr>
                <w:sz w:val="20"/>
                <w:szCs w:val="20"/>
              </w:rPr>
              <w:t>.640</w:t>
            </w:r>
          </w:p>
        </w:tc>
      </w:tr>
      <w:tr w:rsidR="00D96982" w14:paraId="4FBAF507" w14:textId="77777777">
        <w:trPr>
          <w:divId w:val="61561199"/>
        </w:trPr>
        <w:tc>
          <w:tcPr>
            <w:tcW w:w="0" w:type="auto"/>
            <w:tcMar>
              <w:top w:w="113" w:type="dxa"/>
              <w:left w:w="113" w:type="dxa"/>
              <w:bottom w:w="113" w:type="dxa"/>
              <w:right w:w="113" w:type="dxa"/>
            </w:tcMar>
            <w:hideMark/>
          </w:tcPr>
          <w:p w14:paraId="23DF3691" w14:textId="23296DD9" w:rsidR="00D96982" w:rsidRPr="006C3889" w:rsidRDefault="00676B9E">
            <w:pPr>
              <w:rPr>
                <w:sz w:val="20"/>
                <w:szCs w:val="20"/>
              </w:rPr>
            </w:pPr>
            <w:r w:rsidRPr="006C3889">
              <w:rPr>
                <w:sz w:val="20"/>
                <w:szCs w:val="20"/>
              </w:rPr>
              <w:t>Perspective</w:t>
            </w:r>
            <w:r w:rsidR="00D96982" w:rsidRPr="006C3889">
              <w:rPr>
                <w:sz w:val="20"/>
                <w:szCs w:val="20"/>
              </w:rPr>
              <w:t xml:space="preserve"> [</w:t>
            </w:r>
            <w:r w:rsidRPr="006C3889">
              <w:rPr>
                <w:sz w:val="20"/>
                <w:szCs w:val="20"/>
              </w:rPr>
              <w:t>impersonal</w:t>
            </w:r>
            <w:r w:rsidR="00D96982" w:rsidRPr="006C3889">
              <w:rPr>
                <w:sz w:val="20"/>
                <w:szCs w:val="20"/>
              </w:rPr>
              <w:t>]</w:t>
            </w:r>
          </w:p>
        </w:tc>
        <w:tc>
          <w:tcPr>
            <w:tcW w:w="0" w:type="auto"/>
            <w:tcMar>
              <w:top w:w="113" w:type="dxa"/>
              <w:left w:w="113" w:type="dxa"/>
              <w:bottom w:w="113" w:type="dxa"/>
              <w:right w:w="113" w:type="dxa"/>
            </w:tcMar>
            <w:hideMark/>
          </w:tcPr>
          <w:p w14:paraId="453D1272" w14:textId="3B9A0598" w:rsidR="00D96982" w:rsidRPr="006C3889" w:rsidRDefault="00D96982">
            <w:pPr>
              <w:jc w:val="center"/>
              <w:rPr>
                <w:sz w:val="20"/>
                <w:szCs w:val="20"/>
              </w:rPr>
            </w:pPr>
            <w:r w:rsidRPr="006C3889">
              <w:rPr>
                <w:sz w:val="20"/>
                <w:szCs w:val="20"/>
              </w:rPr>
              <w:t>.14</w:t>
            </w:r>
          </w:p>
        </w:tc>
        <w:tc>
          <w:tcPr>
            <w:tcW w:w="0" w:type="auto"/>
            <w:tcMar>
              <w:top w:w="113" w:type="dxa"/>
              <w:left w:w="113" w:type="dxa"/>
              <w:bottom w:w="113" w:type="dxa"/>
              <w:right w:w="113" w:type="dxa"/>
            </w:tcMar>
            <w:hideMark/>
          </w:tcPr>
          <w:p w14:paraId="52F97AFA" w14:textId="7C30FCB5" w:rsidR="00D96982" w:rsidRPr="006C3889" w:rsidRDefault="00D96982">
            <w:pPr>
              <w:jc w:val="center"/>
              <w:rPr>
                <w:sz w:val="20"/>
                <w:szCs w:val="20"/>
              </w:rPr>
            </w:pPr>
            <w:r w:rsidRPr="006C3889">
              <w:rPr>
                <w:sz w:val="20"/>
                <w:szCs w:val="20"/>
              </w:rPr>
              <w:t>-.18 – .46</w:t>
            </w:r>
          </w:p>
        </w:tc>
        <w:tc>
          <w:tcPr>
            <w:tcW w:w="0" w:type="auto"/>
            <w:tcMar>
              <w:top w:w="113" w:type="dxa"/>
              <w:left w:w="113" w:type="dxa"/>
              <w:bottom w:w="113" w:type="dxa"/>
              <w:right w:w="113" w:type="dxa"/>
            </w:tcMar>
            <w:hideMark/>
          </w:tcPr>
          <w:p w14:paraId="47EFA14F" w14:textId="7C7CF81C" w:rsidR="00D96982" w:rsidRPr="006C3889" w:rsidRDefault="00D96982">
            <w:pPr>
              <w:jc w:val="center"/>
              <w:rPr>
                <w:sz w:val="20"/>
                <w:szCs w:val="20"/>
              </w:rPr>
            </w:pPr>
            <w:r w:rsidRPr="006C3889">
              <w:rPr>
                <w:sz w:val="20"/>
                <w:szCs w:val="20"/>
              </w:rPr>
              <w:t>.400</w:t>
            </w:r>
          </w:p>
        </w:tc>
        <w:tc>
          <w:tcPr>
            <w:tcW w:w="0" w:type="auto"/>
            <w:tcMar>
              <w:top w:w="113" w:type="dxa"/>
              <w:left w:w="113" w:type="dxa"/>
              <w:bottom w:w="113" w:type="dxa"/>
              <w:right w:w="113" w:type="dxa"/>
            </w:tcMar>
            <w:hideMark/>
          </w:tcPr>
          <w:p w14:paraId="4F0C4165" w14:textId="30023F4E" w:rsidR="00D96982" w:rsidRPr="006C3889" w:rsidRDefault="00D96982">
            <w:pPr>
              <w:jc w:val="center"/>
              <w:rPr>
                <w:sz w:val="20"/>
                <w:szCs w:val="20"/>
              </w:rPr>
            </w:pPr>
            <w:r w:rsidRPr="006C3889">
              <w:rPr>
                <w:sz w:val="20"/>
                <w:szCs w:val="20"/>
              </w:rPr>
              <w:t>-.00</w:t>
            </w:r>
          </w:p>
        </w:tc>
        <w:tc>
          <w:tcPr>
            <w:tcW w:w="0" w:type="auto"/>
            <w:tcMar>
              <w:top w:w="113" w:type="dxa"/>
              <w:left w:w="113" w:type="dxa"/>
              <w:bottom w:w="113" w:type="dxa"/>
              <w:right w:w="113" w:type="dxa"/>
            </w:tcMar>
            <w:hideMark/>
          </w:tcPr>
          <w:p w14:paraId="24359689" w14:textId="44A18C1B" w:rsidR="00D96982" w:rsidRPr="006C3889" w:rsidRDefault="00D96982">
            <w:pPr>
              <w:jc w:val="center"/>
              <w:rPr>
                <w:sz w:val="20"/>
                <w:szCs w:val="20"/>
              </w:rPr>
            </w:pPr>
            <w:r w:rsidRPr="006C3889">
              <w:rPr>
                <w:sz w:val="20"/>
                <w:szCs w:val="20"/>
              </w:rPr>
              <w:t>-.3</w:t>
            </w:r>
            <w:r w:rsidR="00676B9E" w:rsidRPr="006C3889">
              <w:rPr>
                <w:sz w:val="20"/>
                <w:szCs w:val="20"/>
              </w:rPr>
              <w:t>9</w:t>
            </w:r>
            <w:r w:rsidRPr="006C3889">
              <w:rPr>
                <w:sz w:val="20"/>
                <w:szCs w:val="20"/>
              </w:rPr>
              <w:t> – .3</w:t>
            </w:r>
            <w:r w:rsidR="00676B9E" w:rsidRPr="006C3889">
              <w:rPr>
                <w:sz w:val="20"/>
                <w:szCs w:val="20"/>
              </w:rPr>
              <w:t>8</w:t>
            </w:r>
          </w:p>
        </w:tc>
        <w:tc>
          <w:tcPr>
            <w:tcW w:w="0" w:type="auto"/>
            <w:tcMar>
              <w:top w:w="113" w:type="dxa"/>
              <w:left w:w="113" w:type="dxa"/>
              <w:bottom w:w="113" w:type="dxa"/>
              <w:right w:w="113" w:type="dxa"/>
            </w:tcMar>
            <w:hideMark/>
          </w:tcPr>
          <w:p w14:paraId="36DCCD41" w14:textId="27EBDD32" w:rsidR="00D96982" w:rsidRPr="006C3889" w:rsidRDefault="00D96982">
            <w:pPr>
              <w:jc w:val="center"/>
              <w:rPr>
                <w:sz w:val="20"/>
                <w:szCs w:val="20"/>
              </w:rPr>
            </w:pPr>
            <w:r w:rsidRPr="006C3889">
              <w:rPr>
                <w:sz w:val="20"/>
                <w:szCs w:val="20"/>
              </w:rPr>
              <w:t>.982</w:t>
            </w:r>
          </w:p>
        </w:tc>
      </w:tr>
      <w:tr w:rsidR="00D96982" w14:paraId="6557221C" w14:textId="77777777">
        <w:trPr>
          <w:divId w:val="61561199"/>
        </w:trPr>
        <w:tc>
          <w:tcPr>
            <w:tcW w:w="0" w:type="auto"/>
            <w:tcMar>
              <w:top w:w="113" w:type="dxa"/>
              <w:left w:w="113" w:type="dxa"/>
              <w:bottom w:w="113" w:type="dxa"/>
              <w:right w:w="113" w:type="dxa"/>
            </w:tcMar>
            <w:hideMark/>
          </w:tcPr>
          <w:p w14:paraId="5256F325" w14:textId="36CC9EBD" w:rsidR="00D96982" w:rsidRPr="006C3889" w:rsidRDefault="00676B9E">
            <w:pPr>
              <w:rPr>
                <w:sz w:val="20"/>
                <w:szCs w:val="20"/>
              </w:rPr>
            </w:pPr>
            <w:r w:rsidRPr="006C3889">
              <w:rPr>
                <w:sz w:val="20"/>
                <w:szCs w:val="20"/>
              </w:rPr>
              <w:t>V</w:t>
            </w:r>
            <w:r w:rsidR="00D96982" w:rsidRPr="006C3889">
              <w:rPr>
                <w:sz w:val="20"/>
                <w:szCs w:val="20"/>
              </w:rPr>
              <w:t>ividness</w:t>
            </w:r>
          </w:p>
        </w:tc>
        <w:tc>
          <w:tcPr>
            <w:tcW w:w="0" w:type="auto"/>
            <w:tcMar>
              <w:top w:w="113" w:type="dxa"/>
              <w:left w:w="113" w:type="dxa"/>
              <w:bottom w:w="113" w:type="dxa"/>
              <w:right w:w="113" w:type="dxa"/>
            </w:tcMar>
            <w:hideMark/>
          </w:tcPr>
          <w:p w14:paraId="6CBAB7F8" w14:textId="4AF37A9A" w:rsidR="00D96982" w:rsidRPr="006C3889" w:rsidRDefault="00D96982">
            <w:pPr>
              <w:jc w:val="center"/>
              <w:rPr>
                <w:b/>
                <w:bCs/>
                <w:sz w:val="20"/>
                <w:szCs w:val="20"/>
              </w:rPr>
            </w:pPr>
            <w:r w:rsidRPr="006C3889">
              <w:rPr>
                <w:b/>
                <w:bCs/>
                <w:sz w:val="20"/>
                <w:szCs w:val="20"/>
              </w:rPr>
              <w:t>-.26</w:t>
            </w:r>
          </w:p>
        </w:tc>
        <w:tc>
          <w:tcPr>
            <w:tcW w:w="0" w:type="auto"/>
            <w:tcMar>
              <w:top w:w="113" w:type="dxa"/>
              <w:left w:w="113" w:type="dxa"/>
              <w:bottom w:w="113" w:type="dxa"/>
              <w:right w:w="113" w:type="dxa"/>
            </w:tcMar>
            <w:hideMark/>
          </w:tcPr>
          <w:p w14:paraId="523083A7" w14:textId="0BC769C2" w:rsidR="00D96982" w:rsidRPr="006C3889" w:rsidRDefault="00D96982">
            <w:pPr>
              <w:jc w:val="center"/>
              <w:rPr>
                <w:b/>
                <w:bCs/>
                <w:sz w:val="20"/>
                <w:szCs w:val="20"/>
              </w:rPr>
            </w:pPr>
            <w:r w:rsidRPr="006C3889">
              <w:rPr>
                <w:b/>
                <w:bCs/>
                <w:sz w:val="20"/>
                <w:szCs w:val="20"/>
              </w:rPr>
              <w:t>-.51 – -.00</w:t>
            </w:r>
          </w:p>
        </w:tc>
        <w:tc>
          <w:tcPr>
            <w:tcW w:w="0" w:type="auto"/>
            <w:tcMar>
              <w:top w:w="113" w:type="dxa"/>
              <w:left w:w="113" w:type="dxa"/>
              <w:bottom w:w="113" w:type="dxa"/>
              <w:right w:w="113" w:type="dxa"/>
            </w:tcMar>
            <w:hideMark/>
          </w:tcPr>
          <w:p w14:paraId="2A378080" w14:textId="614753D0" w:rsidR="00D96982" w:rsidRPr="006C3889" w:rsidRDefault="00D96982">
            <w:pPr>
              <w:jc w:val="center"/>
              <w:rPr>
                <w:b/>
                <w:bCs/>
                <w:sz w:val="20"/>
                <w:szCs w:val="20"/>
              </w:rPr>
            </w:pPr>
            <w:r w:rsidRPr="006C3889">
              <w:rPr>
                <w:rStyle w:val="Strong"/>
                <w:sz w:val="20"/>
                <w:szCs w:val="20"/>
              </w:rPr>
              <w:t>.050</w:t>
            </w:r>
          </w:p>
        </w:tc>
        <w:tc>
          <w:tcPr>
            <w:tcW w:w="0" w:type="auto"/>
            <w:tcMar>
              <w:top w:w="113" w:type="dxa"/>
              <w:left w:w="113" w:type="dxa"/>
              <w:bottom w:w="113" w:type="dxa"/>
              <w:right w:w="113" w:type="dxa"/>
            </w:tcMar>
            <w:hideMark/>
          </w:tcPr>
          <w:p w14:paraId="2E497861" w14:textId="3C7A0442" w:rsidR="00D96982" w:rsidRPr="006C3889" w:rsidRDefault="00D96982">
            <w:pPr>
              <w:jc w:val="center"/>
              <w:rPr>
                <w:b/>
                <w:bCs/>
                <w:sz w:val="20"/>
                <w:szCs w:val="20"/>
              </w:rPr>
            </w:pPr>
            <w:r w:rsidRPr="006C3889">
              <w:rPr>
                <w:b/>
                <w:bCs/>
                <w:sz w:val="20"/>
                <w:szCs w:val="20"/>
              </w:rPr>
              <w:t>.40</w:t>
            </w:r>
          </w:p>
        </w:tc>
        <w:tc>
          <w:tcPr>
            <w:tcW w:w="0" w:type="auto"/>
            <w:tcMar>
              <w:top w:w="113" w:type="dxa"/>
              <w:left w:w="113" w:type="dxa"/>
              <w:bottom w:w="113" w:type="dxa"/>
              <w:right w:w="113" w:type="dxa"/>
            </w:tcMar>
            <w:hideMark/>
          </w:tcPr>
          <w:p w14:paraId="539BFED3" w14:textId="2B1A24C7" w:rsidR="00D96982" w:rsidRPr="006C3889" w:rsidRDefault="00D96982">
            <w:pPr>
              <w:jc w:val="center"/>
              <w:rPr>
                <w:b/>
                <w:bCs/>
                <w:sz w:val="20"/>
                <w:szCs w:val="20"/>
              </w:rPr>
            </w:pPr>
            <w:r w:rsidRPr="006C3889">
              <w:rPr>
                <w:b/>
                <w:bCs/>
                <w:sz w:val="20"/>
                <w:szCs w:val="20"/>
              </w:rPr>
              <w:t>.09 – .7</w:t>
            </w:r>
            <w:r w:rsidR="00676B9E" w:rsidRPr="006C3889">
              <w:rPr>
                <w:b/>
                <w:bCs/>
                <w:sz w:val="20"/>
                <w:szCs w:val="20"/>
              </w:rPr>
              <w:t>1</w:t>
            </w:r>
          </w:p>
        </w:tc>
        <w:tc>
          <w:tcPr>
            <w:tcW w:w="0" w:type="auto"/>
            <w:tcMar>
              <w:top w:w="113" w:type="dxa"/>
              <w:left w:w="113" w:type="dxa"/>
              <w:bottom w:w="113" w:type="dxa"/>
              <w:right w:w="113" w:type="dxa"/>
            </w:tcMar>
            <w:hideMark/>
          </w:tcPr>
          <w:p w14:paraId="228BB979" w14:textId="1E91A02E" w:rsidR="00D96982" w:rsidRPr="006C3889" w:rsidRDefault="00D96982">
            <w:pPr>
              <w:jc w:val="center"/>
              <w:rPr>
                <w:b/>
                <w:bCs/>
                <w:sz w:val="20"/>
                <w:szCs w:val="20"/>
              </w:rPr>
            </w:pPr>
            <w:r w:rsidRPr="006C3889">
              <w:rPr>
                <w:rStyle w:val="Strong"/>
                <w:sz w:val="20"/>
                <w:szCs w:val="20"/>
              </w:rPr>
              <w:t>.011</w:t>
            </w:r>
          </w:p>
        </w:tc>
      </w:tr>
      <w:tr w:rsidR="00D96982" w14:paraId="1B657821" w14:textId="77777777">
        <w:trPr>
          <w:divId w:val="61561199"/>
        </w:trPr>
        <w:tc>
          <w:tcPr>
            <w:tcW w:w="0" w:type="auto"/>
            <w:tcMar>
              <w:top w:w="113" w:type="dxa"/>
              <w:left w:w="113" w:type="dxa"/>
              <w:bottom w:w="113" w:type="dxa"/>
              <w:right w:w="113" w:type="dxa"/>
            </w:tcMar>
            <w:hideMark/>
          </w:tcPr>
          <w:p w14:paraId="5AC46D21" w14:textId="4D1794BF" w:rsidR="00D96982" w:rsidRPr="006C3889" w:rsidRDefault="00676B9E">
            <w:pPr>
              <w:rPr>
                <w:sz w:val="20"/>
                <w:szCs w:val="20"/>
              </w:rPr>
            </w:pPr>
            <w:r w:rsidRPr="006C3889">
              <w:rPr>
                <w:sz w:val="20"/>
                <w:szCs w:val="20"/>
              </w:rPr>
              <w:t>O</w:t>
            </w:r>
            <w:r w:rsidR="00D96982" w:rsidRPr="006C3889">
              <w:rPr>
                <w:sz w:val="20"/>
                <w:szCs w:val="20"/>
              </w:rPr>
              <w:t>utcome [</w:t>
            </w:r>
            <w:r w:rsidRPr="006C3889">
              <w:rPr>
                <w:sz w:val="20"/>
                <w:szCs w:val="20"/>
              </w:rPr>
              <w:t>score</w:t>
            </w:r>
            <w:r w:rsidR="00D96982" w:rsidRPr="006C3889">
              <w:rPr>
                <w:sz w:val="20"/>
                <w:szCs w:val="20"/>
              </w:rPr>
              <w:t xml:space="preserve">] * </w:t>
            </w:r>
            <w:r w:rsidRPr="006C3889">
              <w:rPr>
                <w:sz w:val="20"/>
                <w:szCs w:val="20"/>
              </w:rPr>
              <w:t>Perspective</w:t>
            </w:r>
            <w:r w:rsidR="00D96982" w:rsidRPr="006C3889">
              <w:rPr>
                <w:sz w:val="20"/>
                <w:szCs w:val="20"/>
              </w:rPr>
              <w:t xml:space="preserve"> [</w:t>
            </w:r>
            <w:r w:rsidRPr="006C3889">
              <w:rPr>
                <w:sz w:val="20"/>
                <w:szCs w:val="20"/>
              </w:rPr>
              <w:t>impersonal</w:t>
            </w:r>
            <w:r w:rsidR="00D96982" w:rsidRPr="006C3889">
              <w:rPr>
                <w:sz w:val="20"/>
                <w:szCs w:val="20"/>
              </w:rPr>
              <w:t>]</w:t>
            </w:r>
          </w:p>
        </w:tc>
        <w:tc>
          <w:tcPr>
            <w:tcW w:w="0" w:type="auto"/>
            <w:tcMar>
              <w:top w:w="113" w:type="dxa"/>
              <w:left w:w="113" w:type="dxa"/>
              <w:bottom w:w="113" w:type="dxa"/>
              <w:right w:w="113" w:type="dxa"/>
            </w:tcMar>
            <w:hideMark/>
          </w:tcPr>
          <w:p w14:paraId="3C9B667A" w14:textId="14E0C90E" w:rsidR="00D96982" w:rsidRPr="006C3889" w:rsidRDefault="00D96982">
            <w:pPr>
              <w:jc w:val="center"/>
              <w:rPr>
                <w:sz w:val="20"/>
                <w:szCs w:val="20"/>
              </w:rPr>
            </w:pPr>
            <w:r w:rsidRPr="006C3889">
              <w:rPr>
                <w:sz w:val="20"/>
                <w:szCs w:val="20"/>
              </w:rPr>
              <w:t>-.259</w:t>
            </w:r>
          </w:p>
        </w:tc>
        <w:tc>
          <w:tcPr>
            <w:tcW w:w="0" w:type="auto"/>
            <w:tcMar>
              <w:top w:w="113" w:type="dxa"/>
              <w:left w:w="113" w:type="dxa"/>
              <w:bottom w:w="113" w:type="dxa"/>
              <w:right w:w="113" w:type="dxa"/>
            </w:tcMar>
            <w:hideMark/>
          </w:tcPr>
          <w:p w14:paraId="30B727D8" w14:textId="52225FF0" w:rsidR="00D96982" w:rsidRPr="006C3889" w:rsidRDefault="00D96982">
            <w:pPr>
              <w:jc w:val="center"/>
              <w:rPr>
                <w:sz w:val="20"/>
                <w:szCs w:val="20"/>
              </w:rPr>
            </w:pPr>
            <w:r w:rsidRPr="006C3889">
              <w:rPr>
                <w:sz w:val="20"/>
                <w:szCs w:val="20"/>
              </w:rPr>
              <w:t>-.72 – .20</w:t>
            </w:r>
          </w:p>
        </w:tc>
        <w:tc>
          <w:tcPr>
            <w:tcW w:w="0" w:type="auto"/>
            <w:tcMar>
              <w:top w:w="113" w:type="dxa"/>
              <w:left w:w="113" w:type="dxa"/>
              <w:bottom w:w="113" w:type="dxa"/>
              <w:right w:w="113" w:type="dxa"/>
            </w:tcMar>
            <w:hideMark/>
          </w:tcPr>
          <w:p w14:paraId="7D8054EB" w14:textId="08674655" w:rsidR="00D96982" w:rsidRPr="006C3889" w:rsidRDefault="00D96982">
            <w:pPr>
              <w:jc w:val="center"/>
              <w:rPr>
                <w:sz w:val="20"/>
                <w:szCs w:val="20"/>
              </w:rPr>
            </w:pPr>
            <w:r w:rsidRPr="006C3889">
              <w:rPr>
                <w:sz w:val="20"/>
                <w:szCs w:val="20"/>
              </w:rPr>
              <w:t>.268</w:t>
            </w:r>
          </w:p>
        </w:tc>
        <w:tc>
          <w:tcPr>
            <w:tcW w:w="0" w:type="auto"/>
            <w:tcMar>
              <w:top w:w="113" w:type="dxa"/>
              <w:left w:w="113" w:type="dxa"/>
              <w:bottom w:w="113" w:type="dxa"/>
              <w:right w:w="113" w:type="dxa"/>
            </w:tcMar>
            <w:hideMark/>
          </w:tcPr>
          <w:p w14:paraId="3F46B834" w14:textId="667BF52F" w:rsidR="00D96982" w:rsidRPr="006C3889" w:rsidRDefault="00D96982">
            <w:pPr>
              <w:jc w:val="center"/>
              <w:rPr>
                <w:sz w:val="20"/>
                <w:szCs w:val="20"/>
              </w:rPr>
            </w:pPr>
            <w:r w:rsidRPr="006C3889">
              <w:rPr>
                <w:sz w:val="20"/>
                <w:szCs w:val="20"/>
              </w:rPr>
              <w:t>.28</w:t>
            </w:r>
          </w:p>
        </w:tc>
        <w:tc>
          <w:tcPr>
            <w:tcW w:w="0" w:type="auto"/>
            <w:tcMar>
              <w:top w:w="113" w:type="dxa"/>
              <w:left w:w="113" w:type="dxa"/>
              <w:bottom w:w="113" w:type="dxa"/>
              <w:right w:w="113" w:type="dxa"/>
            </w:tcMar>
            <w:hideMark/>
          </w:tcPr>
          <w:p w14:paraId="17156E0C" w14:textId="5BC2CC79" w:rsidR="00D96982" w:rsidRPr="006C3889" w:rsidRDefault="00D96982">
            <w:pPr>
              <w:jc w:val="center"/>
              <w:rPr>
                <w:sz w:val="20"/>
                <w:szCs w:val="20"/>
              </w:rPr>
            </w:pPr>
            <w:r w:rsidRPr="006C3889">
              <w:rPr>
                <w:sz w:val="20"/>
                <w:szCs w:val="20"/>
              </w:rPr>
              <w:t>-.2</w:t>
            </w:r>
            <w:r w:rsidR="00676B9E" w:rsidRPr="006C3889">
              <w:rPr>
                <w:sz w:val="20"/>
                <w:szCs w:val="20"/>
              </w:rPr>
              <w:t>5</w:t>
            </w:r>
            <w:r w:rsidRPr="006C3889">
              <w:rPr>
                <w:sz w:val="20"/>
                <w:szCs w:val="20"/>
              </w:rPr>
              <w:t> – .81</w:t>
            </w:r>
          </w:p>
        </w:tc>
        <w:tc>
          <w:tcPr>
            <w:tcW w:w="0" w:type="auto"/>
            <w:tcMar>
              <w:top w:w="113" w:type="dxa"/>
              <w:left w:w="113" w:type="dxa"/>
              <w:bottom w:w="113" w:type="dxa"/>
              <w:right w:w="113" w:type="dxa"/>
            </w:tcMar>
            <w:hideMark/>
          </w:tcPr>
          <w:p w14:paraId="2C2B7CF4" w14:textId="53BAD675" w:rsidR="00D96982" w:rsidRPr="006C3889" w:rsidRDefault="00D96982">
            <w:pPr>
              <w:jc w:val="center"/>
              <w:rPr>
                <w:sz w:val="20"/>
                <w:szCs w:val="20"/>
              </w:rPr>
            </w:pPr>
            <w:r w:rsidRPr="006C3889">
              <w:rPr>
                <w:sz w:val="20"/>
                <w:szCs w:val="20"/>
              </w:rPr>
              <w:t>.295</w:t>
            </w:r>
          </w:p>
        </w:tc>
      </w:tr>
      <w:tr w:rsidR="00D96982" w14:paraId="7290CF7B" w14:textId="77777777">
        <w:trPr>
          <w:divId w:val="61561199"/>
        </w:trPr>
        <w:tc>
          <w:tcPr>
            <w:tcW w:w="0" w:type="auto"/>
            <w:tcMar>
              <w:top w:w="113" w:type="dxa"/>
              <w:left w:w="113" w:type="dxa"/>
              <w:bottom w:w="113" w:type="dxa"/>
              <w:right w:w="113" w:type="dxa"/>
            </w:tcMar>
            <w:hideMark/>
          </w:tcPr>
          <w:p w14:paraId="1EBE5B83" w14:textId="4E3FE805" w:rsidR="00D96982" w:rsidRPr="006C3889" w:rsidRDefault="00676B9E">
            <w:pPr>
              <w:rPr>
                <w:sz w:val="20"/>
                <w:szCs w:val="20"/>
              </w:rPr>
            </w:pPr>
            <w:r w:rsidRPr="006C3889">
              <w:rPr>
                <w:sz w:val="20"/>
                <w:szCs w:val="20"/>
              </w:rPr>
              <w:t>O</w:t>
            </w:r>
            <w:r w:rsidR="00D96982" w:rsidRPr="006C3889">
              <w:rPr>
                <w:sz w:val="20"/>
                <w:szCs w:val="20"/>
              </w:rPr>
              <w:t>utcome [</w:t>
            </w:r>
            <w:r w:rsidRPr="006C3889">
              <w:rPr>
                <w:sz w:val="20"/>
                <w:szCs w:val="20"/>
              </w:rPr>
              <w:t>score</w:t>
            </w:r>
            <w:r w:rsidR="00D96982" w:rsidRPr="006C3889">
              <w:rPr>
                <w:sz w:val="20"/>
                <w:szCs w:val="20"/>
              </w:rPr>
              <w:t xml:space="preserve">] * </w:t>
            </w:r>
            <w:r w:rsidRPr="006C3889">
              <w:rPr>
                <w:sz w:val="20"/>
                <w:szCs w:val="20"/>
              </w:rPr>
              <w:t>V</w:t>
            </w:r>
            <w:r w:rsidR="00D96982" w:rsidRPr="006C3889">
              <w:rPr>
                <w:sz w:val="20"/>
                <w:szCs w:val="20"/>
              </w:rPr>
              <w:t>ividness</w:t>
            </w:r>
          </w:p>
        </w:tc>
        <w:tc>
          <w:tcPr>
            <w:tcW w:w="0" w:type="auto"/>
            <w:tcMar>
              <w:top w:w="113" w:type="dxa"/>
              <w:left w:w="113" w:type="dxa"/>
              <w:bottom w:w="113" w:type="dxa"/>
              <w:right w:w="113" w:type="dxa"/>
            </w:tcMar>
            <w:hideMark/>
          </w:tcPr>
          <w:p w14:paraId="07C97C0C" w14:textId="697F1271" w:rsidR="00D96982" w:rsidRPr="006C3889" w:rsidRDefault="00D96982">
            <w:pPr>
              <w:jc w:val="center"/>
              <w:rPr>
                <w:b/>
                <w:bCs/>
                <w:sz w:val="20"/>
                <w:szCs w:val="20"/>
              </w:rPr>
            </w:pPr>
            <w:r w:rsidRPr="006C3889">
              <w:rPr>
                <w:b/>
                <w:bCs/>
                <w:sz w:val="20"/>
                <w:szCs w:val="20"/>
              </w:rPr>
              <w:t>.43</w:t>
            </w:r>
          </w:p>
        </w:tc>
        <w:tc>
          <w:tcPr>
            <w:tcW w:w="0" w:type="auto"/>
            <w:tcMar>
              <w:top w:w="113" w:type="dxa"/>
              <w:left w:w="113" w:type="dxa"/>
              <w:bottom w:w="113" w:type="dxa"/>
              <w:right w:w="113" w:type="dxa"/>
            </w:tcMar>
            <w:hideMark/>
          </w:tcPr>
          <w:p w14:paraId="57A88876" w14:textId="3BB37A2C" w:rsidR="00D96982" w:rsidRPr="006C3889" w:rsidRDefault="00D96982">
            <w:pPr>
              <w:jc w:val="center"/>
              <w:rPr>
                <w:b/>
                <w:bCs/>
                <w:sz w:val="20"/>
                <w:szCs w:val="20"/>
              </w:rPr>
            </w:pPr>
            <w:r w:rsidRPr="006C3889">
              <w:rPr>
                <w:b/>
                <w:bCs/>
                <w:sz w:val="20"/>
                <w:szCs w:val="20"/>
              </w:rPr>
              <w:t>.06 – .80</w:t>
            </w:r>
          </w:p>
        </w:tc>
        <w:tc>
          <w:tcPr>
            <w:tcW w:w="0" w:type="auto"/>
            <w:tcMar>
              <w:top w:w="113" w:type="dxa"/>
              <w:left w:w="113" w:type="dxa"/>
              <w:bottom w:w="113" w:type="dxa"/>
              <w:right w:w="113" w:type="dxa"/>
            </w:tcMar>
            <w:hideMark/>
          </w:tcPr>
          <w:p w14:paraId="7788083B" w14:textId="7D01D057" w:rsidR="00D96982" w:rsidRPr="006C3889" w:rsidRDefault="00D96982">
            <w:pPr>
              <w:jc w:val="center"/>
              <w:rPr>
                <w:b/>
                <w:bCs/>
                <w:sz w:val="20"/>
                <w:szCs w:val="20"/>
              </w:rPr>
            </w:pPr>
            <w:r w:rsidRPr="006C3889">
              <w:rPr>
                <w:rStyle w:val="Strong"/>
                <w:sz w:val="20"/>
                <w:szCs w:val="20"/>
              </w:rPr>
              <w:t>.022</w:t>
            </w:r>
          </w:p>
        </w:tc>
        <w:tc>
          <w:tcPr>
            <w:tcW w:w="0" w:type="auto"/>
            <w:tcMar>
              <w:top w:w="113" w:type="dxa"/>
              <w:left w:w="113" w:type="dxa"/>
              <w:bottom w:w="113" w:type="dxa"/>
              <w:right w:w="113" w:type="dxa"/>
            </w:tcMar>
            <w:hideMark/>
          </w:tcPr>
          <w:p w14:paraId="38B0B8D1" w14:textId="467DE30B" w:rsidR="00D96982" w:rsidRPr="006C3889" w:rsidRDefault="00D96982">
            <w:pPr>
              <w:jc w:val="center"/>
              <w:rPr>
                <w:b/>
                <w:bCs/>
                <w:sz w:val="20"/>
                <w:szCs w:val="20"/>
              </w:rPr>
            </w:pPr>
            <w:r w:rsidRPr="006C3889">
              <w:rPr>
                <w:b/>
                <w:bCs/>
                <w:sz w:val="20"/>
                <w:szCs w:val="20"/>
              </w:rPr>
              <w:t>-.5</w:t>
            </w:r>
            <w:r w:rsidR="00676B9E" w:rsidRPr="006C3889">
              <w:rPr>
                <w:b/>
                <w:bCs/>
                <w:sz w:val="20"/>
                <w:szCs w:val="20"/>
              </w:rPr>
              <w:t>6</w:t>
            </w:r>
          </w:p>
        </w:tc>
        <w:tc>
          <w:tcPr>
            <w:tcW w:w="0" w:type="auto"/>
            <w:tcMar>
              <w:top w:w="113" w:type="dxa"/>
              <w:left w:w="113" w:type="dxa"/>
              <w:bottom w:w="113" w:type="dxa"/>
              <w:right w:w="113" w:type="dxa"/>
            </w:tcMar>
            <w:hideMark/>
          </w:tcPr>
          <w:p w14:paraId="6EAF0DA7" w14:textId="08AFCFC7" w:rsidR="00D96982" w:rsidRPr="006C3889" w:rsidRDefault="00D96982">
            <w:pPr>
              <w:jc w:val="center"/>
              <w:rPr>
                <w:b/>
                <w:bCs/>
                <w:sz w:val="20"/>
                <w:szCs w:val="20"/>
              </w:rPr>
            </w:pPr>
            <w:r w:rsidRPr="006C3889">
              <w:rPr>
                <w:b/>
                <w:bCs/>
                <w:sz w:val="20"/>
                <w:szCs w:val="20"/>
              </w:rPr>
              <w:t>-.9</w:t>
            </w:r>
            <w:r w:rsidR="00676B9E" w:rsidRPr="006C3889">
              <w:rPr>
                <w:b/>
                <w:bCs/>
                <w:sz w:val="20"/>
                <w:szCs w:val="20"/>
              </w:rPr>
              <w:t>8</w:t>
            </w:r>
            <w:r w:rsidRPr="006C3889">
              <w:rPr>
                <w:b/>
                <w:bCs/>
                <w:sz w:val="20"/>
                <w:szCs w:val="20"/>
              </w:rPr>
              <w:t> – -.14</w:t>
            </w:r>
          </w:p>
        </w:tc>
        <w:tc>
          <w:tcPr>
            <w:tcW w:w="0" w:type="auto"/>
            <w:tcMar>
              <w:top w:w="113" w:type="dxa"/>
              <w:left w:w="113" w:type="dxa"/>
              <w:bottom w:w="113" w:type="dxa"/>
              <w:right w:w="113" w:type="dxa"/>
            </w:tcMar>
            <w:hideMark/>
          </w:tcPr>
          <w:p w14:paraId="4CABB6CE" w14:textId="41C226DD" w:rsidR="00D96982" w:rsidRPr="006C3889" w:rsidRDefault="00D96982">
            <w:pPr>
              <w:jc w:val="center"/>
              <w:rPr>
                <w:b/>
                <w:bCs/>
                <w:sz w:val="20"/>
                <w:szCs w:val="20"/>
              </w:rPr>
            </w:pPr>
            <w:r w:rsidRPr="006C3889">
              <w:rPr>
                <w:rStyle w:val="Strong"/>
                <w:sz w:val="20"/>
                <w:szCs w:val="20"/>
              </w:rPr>
              <w:t>.009</w:t>
            </w:r>
          </w:p>
        </w:tc>
      </w:tr>
      <w:tr w:rsidR="00D96982" w14:paraId="18BC29F3" w14:textId="77777777">
        <w:trPr>
          <w:divId w:val="61561199"/>
        </w:trPr>
        <w:tc>
          <w:tcPr>
            <w:tcW w:w="0" w:type="auto"/>
            <w:tcMar>
              <w:top w:w="113" w:type="dxa"/>
              <w:left w:w="113" w:type="dxa"/>
              <w:bottom w:w="113" w:type="dxa"/>
              <w:right w:w="113" w:type="dxa"/>
            </w:tcMar>
            <w:hideMark/>
          </w:tcPr>
          <w:p w14:paraId="387488F0" w14:textId="4864D6E7" w:rsidR="00D96982" w:rsidRPr="006C3889" w:rsidRDefault="00676B9E">
            <w:pPr>
              <w:rPr>
                <w:sz w:val="20"/>
                <w:szCs w:val="20"/>
              </w:rPr>
            </w:pPr>
            <w:r w:rsidRPr="006C3889">
              <w:rPr>
                <w:sz w:val="20"/>
                <w:szCs w:val="20"/>
              </w:rPr>
              <w:t>Perspective</w:t>
            </w:r>
            <w:r w:rsidR="00D96982" w:rsidRPr="006C3889">
              <w:rPr>
                <w:sz w:val="20"/>
                <w:szCs w:val="20"/>
              </w:rPr>
              <w:t xml:space="preserve"> [</w:t>
            </w:r>
            <w:r w:rsidRPr="006C3889">
              <w:rPr>
                <w:sz w:val="20"/>
                <w:szCs w:val="20"/>
              </w:rPr>
              <w:t>impersonal</w:t>
            </w:r>
            <w:r w:rsidR="00D96982" w:rsidRPr="006C3889">
              <w:rPr>
                <w:sz w:val="20"/>
                <w:szCs w:val="20"/>
              </w:rPr>
              <w:t xml:space="preserve">] * </w:t>
            </w:r>
            <w:r w:rsidRPr="006C3889">
              <w:rPr>
                <w:sz w:val="20"/>
                <w:szCs w:val="20"/>
              </w:rPr>
              <w:t>V</w:t>
            </w:r>
            <w:r w:rsidR="00D96982" w:rsidRPr="006C3889">
              <w:rPr>
                <w:sz w:val="20"/>
                <w:szCs w:val="20"/>
              </w:rPr>
              <w:t>ividness</w:t>
            </w:r>
          </w:p>
        </w:tc>
        <w:tc>
          <w:tcPr>
            <w:tcW w:w="0" w:type="auto"/>
            <w:tcMar>
              <w:top w:w="113" w:type="dxa"/>
              <w:left w:w="113" w:type="dxa"/>
              <w:bottom w:w="113" w:type="dxa"/>
              <w:right w:w="113" w:type="dxa"/>
            </w:tcMar>
            <w:hideMark/>
          </w:tcPr>
          <w:p w14:paraId="69B61E5A" w14:textId="237CE127" w:rsidR="00D96982" w:rsidRPr="006C3889" w:rsidRDefault="00D96982">
            <w:pPr>
              <w:jc w:val="center"/>
              <w:rPr>
                <w:sz w:val="20"/>
                <w:szCs w:val="20"/>
              </w:rPr>
            </w:pPr>
            <w:r w:rsidRPr="006C3889">
              <w:rPr>
                <w:sz w:val="20"/>
                <w:szCs w:val="20"/>
              </w:rPr>
              <w:t>-.17</w:t>
            </w:r>
          </w:p>
        </w:tc>
        <w:tc>
          <w:tcPr>
            <w:tcW w:w="0" w:type="auto"/>
            <w:tcMar>
              <w:top w:w="113" w:type="dxa"/>
              <w:left w:w="113" w:type="dxa"/>
              <w:bottom w:w="113" w:type="dxa"/>
              <w:right w:w="113" w:type="dxa"/>
            </w:tcMar>
            <w:hideMark/>
          </w:tcPr>
          <w:p w14:paraId="0AB74142" w14:textId="0C9BC298" w:rsidR="00D96982" w:rsidRPr="006C3889" w:rsidRDefault="00D96982">
            <w:pPr>
              <w:jc w:val="center"/>
              <w:rPr>
                <w:sz w:val="20"/>
                <w:szCs w:val="20"/>
              </w:rPr>
            </w:pPr>
            <w:r w:rsidRPr="006C3889">
              <w:rPr>
                <w:sz w:val="20"/>
                <w:szCs w:val="20"/>
              </w:rPr>
              <w:t>-.54 – .21</w:t>
            </w:r>
          </w:p>
        </w:tc>
        <w:tc>
          <w:tcPr>
            <w:tcW w:w="0" w:type="auto"/>
            <w:tcMar>
              <w:top w:w="113" w:type="dxa"/>
              <w:left w:w="113" w:type="dxa"/>
              <w:bottom w:w="113" w:type="dxa"/>
              <w:right w:w="113" w:type="dxa"/>
            </w:tcMar>
            <w:hideMark/>
          </w:tcPr>
          <w:p w14:paraId="334F3D4C" w14:textId="49A292EA" w:rsidR="00D96982" w:rsidRPr="006C3889" w:rsidRDefault="00D96982">
            <w:pPr>
              <w:jc w:val="center"/>
              <w:rPr>
                <w:sz w:val="20"/>
                <w:szCs w:val="20"/>
              </w:rPr>
            </w:pPr>
            <w:r w:rsidRPr="006C3889">
              <w:rPr>
                <w:sz w:val="20"/>
                <w:szCs w:val="20"/>
              </w:rPr>
              <w:t>.384</w:t>
            </w:r>
          </w:p>
        </w:tc>
        <w:tc>
          <w:tcPr>
            <w:tcW w:w="0" w:type="auto"/>
            <w:tcMar>
              <w:top w:w="113" w:type="dxa"/>
              <w:left w:w="113" w:type="dxa"/>
              <w:bottom w:w="113" w:type="dxa"/>
              <w:right w:w="113" w:type="dxa"/>
            </w:tcMar>
            <w:hideMark/>
          </w:tcPr>
          <w:p w14:paraId="01EF488E" w14:textId="78E2EC4A" w:rsidR="00D96982" w:rsidRPr="006C3889" w:rsidRDefault="00D96982">
            <w:pPr>
              <w:jc w:val="center"/>
              <w:rPr>
                <w:sz w:val="20"/>
                <w:szCs w:val="20"/>
              </w:rPr>
            </w:pPr>
            <w:r w:rsidRPr="006C3889">
              <w:rPr>
                <w:sz w:val="20"/>
                <w:szCs w:val="20"/>
              </w:rPr>
              <w:t>-.0</w:t>
            </w:r>
            <w:r w:rsidR="00676B9E" w:rsidRPr="006C3889">
              <w:rPr>
                <w:sz w:val="20"/>
                <w:szCs w:val="20"/>
              </w:rPr>
              <w:t>2</w:t>
            </w:r>
          </w:p>
        </w:tc>
        <w:tc>
          <w:tcPr>
            <w:tcW w:w="0" w:type="auto"/>
            <w:tcMar>
              <w:top w:w="113" w:type="dxa"/>
              <w:left w:w="113" w:type="dxa"/>
              <w:bottom w:w="113" w:type="dxa"/>
              <w:right w:w="113" w:type="dxa"/>
            </w:tcMar>
            <w:hideMark/>
          </w:tcPr>
          <w:p w14:paraId="53BF2F0D" w14:textId="5845CBFF" w:rsidR="00D96982" w:rsidRPr="006C3889" w:rsidRDefault="00D96982">
            <w:pPr>
              <w:jc w:val="center"/>
              <w:rPr>
                <w:sz w:val="20"/>
                <w:szCs w:val="20"/>
              </w:rPr>
            </w:pPr>
            <w:r w:rsidRPr="006C3889">
              <w:rPr>
                <w:sz w:val="20"/>
                <w:szCs w:val="20"/>
              </w:rPr>
              <w:t>-.47 – .44</w:t>
            </w:r>
          </w:p>
        </w:tc>
        <w:tc>
          <w:tcPr>
            <w:tcW w:w="0" w:type="auto"/>
            <w:tcMar>
              <w:top w:w="113" w:type="dxa"/>
              <w:left w:w="113" w:type="dxa"/>
              <w:bottom w:w="113" w:type="dxa"/>
              <w:right w:w="113" w:type="dxa"/>
            </w:tcMar>
            <w:hideMark/>
          </w:tcPr>
          <w:p w14:paraId="687CD9CB" w14:textId="5059B663" w:rsidR="00D96982" w:rsidRPr="006C3889" w:rsidRDefault="00D96982">
            <w:pPr>
              <w:jc w:val="center"/>
              <w:rPr>
                <w:sz w:val="20"/>
                <w:szCs w:val="20"/>
              </w:rPr>
            </w:pPr>
            <w:r w:rsidRPr="006C3889">
              <w:rPr>
                <w:sz w:val="20"/>
                <w:szCs w:val="20"/>
              </w:rPr>
              <w:t>.949</w:t>
            </w:r>
          </w:p>
        </w:tc>
      </w:tr>
      <w:tr w:rsidR="00D96982" w14:paraId="0B967B36" w14:textId="77777777">
        <w:trPr>
          <w:divId w:val="61561199"/>
        </w:trPr>
        <w:tc>
          <w:tcPr>
            <w:tcW w:w="0" w:type="auto"/>
            <w:tcMar>
              <w:top w:w="113" w:type="dxa"/>
              <w:left w:w="113" w:type="dxa"/>
              <w:bottom w:w="113" w:type="dxa"/>
              <w:right w:w="113" w:type="dxa"/>
            </w:tcMar>
            <w:hideMark/>
          </w:tcPr>
          <w:p w14:paraId="05A203A8" w14:textId="2989C3FB" w:rsidR="00D96982" w:rsidRPr="006C3889" w:rsidRDefault="00D96982">
            <w:pPr>
              <w:rPr>
                <w:sz w:val="20"/>
                <w:szCs w:val="20"/>
              </w:rPr>
            </w:pPr>
            <w:r w:rsidRPr="006C3889">
              <w:rPr>
                <w:sz w:val="20"/>
                <w:szCs w:val="20"/>
              </w:rPr>
              <w:t>(</w:t>
            </w:r>
            <w:r w:rsidR="00676B9E" w:rsidRPr="006C3889">
              <w:rPr>
                <w:sz w:val="20"/>
                <w:szCs w:val="20"/>
              </w:rPr>
              <w:t>O</w:t>
            </w:r>
            <w:r w:rsidRPr="006C3889">
              <w:rPr>
                <w:sz w:val="20"/>
                <w:szCs w:val="20"/>
              </w:rPr>
              <w:t>utcome [</w:t>
            </w:r>
            <w:r w:rsidR="00676B9E" w:rsidRPr="006C3889">
              <w:rPr>
                <w:sz w:val="20"/>
                <w:szCs w:val="20"/>
              </w:rPr>
              <w:t>score</w:t>
            </w:r>
            <w:r w:rsidRPr="006C3889">
              <w:rPr>
                <w:sz w:val="20"/>
                <w:szCs w:val="20"/>
              </w:rPr>
              <w:t xml:space="preserve">] * </w:t>
            </w:r>
            <w:r w:rsidR="00676B9E" w:rsidRPr="006C3889">
              <w:rPr>
                <w:sz w:val="20"/>
                <w:szCs w:val="20"/>
              </w:rPr>
              <w:t>Perspective</w:t>
            </w:r>
            <w:r w:rsidRPr="006C3889">
              <w:rPr>
                <w:sz w:val="20"/>
                <w:szCs w:val="20"/>
              </w:rPr>
              <w:t xml:space="preserve"> [</w:t>
            </w:r>
            <w:r w:rsidR="00676B9E" w:rsidRPr="006C3889">
              <w:rPr>
                <w:sz w:val="20"/>
                <w:szCs w:val="20"/>
              </w:rPr>
              <w:t>impersonal</w:t>
            </w:r>
            <w:r w:rsidRPr="006C3889">
              <w:rPr>
                <w:sz w:val="20"/>
                <w:szCs w:val="20"/>
              </w:rPr>
              <w:t xml:space="preserve">]) * </w:t>
            </w:r>
            <w:r w:rsidR="00676B9E" w:rsidRPr="006C3889">
              <w:rPr>
                <w:sz w:val="20"/>
                <w:szCs w:val="20"/>
              </w:rPr>
              <w:t>V</w:t>
            </w:r>
            <w:r w:rsidRPr="006C3889">
              <w:rPr>
                <w:sz w:val="20"/>
                <w:szCs w:val="20"/>
              </w:rPr>
              <w:t>ividness</w:t>
            </w:r>
          </w:p>
        </w:tc>
        <w:tc>
          <w:tcPr>
            <w:tcW w:w="0" w:type="auto"/>
            <w:tcMar>
              <w:top w:w="113" w:type="dxa"/>
              <w:left w:w="113" w:type="dxa"/>
              <w:bottom w:w="113" w:type="dxa"/>
              <w:right w:w="113" w:type="dxa"/>
            </w:tcMar>
            <w:hideMark/>
          </w:tcPr>
          <w:p w14:paraId="3372F63C" w14:textId="3B168EE6" w:rsidR="00D96982" w:rsidRPr="006C3889" w:rsidRDefault="00D96982">
            <w:pPr>
              <w:jc w:val="center"/>
              <w:rPr>
                <w:sz w:val="20"/>
                <w:szCs w:val="20"/>
              </w:rPr>
            </w:pPr>
            <w:r w:rsidRPr="006C3889">
              <w:rPr>
                <w:sz w:val="20"/>
                <w:szCs w:val="20"/>
              </w:rPr>
              <w:t>.3</w:t>
            </w:r>
            <w:r w:rsidR="00676B9E" w:rsidRPr="006C3889">
              <w:rPr>
                <w:sz w:val="20"/>
                <w:szCs w:val="20"/>
              </w:rPr>
              <w:t>1</w:t>
            </w:r>
          </w:p>
        </w:tc>
        <w:tc>
          <w:tcPr>
            <w:tcW w:w="0" w:type="auto"/>
            <w:tcMar>
              <w:top w:w="113" w:type="dxa"/>
              <w:left w:w="113" w:type="dxa"/>
              <w:bottom w:w="113" w:type="dxa"/>
              <w:right w:w="113" w:type="dxa"/>
            </w:tcMar>
            <w:hideMark/>
          </w:tcPr>
          <w:p w14:paraId="5C5D2A18" w14:textId="3C671E1B" w:rsidR="00D96982" w:rsidRPr="006C3889" w:rsidRDefault="00D96982">
            <w:pPr>
              <w:jc w:val="center"/>
              <w:rPr>
                <w:sz w:val="20"/>
                <w:szCs w:val="20"/>
              </w:rPr>
            </w:pPr>
            <w:r w:rsidRPr="006C3889">
              <w:rPr>
                <w:sz w:val="20"/>
                <w:szCs w:val="20"/>
              </w:rPr>
              <w:t>-.22 – .84</w:t>
            </w:r>
          </w:p>
        </w:tc>
        <w:tc>
          <w:tcPr>
            <w:tcW w:w="0" w:type="auto"/>
            <w:tcMar>
              <w:top w:w="113" w:type="dxa"/>
              <w:left w:w="113" w:type="dxa"/>
              <w:bottom w:w="113" w:type="dxa"/>
              <w:right w:w="113" w:type="dxa"/>
            </w:tcMar>
            <w:hideMark/>
          </w:tcPr>
          <w:p w14:paraId="7D24D3CD" w14:textId="7CEAF7D7" w:rsidR="00D96982" w:rsidRPr="006C3889" w:rsidRDefault="00D96982">
            <w:pPr>
              <w:jc w:val="center"/>
              <w:rPr>
                <w:sz w:val="20"/>
                <w:szCs w:val="20"/>
              </w:rPr>
            </w:pPr>
            <w:r w:rsidRPr="006C3889">
              <w:rPr>
                <w:sz w:val="20"/>
                <w:szCs w:val="20"/>
              </w:rPr>
              <w:t>.251</w:t>
            </w:r>
          </w:p>
        </w:tc>
        <w:tc>
          <w:tcPr>
            <w:tcW w:w="0" w:type="auto"/>
            <w:tcMar>
              <w:top w:w="113" w:type="dxa"/>
              <w:left w:w="113" w:type="dxa"/>
              <w:bottom w:w="113" w:type="dxa"/>
              <w:right w:w="113" w:type="dxa"/>
            </w:tcMar>
            <w:hideMark/>
          </w:tcPr>
          <w:p w14:paraId="08DE4DB2" w14:textId="4F95BA16" w:rsidR="00D96982" w:rsidRPr="006C3889" w:rsidRDefault="00D96982">
            <w:pPr>
              <w:jc w:val="center"/>
              <w:rPr>
                <w:sz w:val="20"/>
                <w:szCs w:val="20"/>
              </w:rPr>
            </w:pPr>
            <w:r w:rsidRPr="006C3889">
              <w:rPr>
                <w:sz w:val="20"/>
                <w:szCs w:val="20"/>
              </w:rPr>
              <w:t>-.34</w:t>
            </w:r>
          </w:p>
        </w:tc>
        <w:tc>
          <w:tcPr>
            <w:tcW w:w="0" w:type="auto"/>
            <w:tcMar>
              <w:top w:w="113" w:type="dxa"/>
              <w:left w:w="113" w:type="dxa"/>
              <w:bottom w:w="113" w:type="dxa"/>
              <w:right w:w="113" w:type="dxa"/>
            </w:tcMar>
            <w:hideMark/>
          </w:tcPr>
          <w:p w14:paraId="535760A2" w14:textId="700DB0D5" w:rsidR="00D96982" w:rsidRPr="006C3889" w:rsidRDefault="00D96982">
            <w:pPr>
              <w:jc w:val="center"/>
              <w:rPr>
                <w:sz w:val="20"/>
                <w:szCs w:val="20"/>
              </w:rPr>
            </w:pPr>
            <w:r w:rsidRPr="006C3889">
              <w:rPr>
                <w:sz w:val="20"/>
                <w:szCs w:val="20"/>
              </w:rPr>
              <w:t>-.97 – .29</w:t>
            </w:r>
          </w:p>
        </w:tc>
        <w:tc>
          <w:tcPr>
            <w:tcW w:w="0" w:type="auto"/>
            <w:tcMar>
              <w:top w:w="113" w:type="dxa"/>
              <w:left w:w="113" w:type="dxa"/>
              <w:bottom w:w="113" w:type="dxa"/>
              <w:right w:w="113" w:type="dxa"/>
            </w:tcMar>
            <w:hideMark/>
          </w:tcPr>
          <w:p w14:paraId="5A22FED1" w14:textId="1CB6E675" w:rsidR="00D96982" w:rsidRPr="006C3889" w:rsidRDefault="00D96982">
            <w:pPr>
              <w:jc w:val="center"/>
              <w:rPr>
                <w:sz w:val="20"/>
                <w:szCs w:val="20"/>
              </w:rPr>
            </w:pPr>
            <w:r w:rsidRPr="006C3889">
              <w:rPr>
                <w:sz w:val="20"/>
                <w:szCs w:val="20"/>
              </w:rPr>
              <w:t>.290</w:t>
            </w:r>
          </w:p>
        </w:tc>
      </w:tr>
      <w:tr w:rsidR="00676B9E" w14:paraId="7CD5B1FC" w14:textId="77777777">
        <w:trPr>
          <w:divId w:val="61561199"/>
        </w:trPr>
        <w:tc>
          <w:tcPr>
            <w:tcW w:w="0" w:type="auto"/>
            <w:gridSpan w:val="7"/>
            <w:tcMar>
              <w:top w:w="192" w:type="dxa"/>
              <w:left w:w="15" w:type="dxa"/>
              <w:bottom w:w="15" w:type="dxa"/>
              <w:right w:w="15" w:type="dxa"/>
            </w:tcMar>
            <w:vAlign w:val="center"/>
            <w:hideMark/>
          </w:tcPr>
          <w:p w14:paraId="27016D95" w14:textId="77777777" w:rsidR="00D96982" w:rsidRPr="006C3889" w:rsidRDefault="00D96982">
            <w:pPr>
              <w:rPr>
                <w:b/>
                <w:bCs/>
                <w:sz w:val="20"/>
                <w:szCs w:val="20"/>
              </w:rPr>
            </w:pPr>
            <w:r w:rsidRPr="006C3889">
              <w:rPr>
                <w:b/>
                <w:bCs/>
                <w:sz w:val="20"/>
                <w:szCs w:val="20"/>
              </w:rPr>
              <w:t>Random Effects</w:t>
            </w:r>
          </w:p>
        </w:tc>
      </w:tr>
      <w:tr w:rsidR="00676B9E" w14:paraId="458ACBA1" w14:textId="77777777">
        <w:trPr>
          <w:divId w:val="61561199"/>
        </w:trPr>
        <w:tc>
          <w:tcPr>
            <w:tcW w:w="0" w:type="auto"/>
            <w:tcMar>
              <w:top w:w="57" w:type="dxa"/>
              <w:left w:w="113" w:type="dxa"/>
              <w:bottom w:w="57" w:type="dxa"/>
              <w:right w:w="113" w:type="dxa"/>
            </w:tcMar>
            <w:hideMark/>
          </w:tcPr>
          <w:p w14:paraId="2D1A0DFA" w14:textId="77777777" w:rsidR="00D96982" w:rsidRPr="006C3889" w:rsidRDefault="00D96982">
            <w:pPr>
              <w:rPr>
                <w:sz w:val="20"/>
                <w:szCs w:val="20"/>
              </w:rPr>
            </w:pPr>
            <w:r w:rsidRPr="006C3889">
              <w:rPr>
                <w:sz w:val="20"/>
                <w:szCs w:val="20"/>
              </w:rPr>
              <w:t>σ</w:t>
            </w:r>
            <w:r w:rsidRPr="006C3889">
              <w:rPr>
                <w:sz w:val="20"/>
                <w:szCs w:val="20"/>
                <w:vertAlign w:val="superscript"/>
              </w:rPr>
              <w:t>2</w:t>
            </w:r>
          </w:p>
        </w:tc>
        <w:tc>
          <w:tcPr>
            <w:tcW w:w="0" w:type="auto"/>
            <w:gridSpan w:val="3"/>
            <w:tcMar>
              <w:top w:w="57" w:type="dxa"/>
              <w:left w:w="113" w:type="dxa"/>
              <w:bottom w:w="57" w:type="dxa"/>
              <w:right w:w="113" w:type="dxa"/>
            </w:tcMar>
            <w:hideMark/>
          </w:tcPr>
          <w:p w14:paraId="5B970C5B" w14:textId="5F95493D" w:rsidR="00D96982" w:rsidRPr="006C3889" w:rsidRDefault="00D96982">
            <w:pPr>
              <w:rPr>
                <w:sz w:val="20"/>
                <w:szCs w:val="20"/>
              </w:rPr>
            </w:pPr>
            <w:r w:rsidRPr="006C3889">
              <w:rPr>
                <w:sz w:val="20"/>
                <w:szCs w:val="20"/>
              </w:rPr>
              <w:t>.08</w:t>
            </w:r>
          </w:p>
        </w:tc>
        <w:tc>
          <w:tcPr>
            <w:tcW w:w="0" w:type="auto"/>
            <w:gridSpan w:val="3"/>
            <w:tcMar>
              <w:top w:w="57" w:type="dxa"/>
              <w:left w:w="113" w:type="dxa"/>
              <w:bottom w:w="57" w:type="dxa"/>
              <w:right w:w="113" w:type="dxa"/>
            </w:tcMar>
            <w:hideMark/>
          </w:tcPr>
          <w:p w14:paraId="4CC1E569" w14:textId="3663DBF7" w:rsidR="00D96982" w:rsidRPr="006C3889" w:rsidRDefault="00D96982">
            <w:pPr>
              <w:rPr>
                <w:sz w:val="20"/>
                <w:szCs w:val="20"/>
              </w:rPr>
            </w:pPr>
            <w:r w:rsidRPr="006C3889">
              <w:rPr>
                <w:sz w:val="20"/>
                <w:szCs w:val="20"/>
              </w:rPr>
              <w:t>.09</w:t>
            </w:r>
          </w:p>
        </w:tc>
      </w:tr>
      <w:tr w:rsidR="00676B9E" w14:paraId="55272F41" w14:textId="77777777">
        <w:trPr>
          <w:divId w:val="61561199"/>
        </w:trPr>
        <w:tc>
          <w:tcPr>
            <w:tcW w:w="0" w:type="auto"/>
            <w:tcMar>
              <w:top w:w="57" w:type="dxa"/>
              <w:left w:w="113" w:type="dxa"/>
              <w:bottom w:w="57" w:type="dxa"/>
              <w:right w:w="113" w:type="dxa"/>
            </w:tcMar>
            <w:hideMark/>
          </w:tcPr>
          <w:p w14:paraId="78B2BB33" w14:textId="77777777" w:rsidR="00D96982" w:rsidRPr="006C3889" w:rsidRDefault="00D96982">
            <w:pPr>
              <w:rPr>
                <w:sz w:val="20"/>
                <w:szCs w:val="20"/>
              </w:rPr>
            </w:pPr>
            <w:r w:rsidRPr="006C3889">
              <w:rPr>
                <w:sz w:val="20"/>
                <w:szCs w:val="20"/>
              </w:rPr>
              <w:t>τ</w:t>
            </w:r>
            <w:r w:rsidRPr="006C3889">
              <w:rPr>
                <w:sz w:val="20"/>
                <w:szCs w:val="20"/>
                <w:vertAlign w:val="subscript"/>
              </w:rPr>
              <w:t>00</w:t>
            </w:r>
          </w:p>
        </w:tc>
        <w:tc>
          <w:tcPr>
            <w:tcW w:w="0" w:type="auto"/>
            <w:gridSpan w:val="3"/>
            <w:tcMar>
              <w:top w:w="57" w:type="dxa"/>
              <w:left w:w="113" w:type="dxa"/>
              <w:bottom w:w="57" w:type="dxa"/>
              <w:right w:w="113" w:type="dxa"/>
            </w:tcMar>
            <w:hideMark/>
          </w:tcPr>
          <w:p w14:paraId="7BC479F3" w14:textId="7D278385" w:rsidR="00D96982" w:rsidRPr="006C3889" w:rsidRDefault="00D96982">
            <w:pPr>
              <w:rPr>
                <w:sz w:val="20"/>
                <w:szCs w:val="20"/>
              </w:rPr>
            </w:pPr>
            <w:r w:rsidRPr="006C3889">
              <w:rPr>
                <w:sz w:val="20"/>
                <w:szCs w:val="20"/>
              </w:rPr>
              <w:t xml:space="preserve">.00 </w:t>
            </w:r>
            <w:r w:rsidRPr="006C3889">
              <w:rPr>
                <w:sz w:val="20"/>
                <w:szCs w:val="20"/>
                <w:vertAlign w:val="subscript"/>
              </w:rPr>
              <w:t>id</w:t>
            </w:r>
          </w:p>
        </w:tc>
        <w:tc>
          <w:tcPr>
            <w:tcW w:w="0" w:type="auto"/>
            <w:gridSpan w:val="3"/>
            <w:tcMar>
              <w:top w:w="57" w:type="dxa"/>
              <w:left w:w="113" w:type="dxa"/>
              <w:bottom w:w="57" w:type="dxa"/>
              <w:right w:w="113" w:type="dxa"/>
            </w:tcMar>
            <w:hideMark/>
          </w:tcPr>
          <w:p w14:paraId="3B876B2B" w14:textId="2FFA6F0B" w:rsidR="00D96982" w:rsidRPr="006C3889" w:rsidRDefault="00D96982">
            <w:pPr>
              <w:rPr>
                <w:sz w:val="20"/>
                <w:szCs w:val="20"/>
              </w:rPr>
            </w:pPr>
            <w:r w:rsidRPr="006C3889">
              <w:rPr>
                <w:sz w:val="20"/>
                <w:szCs w:val="20"/>
              </w:rPr>
              <w:t xml:space="preserve">.00 </w:t>
            </w:r>
            <w:r w:rsidRPr="006C3889">
              <w:rPr>
                <w:sz w:val="20"/>
                <w:szCs w:val="20"/>
                <w:vertAlign w:val="subscript"/>
              </w:rPr>
              <w:t>id</w:t>
            </w:r>
          </w:p>
        </w:tc>
      </w:tr>
      <w:tr w:rsidR="00676B9E" w14:paraId="29594AA7" w14:textId="77777777">
        <w:trPr>
          <w:divId w:val="61561199"/>
        </w:trPr>
        <w:tc>
          <w:tcPr>
            <w:tcW w:w="0" w:type="auto"/>
            <w:tcMar>
              <w:top w:w="57" w:type="dxa"/>
              <w:left w:w="113" w:type="dxa"/>
              <w:bottom w:w="57" w:type="dxa"/>
              <w:right w:w="113" w:type="dxa"/>
            </w:tcMar>
            <w:hideMark/>
          </w:tcPr>
          <w:p w14:paraId="5B4CBA43" w14:textId="77777777" w:rsidR="00D96982" w:rsidRPr="006C3889" w:rsidRDefault="00D96982">
            <w:pPr>
              <w:rPr>
                <w:sz w:val="20"/>
                <w:szCs w:val="20"/>
              </w:rPr>
            </w:pPr>
            <w:r w:rsidRPr="006C3889">
              <w:rPr>
                <w:sz w:val="20"/>
                <w:szCs w:val="20"/>
              </w:rPr>
              <w:t>N</w:t>
            </w:r>
          </w:p>
        </w:tc>
        <w:tc>
          <w:tcPr>
            <w:tcW w:w="0" w:type="auto"/>
            <w:gridSpan w:val="3"/>
            <w:tcMar>
              <w:top w:w="57" w:type="dxa"/>
              <w:left w:w="113" w:type="dxa"/>
              <w:bottom w:w="57" w:type="dxa"/>
              <w:right w:w="113" w:type="dxa"/>
            </w:tcMar>
            <w:hideMark/>
          </w:tcPr>
          <w:p w14:paraId="29927A87" w14:textId="77777777" w:rsidR="00D96982" w:rsidRPr="006C3889" w:rsidRDefault="00D96982">
            <w:pPr>
              <w:rPr>
                <w:sz w:val="20"/>
                <w:szCs w:val="20"/>
              </w:rPr>
            </w:pPr>
            <w:r w:rsidRPr="006C3889">
              <w:rPr>
                <w:sz w:val="20"/>
                <w:szCs w:val="20"/>
              </w:rPr>
              <w:t xml:space="preserve">212 </w:t>
            </w:r>
            <w:r w:rsidRPr="006C3889">
              <w:rPr>
                <w:sz w:val="20"/>
                <w:szCs w:val="20"/>
                <w:vertAlign w:val="subscript"/>
              </w:rPr>
              <w:t>id</w:t>
            </w:r>
          </w:p>
        </w:tc>
        <w:tc>
          <w:tcPr>
            <w:tcW w:w="0" w:type="auto"/>
            <w:gridSpan w:val="3"/>
            <w:tcMar>
              <w:top w:w="57" w:type="dxa"/>
              <w:left w:w="113" w:type="dxa"/>
              <w:bottom w:w="57" w:type="dxa"/>
              <w:right w:w="113" w:type="dxa"/>
            </w:tcMar>
            <w:hideMark/>
          </w:tcPr>
          <w:p w14:paraId="73734CE1" w14:textId="77777777" w:rsidR="00D96982" w:rsidRPr="006C3889" w:rsidRDefault="00D96982">
            <w:pPr>
              <w:rPr>
                <w:sz w:val="20"/>
                <w:szCs w:val="20"/>
              </w:rPr>
            </w:pPr>
            <w:r w:rsidRPr="006C3889">
              <w:rPr>
                <w:sz w:val="20"/>
                <w:szCs w:val="20"/>
              </w:rPr>
              <w:t xml:space="preserve">212 </w:t>
            </w:r>
            <w:r w:rsidRPr="006C3889">
              <w:rPr>
                <w:sz w:val="20"/>
                <w:szCs w:val="20"/>
                <w:vertAlign w:val="subscript"/>
              </w:rPr>
              <w:t>id</w:t>
            </w:r>
          </w:p>
        </w:tc>
      </w:tr>
      <w:tr w:rsidR="00676B9E" w14:paraId="2F0BCBE6" w14:textId="77777777" w:rsidTr="00E560B4">
        <w:trPr>
          <w:divId w:val="61561199"/>
        </w:trPr>
        <w:tc>
          <w:tcPr>
            <w:tcW w:w="0" w:type="auto"/>
            <w:tcBorders>
              <w:top w:val="single" w:sz="6" w:space="0" w:color="auto"/>
            </w:tcBorders>
            <w:tcMar>
              <w:top w:w="57" w:type="dxa"/>
              <w:left w:w="113" w:type="dxa"/>
              <w:bottom w:w="57" w:type="dxa"/>
              <w:right w:w="113" w:type="dxa"/>
            </w:tcMar>
            <w:hideMark/>
          </w:tcPr>
          <w:p w14:paraId="6191A655" w14:textId="77777777" w:rsidR="00D96982" w:rsidRPr="006C3889" w:rsidRDefault="00D96982">
            <w:pPr>
              <w:rPr>
                <w:sz w:val="20"/>
                <w:szCs w:val="20"/>
              </w:rPr>
            </w:pPr>
            <w:r w:rsidRPr="006C3889">
              <w:rPr>
                <w:sz w:val="20"/>
                <w:szCs w:val="20"/>
              </w:rPr>
              <w:t>Observations</w:t>
            </w:r>
          </w:p>
        </w:tc>
        <w:tc>
          <w:tcPr>
            <w:tcW w:w="0" w:type="auto"/>
            <w:gridSpan w:val="3"/>
            <w:tcBorders>
              <w:top w:val="single" w:sz="6" w:space="0" w:color="auto"/>
            </w:tcBorders>
            <w:tcMar>
              <w:top w:w="57" w:type="dxa"/>
              <w:left w:w="113" w:type="dxa"/>
              <w:bottom w:w="57" w:type="dxa"/>
              <w:right w:w="113" w:type="dxa"/>
            </w:tcMar>
            <w:hideMark/>
          </w:tcPr>
          <w:p w14:paraId="2BA6F787" w14:textId="77777777" w:rsidR="00D96982" w:rsidRPr="006C3889" w:rsidRDefault="00D96982">
            <w:pPr>
              <w:rPr>
                <w:sz w:val="20"/>
                <w:szCs w:val="20"/>
              </w:rPr>
            </w:pPr>
            <w:r w:rsidRPr="006C3889">
              <w:rPr>
                <w:sz w:val="20"/>
                <w:szCs w:val="20"/>
              </w:rPr>
              <w:t>424</w:t>
            </w:r>
          </w:p>
        </w:tc>
        <w:tc>
          <w:tcPr>
            <w:tcW w:w="0" w:type="auto"/>
            <w:gridSpan w:val="3"/>
            <w:tcBorders>
              <w:top w:val="single" w:sz="6" w:space="0" w:color="auto"/>
            </w:tcBorders>
            <w:tcMar>
              <w:top w:w="57" w:type="dxa"/>
              <w:left w:w="113" w:type="dxa"/>
              <w:bottom w:w="57" w:type="dxa"/>
              <w:right w:w="113" w:type="dxa"/>
            </w:tcMar>
            <w:hideMark/>
          </w:tcPr>
          <w:p w14:paraId="3F72B80E" w14:textId="77777777" w:rsidR="00D96982" w:rsidRPr="006C3889" w:rsidRDefault="00D96982">
            <w:pPr>
              <w:rPr>
                <w:sz w:val="20"/>
                <w:szCs w:val="20"/>
              </w:rPr>
            </w:pPr>
            <w:r w:rsidRPr="006C3889">
              <w:rPr>
                <w:sz w:val="20"/>
                <w:szCs w:val="20"/>
              </w:rPr>
              <w:t>424</w:t>
            </w:r>
          </w:p>
        </w:tc>
      </w:tr>
      <w:tr w:rsidR="00676B9E" w14:paraId="29EB04BA" w14:textId="77777777" w:rsidTr="00E560B4">
        <w:trPr>
          <w:divId w:val="61561199"/>
        </w:trPr>
        <w:tc>
          <w:tcPr>
            <w:tcW w:w="0" w:type="auto"/>
            <w:tcBorders>
              <w:bottom w:val="double" w:sz="6" w:space="0" w:color="auto"/>
            </w:tcBorders>
            <w:tcMar>
              <w:top w:w="57" w:type="dxa"/>
              <w:left w:w="113" w:type="dxa"/>
              <w:bottom w:w="57" w:type="dxa"/>
              <w:right w:w="113" w:type="dxa"/>
            </w:tcMar>
            <w:hideMark/>
          </w:tcPr>
          <w:p w14:paraId="729A1616" w14:textId="77777777" w:rsidR="00D96982" w:rsidRPr="006C3889" w:rsidRDefault="00D96982">
            <w:pPr>
              <w:rPr>
                <w:sz w:val="20"/>
                <w:szCs w:val="20"/>
              </w:rPr>
            </w:pPr>
            <w:r w:rsidRPr="006C3889">
              <w:rPr>
                <w:sz w:val="20"/>
                <w:szCs w:val="20"/>
              </w:rPr>
              <w:t>Marginal R</w:t>
            </w:r>
            <w:r w:rsidRPr="006C3889">
              <w:rPr>
                <w:sz w:val="20"/>
                <w:szCs w:val="20"/>
                <w:vertAlign w:val="superscript"/>
              </w:rPr>
              <w:t>2</w:t>
            </w:r>
            <w:r w:rsidRPr="006C3889">
              <w:rPr>
                <w:sz w:val="20"/>
                <w:szCs w:val="20"/>
              </w:rPr>
              <w:t xml:space="preserve"> / Conditional R</w:t>
            </w:r>
            <w:r w:rsidRPr="006C3889">
              <w:rPr>
                <w:sz w:val="20"/>
                <w:szCs w:val="20"/>
                <w:vertAlign w:val="superscript"/>
              </w:rPr>
              <w:t>2</w:t>
            </w:r>
          </w:p>
        </w:tc>
        <w:tc>
          <w:tcPr>
            <w:tcW w:w="0" w:type="auto"/>
            <w:gridSpan w:val="3"/>
            <w:tcBorders>
              <w:bottom w:val="double" w:sz="6" w:space="0" w:color="auto"/>
            </w:tcBorders>
            <w:tcMar>
              <w:top w:w="57" w:type="dxa"/>
              <w:left w:w="113" w:type="dxa"/>
              <w:bottom w:w="57" w:type="dxa"/>
              <w:right w:w="113" w:type="dxa"/>
            </w:tcMar>
            <w:hideMark/>
          </w:tcPr>
          <w:p w14:paraId="1C4E3A89" w14:textId="067E4D30" w:rsidR="00D96982" w:rsidRPr="006C3889" w:rsidRDefault="00D96982">
            <w:pPr>
              <w:rPr>
                <w:sz w:val="20"/>
                <w:szCs w:val="20"/>
              </w:rPr>
            </w:pPr>
            <w:r w:rsidRPr="006C3889">
              <w:rPr>
                <w:sz w:val="20"/>
                <w:szCs w:val="20"/>
              </w:rPr>
              <w:t>.56 / NA</w:t>
            </w:r>
          </w:p>
        </w:tc>
        <w:tc>
          <w:tcPr>
            <w:tcW w:w="0" w:type="auto"/>
            <w:gridSpan w:val="3"/>
            <w:tcBorders>
              <w:bottom w:val="double" w:sz="6" w:space="0" w:color="auto"/>
            </w:tcBorders>
            <w:tcMar>
              <w:top w:w="57" w:type="dxa"/>
              <w:left w:w="113" w:type="dxa"/>
              <w:bottom w:w="57" w:type="dxa"/>
              <w:right w:w="113" w:type="dxa"/>
            </w:tcMar>
            <w:hideMark/>
          </w:tcPr>
          <w:p w14:paraId="00286D05" w14:textId="73717324" w:rsidR="00D96982" w:rsidRPr="006C3889" w:rsidRDefault="00D96982">
            <w:pPr>
              <w:rPr>
                <w:sz w:val="20"/>
                <w:szCs w:val="20"/>
              </w:rPr>
            </w:pPr>
            <w:r w:rsidRPr="006C3889">
              <w:rPr>
                <w:sz w:val="20"/>
                <w:szCs w:val="20"/>
              </w:rPr>
              <w:t>.4</w:t>
            </w:r>
            <w:r w:rsidR="00676B9E" w:rsidRPr="006C3889">
              <w:rPr>
                <w:sz w:val="20"/>
                <w:szCs w:val="20"/>
              </w:rPr>
              <w:t>6</w:t>
            </w:r>
            <w:r w:rsidRPr="006C3889">
              <w:rPr>
                <w:sz w:val="20"/>
                <w:szCs w:val="20"/>
              </w:rPr>
              <w:t xml:space="preserve"> / NA</w:t>
            </w:r>
          </w:p>
        </w:tc>
      </w:tr>
    </w:tbl>
    <w:p w14:paraId="3F3E9FEB" w14:textId="10B50610"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w:t>
      </w:r>
    </w:p>
    <w:p w14:paraId="18920BCC" w14:textId="3781BE10" w:rsidR="007421DC" w:rsidRDefault="007421DC" w:rsidP="006C01C7">
      <w:pPr>
        <w:spacing w:line="360" w:lineRule="auto"/>
        <w:ind w:firstLine="720"/>
      </w:pPr>
      <w:r>
        <w:lastRenderedPageBreak/>
        <w:t xml:space="preserve">We next conducted a mixed-effect linear regression analysis that modeled causal judgements as a </w:t>
      </w:r>
      <w:r w:rsidRPr="00F36F23">
        <w:rPr>
          <w:i/>
          <w:iCs/>
        </w:rPr>
        <w:t>model 1</w:t>
      </w:r>
      <w:r>
        <w:t xml:space="preserve"> by </w:t>
      </w:r>
      <w:r w:rsidRPr="00F36F23">
        <w:rPr>
          <w:i/>
          <w:iCs/>
        </w:rPr>
        <w:t>model 2</w:t>
      </w:r>
      <w:r>
        <w:t xml:space="preserve"> interaction </w:t>
      </w:r>
      <w:r>
        <w:rPr>
          <w:highlight w:val="white"/>
        </w:rPr>
        <w:t xml:space="preserve">with </w:t>
      </w:r>
      <w:r>
        <w:rPr>
          <w:i/>
          <w:iCs/>
          <w:highlight w:val="white"/>
        </w:rPr>
        <w:t>participant</w:t>
      </w:r>
      <w:r>
        <w:rPr>
          <w:highlight w:val="white"/>
        </w:rPr>
        <w:t xml:space="preserve"> as a random effect.</w:t>
      </w:r>
      <w:r>
        <w:t xml:space="preserve"> These findings showed that model 1 (</w:t>
      </w:r>
      <w:r w:rsidRPr="00E560B4">
        <w:rPr>
          <w:i/>
          <w:iCs/>
        </w:rPr>
        <w:t>B</w:t>
      </w:r>
      <w:r>
        <w:t xml:space="preserve"> = 1.00, </w:t>
      </w:r>
      <w:r w:rsidRPr="00E560B4">
        <w:rPr>
          <w:i/>
          <w:iCs/>
        </w:rPr>
        <w:t>SE</w:t>
      </w:r>
      <w:r>
        <w:t xml:space="preserve"> = .28, </w:t>
      </w:r>
      <w:r w:rsidRPr="00E560B4">
        <w:rPr>
          <w:i/>
          <w:iCs/>
        </w:rPr>
        <w:t>p</w:t>
      </w:r>
      <w:r>
        <w:t xml:space="preserve"> &lt; .001) and model 2 (</w:t>
      </w:r>
      <w:r w:rsidRPr="00E560B4">
        <w:rPr>
          <w:i/>
          <w:iCs/>
        </w:rPr>
        <w:t>B</w:t>
      </w:r>
      <w:r>
        <w:t xml:space="preserve"> = .97, </w:t>
      </w:r>
      <w:r w:rsidRPr="00E560B4">
        <w:rPr>
          <w:i/>
          <w:iCs/>
        </w:rPr>
        <w:t>SE</w:t>
      </w:r>
      <w:r>
        <w:t xml:space="preserve"> = .29, </w:t>
      </w:r>
      <w:r w:rsidRPr="00E560B4">
        <w:rPr>
          <w:i/>
          <w:iCs/>
        </w:rPr>
        <w:t>p</w:t>
      </w:r>
      <w:r>
        <w:t xml:space="preserve"> = .001) were significant predictors of causal judgments, but these main effects were characterized by a significant interaction; </w:t>
      </w:r>
      <w:r w:rsidRPr="00F6539A">
        <w:rPr>
          <w:i/>
          <w:iCs/>
        </w:rPr>
        <w:t>B</w:t>
      </w:r>
      <w:r>
        <w:t xml:space="preserve"> = -1.69, </w:t>
      </w:r>
      <w:r w:rsidRPr="00F6539A">
        <w:rPr>
          <w:i/>
          <w:iCs/>
        </w:rPr>
        <w:t>SE</w:t>
      </w:r>
      <w:r>
        <w:t xml:space="preserve"> = .39, </w:t>
      </w:r>
      <w:r w:rsidRPr="00F6539A">
        <w:rPr>
          <w:i/>
          <w:iCs/>
        </w:rPr>
        <w:t>p</w:t>
      </w:r>
      <w:r>
        <w:t xml:space="preserve"> &lt; .001. As illustrated in </w:t>
      </w:r>
      <w:r w:rsidRPr="00F6539A">
        <w:rPr>
          <w:b/>
          <w:bCs/>
        </w:rPr>
        <w:t>Figure 3</w:t>
      </w:r>
      <w:r>
        <w:t xml:space="preserve">, causal judgements were greatest when outcome </w:t>
      </w:r>
      <w:r w:rsidR="005C55DB">
        <w:t>model estimates</w:t>
      </w:r>
      <w:r>
        <w:t xml:space="preserve"> were high and counterfactual </w:t>
      </w:r>
      <w:r w:rsidR="006C3889">
        <w:t>model estimates</w:t>
      </w:r>
      <w:r>
        <w:t xml:space="preserve"> were low as well as when counterfactual </w:t>
      </w:r>
      <w:r w:rsidR="006C3889">
        <w:t xml:space="preserve">model estimates were </w:t>
      </w:r>
      <w:r>
        <w:t xml:space="preserve">high and outcome </w:t>
      </w:r>
      <w:r w:rsidR="006C3889">
        <w:t xml:space="preserve">model estimates </w:t>
      </w:r>
      <w:r>
        <w:t xml:space="preserve">were low. This </w:t>
      </w:r>
      <w:r w:rsidR="006C3889">
        <w:t xml:space="preserve">finding suggests that outcome assessment and counterfactual thinking predicted causal judgements, supporting counterfactual theories of causal reasoning. </w:t>
      </w:r>
    </w:p>
    <w:p w14:paraId="07652C68" w14:textId="77777777" w:rsidR="006C01C7" w:rsidRDefault="006C01C7" w:rsidP="006C01C7">
      <w:pPr>
        <w:spacing w:line="360" w:lineRule="auto"/>
        <w:ind w:firstLine="720"/>
      </w:pPr>
    </w:p>
    <w:p w14:paraId="35DB4FD3" w14:textId="77777777"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25198E37" w:rsidR="007421DC" w:rsidRPr="006C3889" w:rsidRDefault="007421DC" w:rsidP="006C3889">
      <w:pPr>
        <w:spacing w:line="360" w:lineRule="auto"/>
        <w:rPr>
          <w:sz w:val="20"/>
          <w:szCs w:val="20"/>
        </w:rPr>
      </w:pPr>
      <w:r w:rsidRPr="006C3889">
        <w:rPr>
          <w:b/>
          <w:bCs/>
          <w:sz w:val="20"/>
          <w:szCs w:val="20"/>
        </w:rPr>
        <w:t xml:space="preserve">Figure 3. </w:t>
      </w:r>
      <w:r w:rsidR="006C3889">
        <w:rPr>
          <w:sz w:val="20"/>
          <w:szCs w:val="20"/>
        </w:rPr>
        <w:t xml:space="preserve">Causal judgements as predicted by outcome model estimates and counterfactual model estimates. </w:t>
      </w:r>
    </w:p>
    <w:p w14:paraId="2F63C0F2" w14:textId="77777777" w:rsidR="007421DC" w:rsidRDefault="007421DC" w:rsidP="007421DC">
      <w:pPr>
        <w:spacing w:line="360" w:lineRule="auto"/>
        <w:rPr>
          <w:b/>
          <w:bCs/>
          <w:highlight w:val="yellow"/>
        </w:rPr>
      </w:pPr>
    </w:p>
    <w:p w14:paraId="20EDD883" w14:textId="25604998" w:rsidR="007421DC" w:rsidRPr="005D4D8D" w:rsidRDefault="005D4D8D" w:rsidP="005D4D8D">
      <w:pPr>
        <w:spacing w:line="360" w:lineRule="auto"/>
        <w:ind w:firstLine="720"/>
      </w:pPr>
      <w:r w:rsidRPr="005D4D8D">
        <w:rPr>
          <w:b/>
          <w:bCs/>
        </w:rPr>
        <w:t>Discussion.</w:t>
      </w:r>
      <w:r>
        <w:t xml:space="preserve"> [include after feedback</w:t>
      </w:r>
      <w:r w:rsidR="00307150">
        <w:t>, framed how the intro pans out</w:t>
      </w:r>
      <w:r>
        <w:t xml:space="preserve">]  </w:t>
      </w:r>
    </w:p>
    <w:p w14:paraId="3FB3E7C1" w14:textId="77777777" w:rsidR="007421DC" w:rsidRDefault="007421DC" w:rsidP="00D96982">
      <w:pPr>
        <w:spacing w:line="360" w:lineRule="auto"/>
        <w:rPr>
          <w:b/>
          <w:bCs/>
          <w:highlight w:val="yellow"/>
        </w:rPr>
      </w:pPr>
    </w:p>
    <w:p w14:paraId="67CEBDA7" w14:textId="73CEB538" w:rsidR="00D96982" w:rsidRPr="00533F88" w:rsidRDefault="00D96982" w:rsidP="00D96982">
      <w:pPr>
        <w:spacing w:line="360" w:lineRule="auto"/>
        <w:rPr>
          <w:b/>
          <w:bCs/>
        </w:rPr>
      </w:pPr>
      <w:r w:rsidRPr="005D6336">
        <w:rPr>
          <w:b/>
          <w:bCs/>
        </w:rPr>
        <w:t>Eye tracking pilot</w:t>
      </w:r>
    </w:p>
    <w:p w14:paraId="014EA409" w14:textId="77777777" w:rsidR="00D96982" w:rsidRDefault="00D96982" w:rsidP="00D96982">
      <w:pPr>
        <w:spacing w:line="360" w:lineRule="auto"/>
        <w:rPr>
          <w:b/>
        </w:rPr>
      </w:pPr>
    </w:p>
    <w:p w14:paraId="40F7A41E" w14:textId="77777777" w:rsidR="00D96982" w:rsidRDefault="00D96982" w:rsidP="00D96982">
      <w:pPr>
        <w:spacing w:line="360" w:lineRule="auto"/>
      </w:pPr>
      <w:r>
        <w:rPr>
          <w:b/>
        </w:rPr>
        <w:t>Proposed analyses and anticipated results</w:t>
      </w:r>
    </w:p>
    <w:p w14:paraId="775FEB3D" w14:textId="77777777" w:rsidR="00D96982" w:rsidRDefault="00D96982" w:rsidP="00D96982">
      <w:pPr>
        <w:spacing w:line="360" w:lineRule="auto"/>
        <w:rPr>
          <w:b/>
        </w:rPr>
      </w:pPr>
    </w:p>
    <w:p w14:paraId="35D06E62" w14:textId="77777777" w:rsidR="00D96982" w:rsidRDefault="00D96982" w:rsidP="00D96982">
      <w:pPr>
        <w:spacing w:line="360" w:lineRule="auto"/>
        <w:rPr>
          <w:b/>
        </w:rPr>
      </w:pPr>
      <w:r>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lastRenderedPageBreak/>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lastRenderedPageBreak/>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37F19D86" w:rsidR="008328C1" w:rsidRDefault="008328C1">
      <w:pPr>
        <w:widowControl w:val="0"/>
        <w:pBdr>
          <w:top w:val="nil"/>
          <w:left w:val="nil"/>
          <w:bottom w:val="nil"/>
          <w:right w:val="nil"/>
          <w:between w:val="nil"/>
        </w:pBdr>
        <w:rPr>
          <w:color w:val="000000"/>
        </w:rPr>
      </w:pPr>
      <w:r>
        <w:rPr>
          <w:color w:val="000000"/>
        </w:rPr>
        <w:t xml:space="preserve">I'm currently writing in standard format, but Nat Hum </w:t>
      </w:r>
      <w:proofErr w:type="spellStart"/>
      <w:r>
        <w:rPr>
          <w:color w:val="000000"/>
        </w:rPr>
        <w:t>Behav</w:t>
      </w:r>
      <w:proofErr w:type="spellEnd"/>
      <w:r>
        <w:rPr>
          <w:color w:val="000000"/>
        </w:rPr>
        <w:t xml:space="preserve"> follows a different format so may need to move things around and adjust references to numbers.</w:t>
      </w:r>
    </w:p>
  </w:comment>
  <w:comment w:id="1" w:author="Kristina Krasich" w:date="2020-03-13T00:00:00Z" w:initials="KK">
    <w:p w14:paraId="0D21F9C0" w14:textId="4F056F87" w:rsidR="008328C1" w:rsidRDefault="008328C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8328C1" w:rsidRDefault="008328C1">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66FFC26E" w:rsidR="008328C1" w:rsidRDefault="008328C1">
      <w:pPr>
        <w:widowControl w:val="0"/>
        <w:pBdr>
          <w:top w:val="nil"/>
          <w:left w:val="nil"/>
          <w:bottom w:val="nil"/>
          <w:right w:val="nil"/>
          <w:between w:val="nil"/>
        </w:pBdr>
        <w:rPr>
          <w:color w:val="000000"/>
        </w:rPr>
      </w:pPr>
      <w:r>
        <w:rPr>
          <w:color w:val="000000"/>
        </w:rPr>
        <w:t>Care to add/change this description? I’d like to keep it as simple as possible, but I want to make sure all the important/relevant parts are here.</w:t>
      </w:r>
    </w:p>
  </w:comment>
  <w:comment w:id="5" w:author="Kristina Krasich" w:date="2020-03-12T23:37:00Z" w:initials="KK">
    <w:p w14:paraId="2F74B563" w14:textId="23CC5F8C" w:rsidR="008328C1" w:rsidRDefault="008328C1">
      <w:pPr>
        <w:pStyle w:val="CommentText"/>
      </w:pPr>
      <w:r>
        <w:rPr>
          <w:rStyle w:val="CommentReference"/>
        </w:rPr>
        <w:annotationRef/>
      </w:r>
      <w:r>
        <w:t xml:space="preserve">Wow, I’m so surprised at the lack of work on this idea… Any suggestions? I had originally predicted this because of work showing correlations between mental imagery and depression, anxiety, etc. But, reading through that literature again, I’m not sure if those can be directly applicable here. Thoughts? </w:t>
      </w:r>
    </w:p>
  </w:comment>
  <w:comment w:id="6" w:author="Kevin O'Neill" w:date="2020-03-17T13:09:00Z" w:initials="KO">
    <w:p w14:paraId="5295DB23" w14:textId="12C6FAC1" w:rsidR="008328C1" w:rsidRDefault="008328C1">
      <w:pPr>
        <w:pStyle w:val="CommentText"/>
      </w:pPr>
      <w:r>
        <w:rPr>
          <w:rStyle w:val="CommentReference"/>
        </w:rPr>
        <w:annotationRef/>
      </w:r>
      <w:r>
        <w:t>I think we can first start with the link between vividness and confidence in the mental imagery/memory literature. Then, we can hopefully cite my work on confidence and extremity of causal judgments (being written up now). Then we have a pretty clear jump from vividness -&gt; confidence -&gt; causal judgments</w:t>
      </w:r>
    </w:p>
  </w:comment>
  <w:comment w:id="7" w:author="Kristina Krasich" w:date="2020-04-08T08:42:00Z" w:initials="KK">
    <w:p w14:paraId="3086B23A" w14:textId="21CD3913" w:rsidR="00FF2D04" w:rsidRDefault="00FF2D04">
      <w:pPr>
        <w:pStyle w:val="CommentText"/>
      </w:pPr>
      <w:r>
        <w:rPr>
          <w:rStyle w:val="CommentReference"/>
        </w:rPr>
        <w:annotationRef/>
      </w:r>
      <w:r>
        <w:t xml:space="preserve">We may also be able to draw on vividness vs mental imagery control. Currently, we aren’t measuring control (maybe we should?), but control would be involved in manipulating the mental simulations from what actually happened to what counterfactually could have happened. This is a study idea I’ve been thinking through, as well. </w:t>
      </w:r>
    </w:p>
  </w:comment>
  <w:comment w:id="8" w:author="Kristina Krasich" w:date="2020-02-03T14:51:00Z" w:initials="">
    <w:p w14:paraId="1EC54ECB" w14:textId="582029BD" w:rsidR="008328C1" w:rsidRDefault="008328C1">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Pr>
          <w:color w:val="000000"/>
        </w:rPr>
        <w:br/>
      </w:r>
      <w:r>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Pr>
          <w:color w:val="000000"/>
        </w:rPr>
        <w:t>carlo</w:t>
      </w:r>
      <w:proofErr w:type="spellEnd"/>
      <w:r>
        <w:rPr>
          <w:color w:val="000000"/>
        </w:rPr>
        <w:t xml:space="preserve"> simulations, generate a minimally detectable effect size, and report that in light of our data. I did that in another paper, and it seemed to work out fine.</w:t>
      </w:r>
    </w:p>
  </w:comment>
  <w:comment w:id="9" w:author="Kevin O'Neill" w:date="2020-03-17T13:17:00Z" w:initials="KO">
    <w:p w14:paraId="3573FD30" w14:textId="59EA73A1" w:rsidR="008328C1" w:rsidRDefault="008328C1">
      <w:pPr>
        <w:pStyle w:val="CommentText"/>
      </w:pPr>
      <w:r>
        <w:rPr>
          <w:rStyle w:val="CommentReference"/>
        </w:rPr>
        <w:annotationRef/>
      </w:r>
      <w:r>
        <w:t xml:space="preserve">If we do want to run a power analysis, we should use one geared for a 2 (group) x 3 (rating type) x 2 (success/fail), with vividness and/or confidence as covariates. </w:t>
      </w:r>
    </w:p>
  </w:comment>
  <w:comment w:id="10" w:author="Kristina Krasich" w:date="2020-03-13T01:01:00Z" w:initials="KK">
    <w:p w14:paraId="1213F6BE" w14:textId="14F70E08" w:rsidR="008328C1" w:rsidRDefault="008328C1">
      <w:pPr>
        <w:pStyle w:val="CommentText"/>
      </w:pPr>
      <w:r>
        <w:rPr>
          <w:rStyle w:val="CommentReference"/>
        </w:rPr>
        <w:annotationRef/>
      </w:r>
      <w:r>
        <w:t>We may actually want to make them slightly bigger to encourage more eye movements. This is how they are now.</w:t>
      </w:r>
    </w:p>
  </w:comment>
  <w:comment w:id="11" w:author="Kristina Krasich" w:date="2020-03-13T01:03:00Z" w:initials="KK">
    <w:p w14:paraId="1E22653B" w14:textId="265939B4" w:rsidR="008328C1" w:rsidRDefault="008328C1">
      <w:pPr>
        <w:pStyle w:val="CommentText"/>
      </w:pPr>
      <w:r>
        <w:rPr>
          <w:rStyle w:val="CommentReference"/>
        </w:rPr>
        <w:annotationRef/>
      </w:r>
      <w:r w:rsidR="00BF24C1">
        <w:t>KK, u</w:t>
      </w:r>
      <w:r>
        <w:t>pdated to reflect most recent eye tracking changes to the display (i.e., light gray background, video only 800 x 600 in display,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2F74B563" w15:done="0"/>
  <w15:commentEx w15:paraId="5295DB23" w15:paraIdParent="2F74B563" w15:done="0"/>
  <w15:commentEx w15:paraId="3086B23A" w15:paraIdParent="2F74B563" w15:done="0"/>
  <w15:commentEx w15:paraId="1EC54ECB" w15:done="0"/>
  <w15:commentEx w15:paraId="3573FD30" w15:paraIdParent="1EC54ECB" w15:done="0"/>
  <w15:commentEx w15:paraId="1213F6BE" w15:done="0"/>
  <w15:commentEx w15:paraId="1E226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2F74B563" w16cid:durableId="22154657"/>
  <w16cid:commentId w16cid:paraId="5295DB23" w16cid:durableId="221B4A6D"/>
  <w16cid:commentId w16cid:paraId="3086B23A" w16cid:durableId="22380CE6"/>
  <w16cid:commentId w16cid:paraId="1EC54ECB" w16cid:durableId="21FFC7F1"/>
  <w16cid:commentId w16cid:paraId="3573FD30" w16cid:durableId="221B4C53"/>
  <w16cid:commentId w16cid:paraId="1213F6BE" w16cid:durableId="221559F7"/>
  <w16cid:commentId w16cid:paraId="1E22653B" w16cid:durableId="22155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7D162" w14:textId="77777777" w:rsidR="00AD3120" w:rsidRDefault="00AD3120" w:rsidP="002C0ADC">
      <w:r>
        <w:separator/>
      </w:r>
    </w:p>
  </w:endnote>
  <w:endnote w:type="continuationSeparator" w:id="0">
    <w:p w14:paraId="0CF5425D" w14:textId="77777777" w:rsidR="00AD3120" w:rsidRDefault="00AD3120"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31E5" w14:textId="77777777" w:rsidR="00AD3120" w:rsidRDefault="00AD3120" w:rsidP="002C0ADC">
      <w:r>
        <w:separator/>
      </w:r>
    </w:p>
  </w:footnote>
  <w:footnote w:type="continuationSeparator" w:id="0">
    <w:p w14:paraId="046BDF7C" w14:textId="77777777" w:rsidR="00AD3120" w:rsidRDefault="00AD3120" w:rsidP="002C0ADC">
      <w:r>
        <w:continuationSeparator/>
      </w:r>
    </w:p>
  </w:footnote>
  <w:footnote w:id="1">
    <w:p w14:paraId="0D269610" w14:textId="5C28F176" w:rsidR="008328C1" w:rsidRDefault="008328C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14FF3"/>
    <w:rsid w:val="00022E2A"/>
    <w:rsid w:val="00025225"/>
    <w:rsid w:val="00046037"/>
    <w:rsid w:val="00052181"/>
    <w:rsid w:val="00053325"/>
    <w:rsid w:val="0005354D"/>
    <w:rsid w:val="00054885"/>
    <w:rsid w:val="0006323E"/>
    <w:rsid w:val="000635E6"/>
    <w:rsid w:val="00064032"/>
    <w:rsid w:val="0007112F"/>
    <w:rsid w:val="000822E8"/>
    <w:rsid w:val="000A3D82"/>
    <w:rsid w:val="000C485E"/>
    <w:rsid w:val="000F19EC"/>
    <w:rsid w:val="001279BA"/>
    <w:rsid w:val="00134688"/>
    <w:rsid w:val="001406E5"/>
    <w:rsid w:val="00140866"/>
    <w:rsid w:val="00150F1F"/>
    <w:rsid w:val="00160E9F"/>
    <w:rsid w:val="00170D66"/>
    <w:rsid w:val="001749FA"/>
    <w:rsid w:val="00186822"/>
    <w:rsid w:val="00195176"/>
    <w:rsid w:val="001C1FE5"/>
    <w:rsid w:val="001C4B1E"/>
    <w:rsid w:val="001D1B60"/>
    <w:rsid w:val="001D4E33"/>
    <w:rsid w:val="001E169A"/>
    <w:rsid w:val="001E72F0"/>
    <w:rsid w:val="001F0D7C"/>
    <w:rsid w:val="0022791A"/>
    <w:rsid w:val="0023089E"/>
    <w:rsid w:val="00242DCA"/>
    <w:rsid w:val="00253A04"/>
    <w:rsid w:val="00255A94"/>
    <w:rsid w:val="002577E0"/>
    <w:rsid w:val="00283C66"/>
    <w:rsid w:val="00286D0B"/>
    <w:rsid w:val="00292FCB"/>
    <w:rsid w:val="002A438A"/>
    <w:rsid w:val="002C0ADC"/>
    <w:rsid w:val="002C63A8"/>
    <w:rsid w:val="002D30C6"/>
    <w:rsid w:val="002E6627"/>
    <w:rsid w:val="003001D0"/>
    <w:rsid w:val="00301D40"/>
    <w:rsid w:val="00307150"/>
    <w:rsid w:val="0031195D"/>
    <w:rsid w:val="0031572D"/>
    <w:rsid w:val="0035362E"/>
    <w:rsid w:val="00371754"/>
    <w:rsid w:val="003728FB"/>
    <w:rsid w:val="00392358"/>
    <w:rsid w:val="00393586"/>
    <w:rsid w:val="003B6920"/>
    <w:rsid w:val="003C76CC"/>
    <w:rsid w:val="003E6464"/>
    <w:rsid w:val="00413AFB"/>
    <w:rsid w:val="00440505"/>
    <w:rsid w:val="0044748D"/>
    <w:rsid w:val="004536C8"/>
    <w:rsid w:val="00460CB9"/>
    <w:rsid w:val="00487AB6"/>
    <w:rsid w:val="00494533"/>
    <w:rsid w:val="00495ABE"/>
    <w:rsid w:val="004A48CB"/>
    <w:rsid w:val="004B05F5"/>
    <w:rsid w:val="004E1A60"/>
    <w:rsid w:val="004F0ABC"/>
    <w:rsid w:val="00523A2C"/>
    <w:rsid w:val="00533F88"/>
    <w:rsid w:val="005346F5"/>
    <w:rsid w:val="0053790A"/>
    <w:rsid w:val="00537CCA"/>
    <w:rsid w:val="00547421"/>
    <w:rsid w:val="0059067D"/>
    <w:rsid w:val="005953A8"/>
    <w:rsid w:val="005A32F1"/>
    <w:rsid w:val="005B5981"/>
    <w:rsid w:val="005C55DB"/>
    <w:rsid w:val="005C64D7"/>
    <w:rsid w:val="005C6E2C"/>
    <w:rsid w:val="005C70BB"/>
    <w:rsid w:val="005C745E"/>
    <w:rsid w:val="005D06CD"/>
    <w:rsid w:val="005D4D8D"/>
    <w:rsid w:val="005D617F"/>
    <w:rsid w:val="005D6336"/>
    <w:rsid w:val="005D6601"/>
    <w:rsid w:val="005F157B"/>
    <w:rsid w:val="005F306F"/>
    <w:rsid w:val="0060756A"/>
    <w:rsid w:val="006139A5"/>
    <w:rsid w:val="006306BC"/>
    <w:rsid w:val="00644B45"/>
    <w:rsid w:val="00672E99"/>
    <w:rsid w:val="00676B9E"/>
    <w:rsid w:val="006817E7"/>
    <w:rsid w:val="006822F2"/>
    <w:rsid w:val="00697D50"/>
    <w:rsid w:val="006B2B79"/>
    <w:rsid w:val="006B37F1"/>
    <w:rsid w:val="006C01C7"/>
    <w:rsid w:val="006C3889"/>
    <w:rsid w:val="006C6EB7"/>
    <w:rsid w:val="006D74CE"/>
    <w:rsid w:val="0071374E"/>
    <w:rsid w:val="00731243"/>
    <w:rsid w:val="00732CC5"/>
    <w:rsid w:val="007421DC"/>
    <w:rsid w:val="00742AD3"/>
    <w:rsid w:val="007517D4"/>
    <w:rsid w:val="00760265"/>
    <w:rsid w:val="00764DA6"/>
    <w:rsid w:val="007652D2"/>
    <w:rsid w:val="0076610A"/>
    <w:rsid w:val="00770B26"/>
    <w:rsid w:val="00783DA3"/>
    <w:rsid w:val="007A6021"/>
    <w:rsid w:val="007A6796"/>
    <w:rsid w:val="007C0047"/>
    <w:rsid w:val="007C68F9"/>
    <w:rsid w:val="007D3B49"/>
    <w:rsid w:val="007D7359"/>
    <w:rsid w:val="007F2948"/>
    <w:rsid w:val="007F4FAB"/>
    <w:rsid w:val="00807481"/>
    <w:rsid w:val="00813536"/>
    <w:rsid w:val="008328C1"/>
    <w:rsid w:val="008360C0"/>
    <w:rsid w:val="00860818"/>
    <w:rsid w:val="00887439"/>
    <w:rsid w:val="008A05BD"/>
    <w:rsid w:val="008C5521"/>
    <w:rsid w:val="008D2C3F"/>
    <w:rsid w:val="008D42C5"/>
    <w:rsid w:val="008D4DFA"/>
    <w:rsid w:val="008D5FA1"/>
    <w:rsid w:val="008E1974"/>
    <w:rsid w:val="008F5C74"/>
    <w:rsid w:val="00903228"/>
    <w:rsid w:val="0090751C"/>
    <w:rsid w:val="00912F2C"/>
    <w:rsid w:val="00915A19"/>
    <w:rsid w:val="009255A2"/>
    <w:rsid w:val="0094773C"/>
    <w:rsid w:val="00977ACD"/>
    <w:rsid w:val="00977B41"/>
    <w:rsid w:val="009B0929"/>
    <w:rsid w:val="009B6A70"/>
    <w:rsid w:val="009C681A"/>
    <w:rsid w:val="009D16FF"/>
    <w:rsid w:val="009E0FC8"/>
    <w:rsid w:val="00A058DA"/>
    <w:rsid w:val="00A10963"/>
    <w:rsid w:val="00A42506"/>
    <w:rsid w:val="00A57E86"/>
    <w:rsid w:val="00A8290A"/>
    <w:rsid w:val="00AA2CEE"/>
    <w:rsid w:val="00AA5825"/>
    <w:rsid w:val="00AD3120"/>
    <w:rsid w:val="00AE49C0"/>
    <w:rsid w:val="00B00037"/>
    <w:rsid w:val="00B25C98"/>
    <w:rsid w:val="00B276C8"/>
    <w:rsid w:val="00B5535E"/>
    <w:rsid w:val="00B86AA8"/>
    <w:rsid w:val="00BB37B6"/>
    <w:rsid w:val="00BB595E"/>
    <w:rsid w:val="00BB7B84"/>
    <w:rsid w:val="00BF0CA9"/>
    <w:rsid w:val="00BF24C1"/>
    <w:rsid w:val="00C04AD7"/>
    <w:rsid w:val="00C1346E"/>
    <w:rsid w:val="00C1523F"/>
    <w:rsid w:val="00C46C90"/>
    <w:rsid w:val="00C73643"/>
    <w:rsid w:val="00C74E56"/>
    <w:rsid w:val="00C804CB"/>
    <w:rsid w:val="00C80AE4"/>
    <w:rsid w:val="00C97D1E"/>
    <w:rsid w:val="00CB736F"/>
    <w:rsid w:val="00CD78D6"/>
    <w:rsid w:val="00CE35A8"/>
    <w:rsid w:val="00D11C23"/>
    <w:rsid w:val="00D34761"/>
    <w:rsid w:val="00D45ACD"/>
    <w:rsid w:val="00D5117B"/>
    <w:rsid w:val="00D75E70"/>
    <w:rsid w:val="00D96982"/>
    <w:rsid w:val="00DA0EFA"/>
    <w:rsid w:val="00DA11BA"/>
    <w:rsid w:val="00DA3DC1"/>
    <w:rsid w:val="00DA6619"/>
    <w:rsid w:val="00DB4E2B"/>
    <w:rsid w:val="00DE03C7"/>
    <w:rsid w:val="00DE211B"/>
    <w:rsid w:val="00DE34B7"/>
    <w:rsid w:val="00DE553D"/>
    <w:rsid w:val="00DE5B68"/>
    <w:rsid w:val="00E02063"/>
    <w:rsid w:val="00E15202"/>
    <w:rsid w:val="00E169B5"/>
    <w:rsid w:val="00E16CBE"/>
    <w:rsid w:val="00E20D66"/>
    <w:rsid w:val="00E2621F"/>
    <w:rsid w:val="00E46D83"/>
    <w:rsid w:val="00E47113"/>
    <w:rsid w:val="00E560B4"/>
    <w:rsid w:val="00E64DAD"/>
    <w:rsid w:val="00E76B49"/>
    <w:rsid w:val="00E847C1"/>
    <w:rsid w:val="00EA73C6"/>
    <w:rsid w:val="00EB79FE"/>
    <w:rsid w:val="00EC3FB1"/>
    <w:rsid w:val="00EE4432"/>
    <w:rsid w:val="00EE5CBC"/>
    <w:rsid w:val="00EF7AC5"/>
    <w:rsid w:val="00F032C7"/>
    <w:rsid w:val="00F0530B"/>
    <w:rsid w:val="00F13625"/>
    <w:rsid w:val="00F3642A"/>
    <w:rsid w:val="00F36A1D"/>
    <w:rsid w:val="00F36F23"/>
    <w:rsid w:val="00F51E7C"/>
    <w:rsid w:val="00F529BA"/>
    <w:rsid w:val="00F566F6"/>
    <w:rsid w:val="00F6539A"/>
    <w:rsid w:val="00F82A48"/>
    <w:rsid w:val="00F91001"/>
    <w:rsid w:val="00FA0B4C"/>
    <w:rsid w:val="00FB54B8"/>
    <w:rsid w:val="00FE2D80"/>
    <w:rsid w:val="00FF2D04"/>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16</Pages>
  <Words>4563</Words>
  <Characters>26014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59</cp:revision>
  <dcterms:created xsi:type="dcterms:W3CDTF">2020-03-13T02:49:00Z</dcterms:created>
  <dcterms:modified xsi:type="dcterms:W3CDTF">2020-04-08T13:04:00Z</dcterms:modified>
</cp:coreProperties>
</file>