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2C227" w14:textId="67D04996" w:rsidR="00FE1DDA" w:rsidRDefault="00FE1DDA" w:rsidP="00FE1DDA">
      <w:pPr>
        <w:jc w:val="both"/>
        <w:rPr>
          <w:szCs w:val="21"/>
        </w:rPr>
      </w:pPr>
    </w:p>
    <w:p w14:paraId="12EF36CD" w14:textId="4E12BBFE" w:rsidR="002A6377" w:rsidRDefault="00C74107" w:rsidP="00E75DE0">
      <w:pPr>
        <w:pStyle w:val="AnnexAppendixTitle"/>
      </w:pPr>
      <w:r>
        <w:t>GaR T</w:t>
      </w:r>
      <w:r w:rsidR="00016649">
        <w:t xml:space="preserve">ool: </w:t>
      </w:r>
      <w:r w:rsidR="001E5354">
        <w:fldChar w:fldCharType="begin"/>
      </w:r>
      <w:r w:rsidR="001E5354">
        <w:instrText xml:space="preserve"> TC "</w:instrText>
      </w:r>
      <w:bookmarkStart w:id="0" w:name="_Toc515455203"/>
      <w:r w:rsidR="001E5354" w:rsidRPr="001E5354">
        <w:rPr>
          <w:b w:val="0"/>
        </w:rPr>
        <w:instrText>I.</w:instrText>
      </w:r>
      <w:bookmarkEnd w:id="0"/>
      <w:r w:rsidR="001E5354" w:rsidRPr="001E5354">
        <w:rPr>
          <w:b w:val="0"/>
        </w:rPr>
        <w:instrText>"\</w:instrText>
      </w:r>
      <w:r w:rsidR="001E5354">
        <w:instrText xml:space="preserve">f E </w:instrText>
      </w:r>
      <w:r w:rsidR="001E5354">
        <w:fldChar w:fldCharType="end"/>
      </w:r>
      <w:r w:rsidR="00016649">
        <w:t>Technical Appendix</w:t>
      </w:r>
      <w:r w:rsidR="00016649">
        <w:rPr>
          <w:rStyle w:val="FootnoteReference"/>
        </w:rPr>
        <w:footnoteReference w:id="2"/>
      </w:r>
    </w:p>
    <w:p w14:paraId="72A7BACC" w14:textId="7622AD68" w:rsidR="00D628BD" w:rsidRDefault="00D628BD" w:rsidP="00D628BD">
      <w:pPr>
        <w:pStyle w:val="AnnAppHeading1"/>
      </w:pPr>
      <w:r>
        <w:t>Overview</w:t>
      </w:r>
    </w:p>
    <w:p w14:paraId="67D0F506" w14:textId="5207F995" w:rsidR="00D628BD" w:rsidRDefault="00D628BD" w:rsidP="00E75DE0">
      <w:pPr>
        <w:pStyle w:val="AnnAppHeading1"/>
        <w:rPr>
          <w:b w:val="0"/>
          <w:sz w:val="21"/>
          <w:szCs w:val="21"/>
        </w:rPr>
      </w:pPr>
      <w:r>
        <w:rPr>
          <w:b w:val="0"/>
          <w:sz w:val="21"/>
          <w:szCs w:val="21"/>
        </w:rPr>
        <w:t>The GaR Excel tool is based on a Python backend</w:t>
      </w:r>
      <w:r w:rsidR="00424673">
        <w:rPr>
          <w:rStyle w:val="FootnoteReference"/>
          <w:b w:val="0"/>
          <w:szCs w:val="21"/>
        </w:rPr>
        <w:footnoteReference w:id="3"/>
      </w:r>
      <w:r>
        <w:rPr>
          <w:b w:val="0"/>
          <w:sz w:val="21"/>
          <w:szCs w:val="21"/>
        </w:rPr>
        <w:t xml:space="preserve"> which carries out estimations, optimization, </w:t>
      </w:r>
      <w:r w:rsidR="001549CA">
        <w:rPr>
          <w:b w:val="0"/>
          <w:sz w:val="21"/>
          <w:szCs w:val="21"/>
        </w:rPr>
        <w:t>distribution fit</w:t>
      </w:r>
      <w:r w:rsidR="00E76516">
        <w:rPr>
          <w:b w:val="0"/>
          <w:sz w:val="21"/>
          <w:szCs w:val="21"/>
        </w:rPr>
        <w:t>, simulations and plots.</w:t>
      </w:r>
      <w:r w:rsidR="008A40B9">
        <w:rPr>
          <w:rStyle w:val="FootnoteReference"/>
          <w:b w:val="0"/>
          <w:szCs w:val="21"/>
        </w:rPr>
        <w:footnoteReference w:id="4"/>
      </w:r>
      <w:r>
        <w:rPr>
          <w:b w:val="0"/>
          <w:sz w:val="21"/>
          <w:szCs w:val="21"/>
        </w:rPr>
        <w:t xml:space="preserve"> </w:t>
      </w:r>
      <w:r w:rsidR="004717EF">
        <w:rPr>
          <w:b w:val="0"/>
          <w:sz w:val="21"/>
          <w:szCs w:val="21"/>
        </w:rPr>
        <w:t>The Python codes are available in the subfolder GaR, packaged with the Excel spreadsheet</w:t>
      </w:r>
      <w:r w:rsidR="001D50CB">
        <w:rPr>
          <w:b w:val="0"/>
          <w:sz w:val="21"/>
          <w:szCs w:val="21"/>
        </w:rPr>
        <w:t>; the Excel spreadsheet communicates with Python through a VBA macro interfaced with a dedicated Python package</w:t>
      </w:r>
      <w:r w:rsidR="002E15E1">
        <w:rPr>
          <w:b w:val="0"/>
          <w:sz w:val="21"/>
          <w:szCs w:val="21"/>
        </w:rPr>
        <w:t>,</w:t>
      </w:r>
      <w:r w:rsidR="001D50CB">
        <w:rPr>
          <w:b w:val="0"/>
          <w:sz w:val="21"/>
          <w:szCs w:val="21"/>
        </w:rPr>
        <w:t xml:space="preserve"> “Xlwings”</w:t>
      </w:r>
      <w:r w:rsidR="002E15E1">
        <w:rPr>
          <w:b w:val="0"/>
          <w:sz w:val="21"/>
          <w:szCs w:val="21"/>
        </w:rPr>
        <w:t>,</w:t>
      </w:r>
      <w:r w:rsidR="001D50CB">
        <w:rPr>
          <w:b w:val="0"/>
          <w:sz w:val="21"/>
          <w:szCs w:val="21"/>
        </w:rPr>
        <w:t xml:space="preserve"> which </w:t>
      </w:r>
      <w:r w:rsidR="00DE161D">
        <w:rPr>
          <w:b w:val="0"/>
          <w:sz w:val="21"/>
          <w:szCs w:val="21"/>
        </w:rPr>
        <w:t xml:space="preserve">communicates </w:t>
      </w:r>
      <w:r w:rsidR="001D50CB">
        <w:rPr>
          <w:b w:val="0"/>
          <w:sz w:val="21"/>
          <w:szCs w:val="21"/>
        </w:rPr>
        <w:t>Excel</w:t>
      </w:r>
      <w:r w:rsidR="00DE161D">
        <w:rPr>
          <w:b w:val="0"/>
          <w:sz w:val="21"/>
          <w:szCs w:val="21"/>
        </w:rPr>
        <w:t xml:space="preserve"> inputs</w:t>
      </w:r>
      <w:r w:rsidR="001D50CB">
        <w:rPr>
          <w:b w:val="0"/>
          <w:sz w:val="21"/>
          <w:szCs w:val="21"/>
        </w:rPr>
        <w:t xml:space="preserve"> </w:t>
      </w:r>
      <w:r w:rsidR="00DE161D">
        <w:rPr>
          <w:b w:val="0"/>
          <w:sz w:val="21"/>
          <w:szCs w:val="21"/>
        </w:rPr>
        <w:t xml:space="preserve">to </w:t>
      </w:r>
      <w:r w:rsidR="001D50CB">
        <w:rPr>
          <w:b w:val="0"/>
          <w:sz w:val="21"/>
          <w:szCs w:val="21"/>
        </w:rPr>
        <w:t>Python</w:t>
      </w:r>
      <w:r w:rsidR="00DE161D">
        <w:rPr>
          <w:b w:val="0"/>
          <w:sz w:val="21"/>
          <w:szCs w:val="21"/>
        </w:rPr>
        <w:t xml:space="preserve"> and retrieve</w:t>
      </w:r>
      <w:r w:rsidR="006B3D9A">
        <w:rPr>
          <w:b w:val="0"/>
          <w:sz w:val="21"/>
          <w:szCs w:val="21"/>
        </w:rPr>
        <w:t>s</w:t>
      </w:r>
      <w:r w:rsidR="00DE161D">
        <w:rPr>
          <w:b w:val="0"/>
          <w:sz w:val="21"/>
          <w:szCs w:val="21"/>
        </w:rPr>
        <w:t xml:space="preserve"> Python output back to Excel</w:t>
      </w:r>
      <w:r w:rsidR="004717EF">
        <w:rPr>
          <w:b w:val="0"/>
          <w:sz w:val="21"/>
          <w:szCs w:val="21"/>
        </w:rPr>
        <w:t xml:space="preserve">. </w:t>
      </w:r>
      <w:r w:rsidR="007A16D2">
        <w:rPr>
          <w:b w:val="0"/>
          <w:sz w:val="21"/>
          <w:szCs w:val="21"/>
        </w:rPr>
        <w:t xml:space="preserve">The </w:t>
      </w:r>
      <w:r w:rsidR="00FF7071">
        <w:rPr>
          <w:b w:val="0"/>
          <w:sz w:val="21"/>
          <w:szCs w:val="21"/>
        </w:rPr>
        <w:t xml:space="preserve">full </w:t>
      </w:r>
      <w:r w:rsidR="0033205E">
        <w:rPr>
          <w:b w:val="0"/>
          <w:sz w:val="21"/>
          <w:szCs w:val="21"/>
        </w:rPr>
        <w:t xml:space="preserve">GaR </w:t>
      </w:r>
      <w:r w:rsidR="00FF7071">
        <w:rPr>
          <w:b w:val="0"/>
          <w:sz w:val="21"/>
          <w:szCs w:val="21"/>
        </w:rPr>
        <w:t xml:space="preserve">approach </w:t>
      </w:r>
      <w:r w:rsidR="0033205E">
        <w:rPr>
          <w:b w:val="0"/>
          <w:sz w:val="21"/>
          <w:szCs w:val="21"/>
        </w:rPr>
        <w:t xml:space="preserve">comprises </w:t>
      </w:r>
      <w:r w:rsidR="00023D5C">
        <w:rPr>
          <w:b w:val="0"/>
          <w:sz w:val="21"/>
          <w:szCs w:val="21"/>
        </w:rPr>
        <w:t>6</w:t>
      </w:r>
      <w:r w:rsidR="00FF7071">
        <w:rPr>
          <w:b w:val="0"/>
          <w:sz w:val="21"/>
          <w:szCs w:val="21"/>
        </w:rPr>
        <w:t xml:space="preserve"> steps:</w:t>
      </w:r>
    </w:p>
    <w:p w14:paraId="4A3E440E" w14:textId="05E7C420" w:rsidR="00FF7071" w:rsidRPr="00FF7071" w:rsidRDefault="001877C6" w:rsidP="00FF7071">
      <w:pPr>
        <w:pStyle w:val="AnnAppHeading1"/>
        <w:numPr>
          <w:ilvl w:val="0"/>
          <w:numId w:val="18"/>
        </w:numPr>
      </w:pPr>
      <w:r w:rsidRPr="001877C6">
        <w:rPr>
          <w:sz w:val="21"/>
          <w:szCs w:val="21"/>
        </w:rPr>
        <w:t>Partition:</w:t>
      </w:r>
      <w:r>
        <w:rPr>
          <w:b w:val="0"/>
          <w:sz w:val="21"/>
          <w:szCs w:val="21"/>
        </w:rPr>
        <w:t xml:space="preserve"> </w:t>
      </w:r>
      <w:r w:rsidR="00FF7071">
        <w:rPr>
          <w:b w:val="0"/>
          <w:sz w:val="21"/>
          <w:szCs w:val="21"/>
        </w:rPr>
        <w:t>Partition macrofinancial variables into financial indexes to reduce parameters dimensionality and screen financial information between market trends and idiosyncratic shocks</w:t>
      </w:r>
      <w:r w:rsidR="00295049">
        <w:rPr>
          <w:b w:val="0"/>
          <w:sz w:val="21"/>
          <w:szCs w:val="21"/>
        </w:rPr>
        <w:t>; also, chained-partitions can be computed to mitigate attrition issues in the financial sample</w:t>
      </w:r>
      <w:r w:rsidR="00194B58">
        <w:rPr>
          <w:b w:val="0"/>
          <w:sz w:val="21"/>
          <w:szCs w:val="21"/>
        </w:rPr>
        <w:t xml:space="preserve"> (see below).</w:t>
      </w:r>
    </w:p>
    <w:p w14:paraId="53C1AD0A" w14:textId="17A02BFD" w:rsidR="00FF7071" w:rsidRPr="001877C6" w:rsidRDefault="001877C6" w:rsidP="00FF7071">
      <w:pPr>
        <w:pStyle w:val="AnnAppHeading1"/>
        <w:numPr>
          <w:ilvl w:val="0"/>
          <w:numId w:val="18"/>
        </w:numPr>
      </w:pPr>
      <w:r w:rsidRPr="001877C6">
        <w:rPr>
          <w:sz w:val="21"/>
          <w:szCs w:val="21"/>
        </w:rPr>
        <w:t>Quantile regressions:</w:t>
      </w:r>
      <w:r>
        <w:rPr>
          <w:b w:val="0"/>
          <w:sz w:val="21"/>
          <w:szCs w:val="21"/>
        </w:rPr>
        <w:t xml:space="preserve"> Estimate the forecasting specification of future growth, xx-periods ahead on current macrofinancial conditions, via quantile regressions, for a given set of quantiles</w:t>
      </w:r>
    </w:p>
    <w:p w14:paraId="5F6A78F8" w14:textId="623DDF40" w:rsidR="001877C6" w:rsidRPr="001877C6" w:rsidRDefault="001877C6" w:rsidP="00FF7071">
      <w:pPr>
        <w:pStyle w:val="AnnAppHeading1"/>
        <w:numPr>
          <w:ilvl w:val="0"/>
          <w:numId w:val="18"/>
        </w:numPr>
      </w:pPr>
      <w:r w:rsidRPr="001877C6">
        <w:rPr>
          <w:sz w:val="21"/>
          <w:szCs w:val="21"/>
        </w:rPr>
        <w:t>Tskew fit:</w:t>
      </w:r>
      <w:r>
        <w:rPr>
          <w:b w:val="0"/>
          <w:sz w:val="21"/>
          <w:szCs w:val="21"/>
        </w:rPr>
        <w:t xml:space="preserve"> Based on the conditional quantiles estimated for a given date, fit a Tskew distribution, which is the parametric future growth distribution, conditional to a given set of macrofinancial conditions. Derive the growth at risk at a given threshold.</w:t>
      </w:r>
    </w:p>
    <w:p w14:paraId="227504D3" w14:textId="60AFB5F1" w:rsidR="001877C6" w:rsidRPr="004717EF" w:rsidRDefault="001877C6" w:rsidP="00FF7071">
      <w:pPr>
        <w:pStyle w:val="AnnAppHeading1"/>
        <w:numPr>
          <w:ilvl w:val="0"/>
          <w:numId w:val="18"/>
        </w:numPr>
      </w:pPr>
      <w:r>
        <w:rPr>
          <w:sz w:val="21"/>
          <w:szCs w:val="21"/>
        </w:rPr>
        <w:t>Historical distributions:</w:t>
      </w:r>
      <w:r>
        <w:t xml:space="preserve"> </w:t>
      </w:r>
      <w:r>
        <w:rPr>
          <w:b w:val="0"/>
          <w:sz w:val="21"/>
          <w:szCs w:val="21"/>
        </w:rPr>
        <w:t>the same process can be applied through time, rolling the estimation window and deriving the time-series of the growth at risk, as well as certain parameters of interest (variance, skewness, kurtosis)</w:t>
      </w:r>
    </w:p>
    <w:p w14:paraId="4FE3BC36" w14:textId="16FEBC12" w:rsidR="004717EF" w:rsidRPr="00023D5C" w:rsidRDefault="004717EF" w:rsidP="00FF7071">
      <w:pPr>
        <w:pStyle w:val="AnnAppHeading1"/>
        <w:numPr>
          <w:ilvl w:val="0"/>
          <w:numId w:val="18"/>
        </w:numPr>
      </w:pPr>
      <w:r>
        <w:rPr>
          <w:sz w:val="21"/>
          <w:szCs w:val="21"/>
        </w:rPr>
        <w:lastRenderedPageBreak/>
        <w:t>Counterfactual scenarios:</w:t>
      </w:r>
      <w:r>
        <w:t xml:space="preserve"> </w:t>
      </w:r>
      <w:r w:rsidR="00762316">
        <w:rPr>
          <w:b w:val="0"/>
          <w:sz w:val="21"/>
          <w:szCs w:val="21"/>
        </w:rPr>
        <w:t xml:space="preserve">using the same coefficients of the quantile regressions estimated in step 2, this step derives counterfactual </w:t>
      </w:r>
      <w:r w:rsidR="002C4932">
        <w:rPr>
          <w:b w:val="0"/>
          <w:sz w:val="21"/>
          <w:szCs w:val="21"/>
        </w:rPr>
        <w:t xml:space="preserve">distributions based on simulated macrofinancial conditions. </w:t>
      </w:r>
    </w:p>
    <w:p w14:paraId="4581CA71" w14:textId="12E982A3" w:rsidR="00023D5C" w:rsidRDefault="00023D5C" w:rsidP="00FF7071">
      <w:pPr>
        <w:pStyle w:val="AnnAppHeading1"/>
        <w:numPr>
          <w:ilvl w:val="0"/>
          <w:numId w:val="18"/>
        </w:numPr>
      </w:pPr>
      <w:r>
        <w:rPr>
          <w:sz w:val="21"/>
          <w:szCs w:val="21"/>
        </w:rPr>
        <w:t>Multiple horizons projections:</w:t>
      </w:r>
      <w:r>
        <w:t xml:space="preserve"> </w:t>
      </w:r>
      <w:r w:rsidRPr="00023D5C">
        <w:rPr>
          <w:b w:val="0"/>
          <w:sz w:val="21"/>
          <w:szCs w:val="21"/>
        </w:rPr>
        <w:t>step 3</w:t>
      </w:r>
      <w:r>
        <w:rPr>
          <w:b w:val="0"/>
          <w:sz w:val="21"/>
          <w:szCs w:val="21"/>
        </w:rPr>
        <w:t xml:space="preserve"> is repeated for different dates and horizons, allowing the user to compare how densities evolve with the horizon considered (in a local projection sense). </w:t>
      </w:r>
    </w:p>
    <w:p w14:paraId="0EDF1313" w14:textId="77777777" w:rsidR="00D628BD" w:rsidRDefault="00D628BD" w:rsidP="00E75DE0">
      <w:pPr>
        <w:pStyle w:val="AnnAppHeading1"/>
      </w:pPr>
    </w:p>
    <w:p w14:paraId="34C53A84" w14:textId="267D6453" w:rsidR="007D2CC9" w:rsidRDefault="00707D58" w:rsidP="007D2CC9">
      <w:pPr>
        <w:pStyle w:val="AnnAppHeading1"/>
        <w:numPr>
          <w:ilvl w:val="0"/>
          <w:numId w:val="19"/>
        </w:numPr>
      </w:pPr>
      <w:r>
        <w:t xml:space="preserve">Macrofinancial Variables Partitioning Using </w:t>
      </w:r>
      <w:r w:rsidR="00D8458F">
        <w:t xml:space="preserve">Dimensionality </w:t>
      </w:r>
      <w:r w:rsidR="008647B0">
        <w:t>Reduction</w:t>
      </w:r>
      <w:r>
        <w:t xml:space="preserve"> </w:t>
      </w:r>
    </w:p>
    <w:p w14:paraId="1EF44048" w14:textId="089F1ADD" w:rsidR="007D2CC9" w:rsidRPr="007D2CC9" w:rsidRDefault="007D2CC9" w:rsidP="007D2CC9">
      <w:pPr>
        <w:pStyle w:val="AnnAppHeading1"/>
        <w:rPr>
          <w:bCs/>
          <w:i/>
          <w:sz w:val="21"/>
          <w:szCs w:val="28"/>
        </w:rPr>
      </w:pPr>
      <w:r>
        <w:rPr>
          <w:bCs/>
          <w:i/>
          <w:sz w:val="21"/>
          <w:szCs w:val="28"/>
        </w:rPr>
        <w:t>Partitioning macrofinancial variables: general principles</w:t>
      </w:r>
    </w:p>
    <w:p w14:paraId="09D0CFD1" w14:textId="6E6D1685" w:rsidR="00722FDA" w:rsidRDefault="00FE1DDA" w:rsidP="0036403B">
      <w:pPr>
        <w:pStyle w:val="AnnAppParagraphNumbering"/>
        <w:numPr>
          <w:ilvl w:val="0"/>
          <w:numId w:val="0"/>
        </w:numPr>
        <w:spacing w:line="240" w:lineRule="auto"/>
        <w:ind w:firstLine="720"/>
        <w:rPr>
          <w:szCs w:val="21"/>
        </w:rPr>
      </w:pPr>
      <w:r w:rsidRPr="00B9098B">
        <w:rPr>
          <w:szCs w:val="21"/>
        </w:rPr>
        <w:t xml:space="preserve">The individual </w:t>
      </w:r>
      <w:r w:rsidR="00707D58" w:rsidRPr="00B9098B">
        <w:rPr>
          <w:szCs w:val="21"/>
        </w:rPr>
        <w:t xml:space="preserve">macrofinancial </w:t>
      </w:r>
      <w:r w:rsidRPr="00B9098B">
        <w:rPr>
          <w:szCs w:val="21"/>
        </w:rPr>
        <w:t xml:space="preserve">variables are aggregated into each </w:t>
      </w:r>
      <w:r w:rsidR="00707D58" w:rsidRPr="00B9098B">
        <w:rPr>
          <w:szCs w:val="21"/>
        </w:rPr>
        <w:t>category (</w:t>
      </w:r>
      <w:r w:rsidR="00D628BD">
        <w:rPr>
          <w:szCs w:val="21"/>
        </w:rPr>
        <w:t xml:space="preserve">for instance </w:t>
      </w:r>
      <w:r w:rsidR="00707D58" w:rsidRPr="00B9098B">
        <w:rPr>
          <w:szCs w:val="21"/>
        </w:rPr>
        <w:t>price of risk, leverage and external conditions)</w:t>
      </w:r>
      <w:r w:rsidRPr="00B9098B">
        <w:rPr>
          <w:szCs w:val="21"/>
        </w:rPr>
        <w:t xml:space="preserve"> using</w:t>
      </w:r>
      <w:r w:rsidR="00FA42E7">
        <w:rPr>
          <w:szCs w:val="21"/>
        </w:rPr>
        <w:t xml:space="preserve"> either unsupervised (</w:t>
      </w:r>
      <w:r w:rsidR="00FC0135">
        <w:rPr>
          <w:szCs w:val="21"/>
        </w:rPr>
        <w:t xml:space="preserve">principal component analysis - </w:t>
      </w:r>
      <w:r w:rsidR="00FA42E7">
        <w:rPr>
          <w:szCs w:val="21"/>
        </w:rPr>
        <w:t xml:space="preserve">PCA) or </w:t>
      </w:r>
      <w:r w:rsidRPr="00B9098B">
        <w:rPr>
          <w:szCs w:val="21"/>
        </w:rPr>
        <w:t>supervised</w:t>
      </w:r>
      <w:r w:rsidR="00FA42E7">
        <w:rPr>
          <w:szCs w:val="21"/>
        </w:rPr>
        <w:t xml:space="preserve"> (</w:t>
      </w:r>
      <w:r w:rsidR="00FC0135">
        <w:rPr>
          <w:szCs w:val="21"/>
        </w:rPr>
        <w:t xml:space="preserve">linear discriminant analysis - </w:t>
      </w:r>
      <w:r w:rsidR="00FA42E7">
        <w:rPr>
          <w:szCs w:val="21"/>
        </w:rPr>
        <w:t>LDA)</w:t>
      </w:r>
      <w:r w:rsidRPr="00B9098B">
        <w:rPr>
          <w:szCs w:val="21"/>
        </w:rPr>
        <w:t xml:space="preserve"> </w:t>
      </w:r>
      <w:r w:rsidR="00D8458F">
        <w:rPr>
          <w:szCs w:val="21"/>
        </w:rPr>
        <w:t>dimensionality reduction</w:t>
      </w:r>
      <w:r w:rsidRPr="00B9098B">
        <w:rPr>
          <w:szCs w:val="21"/>
        </w:rPr>
        <w:t xml:space="preserve"> methods.</w:t>
      </w:r>
      <w:r w:rsidRPr="00E75DE0">
        <w:rPr>
          <w:szCs w:val="21"/>
        </w:rPr>
        <w:t xml:space="preserve"> </w:t>
      </w:r>
      <w:r w:rsidR="00385396">
        <w:rPr>
          <w:szCs w:val="21"/>
        </w:rPr>
        <w:t>Technically, this step</w:t>
      </w:r>
      <w:r w:rsidR="00500225">
        <w:rPr>
          <w:szCs w:val="21"/>
        </w:rPr>
        <w:t xml:space="preserve"> is not necessary</w:t>
      </w:r>
      <w:r w:rsidR="00385396">
        <w:rPr>
          <w:szCs w:val="21"/>
        </w:rPr>
        <w:t xml:space="preserve"> for estimating Growth at Risk</w:t>
      </w:r>
      <w:r w:rsidR="00500225">
        <w:rPr>
          <w:szCs w:val="21"/>
        </w:rPr>
        <w:t>, and the tool accommodates</w:t>
      </w:r>
      <w:r w:rsidR="009E2D2A">
        <w:rPr>
          <w:szCs w:val="21"/>
        </w:rPr>
        <w:t xml:space="preserve"> regressions based on raw </w:t>
      </w:r>
      <w:r w:rsidR="00500225">
        <w:rPr>
          <w:szCs w:val="21"/>
        </w:rPr>
        <w:t>variables.</w:t>
      </w:r>
      <w:r w:rsidR="00500225">
        <w:rPr>
          <w:rStyle w:val="FootnoteReference"/>
          <w:szCs w:val="21"/>
        </w:rPr>
        <w:footnoteReference w:id="5"/>
      </w:r>
      <w:r w:rsidR="00500225">
        <w:rPr>
          <w:szCs w:val="21"/>
        </w:rPr>
        <w:t xml:space="preserve"> However, partitioning the variables before running the model has useful advantages: first, it allows to reduce dimensionality parameters, as traditionally used in the literature; </w:t>
      </w:r>
      <w:r w:rsidR="009B5037">
        <w:rPr>
          <w:szCs w:val="21"/>
        </w:rPr>
        <w:t>this is even more important with macro data at the quarterly level, with a limited number of observations. S</w:t>
      </w:r>
      <w:r w:rsidR="00500225">
        <w:rPr>
          <w:szCs w:val="21"/>
        </w:rPr>
        <w:t xml:space="preserve">econd, </w:t>
      </w:r>
      <w:r w:rsidR="0036403B">
        <w:rPr>
          <w:szCs w:val="21"/>
        </w:rPr>
        <w:t xml:space="preserve">using partitioned data </w:t>
      </w:r>
      <w:r w:rsidR="00500225">
        <w:rPr>
          <w:szCs w:val="21"/>
        </w:rPr>
        <w:t xml:space="preserve">often improves the </w:t>
      </w:r>
      <w:r w:rsidR="00306CED">
        <w:rPr>
          <w:szCs w:val="21"/>
        </w:rPr>
        <w:t xml:space="preserve">forecasting </w:t>
      </w:r>
      <w:r w:rsidR="00500225">
        <w:rPr>
          <w:szCs w:val="21"/>
        </w:rPr>
        <w:t>estimation</w:t>
      </w:r>
      <w:r w:rsidR="00306CED">
        <w:rPr>
          <w:szCs w:val="21"/>
        </w:rPr>
        <w:t>s</w:t>
      </w:r>
      <w:r w:rsidR="00500225">
        <w:rPr>
          <w:szCs w:val="21"/>
        </w:rPr>
        <w:t xml:space="preserve"> by extracting common trends in </w:t>
      </w:r>
      <w:r w:rsidR="00306CED">
        <w:rPr>
          <w:szCs w:val="21"/>
        </w:rPr>
        <w:t>financial variables, hence filtering informa</w:t>
      </w:r>
      <w:r w:rsidR="009B5037">
        <w:rPr>
          <w:szCs w:val="21"/>
        </w:rPr>
        <w:t>tion from idiosyncratic noises</w:t>
      </w:r>
      <w:r w:rsidR="00C91AD0">
        <w:rPr>
          <w:szCs w:val="21"/>
        </w:rPr>
        <w:t>.</w:t>
      </w:r>
      <w:r w:rsidR="009B5037">
        <w:rPr>
          <w:szCs w:val="21"/>
        </w:rPr>
        <w:t xml:space="preserve"> </w:t>
      </w:r>
      <w:r w:rsidR="00C91AD0">
        <w:rPr>
          <w:szCs w:val="21"/>
        </w:rPr>
        <w:t>I</w:t>
      </w:r>
      <w:r w:rsidR="00306CED">
        <w:rPr>
          <w:szCs w:val="21"/>
        </w:rPr>
        <w:t>ndividual financial variables, especially in countries with illiquid markets, often exhibit noisy behavior and erratic volatility. However, co</w:t>
      </w:r>
      <w:r w:rsidR="00295049">
        <w:rPr>
          <w:szCs w:val="21"/>
        </w:rPr>
        <w:t>-</w:t>
      </w:r>
      <w:r w:rsidR="00306CED">
        <w:rPr>
          <w:szCs w:val="21"/>
        </w:rPr>
        <w:t xml:space="preserve">movement across a sufficiently large number of financial variables often contains valuable information. </w:t>
      </w:r>
      <w:r w:rsidR="00295049">
        <w:rPr>
          <w:szCs w:val="21"/>
        </w:rPr>
        <w:t xml:space="preserve">Finally, </w:t>
      </w:r>
      <w:r w:rsidR="00C43E89">
        <w:rPr>
          <w:szCs w:val="21"/>
        </w:rPr>
        <w:t>it gives the possibility to compute chained-index partitions, which mitigates attrition</w:t>
      </w:r>
      <w:r w:rsidR="00306CED">
        <w:rPr>
          <w:szCs w:val="21"/>
        </w:rPr>
        <w:t xml:space="preserve"> </w:t>
      </w:r>
      <w:r w:rsidR="00C43E89">
        <w:rPr>
          <w:szCs w:val="21"/>
        </w:rPr>
        <w:t xml:space="preserve">issues in financial samples. </w:t>
      </w:r>
    </w:p>
    <w:p w14:paraId="37304861" w14:textId="0E8C3127" w:rsidR="008647B0" w:rsidRDefault="00CC017C" w:rsidP="009F1ADE">
      <w:pPr>
        <w:pStyle w:val="AnnAppParagraphNumbering"/>
        <w:numPr>
          <w:ilvl w:val="0"/>
          <w:numId w:val="0"/>
        </w:numPr>
        <w:spacing w:line="240" w:lineRule="auto"/>
        <w:ind w:firstLine="720"/>
        <w:rPr>
          <w:szCs w:val="21"/>
        </w:rPr>
      </w:pPr>
      <w:r>
        <w:rPr>
          <w:szCs w:val="21"/>
        </w:rPr>
        <w:t>The literature often use</w:t>
      </w:r>
      <w:r w:rsidR="00944BD9">
        <w:rPr>
          <w:szCs w:val="21"/>
        </w:rPr>
        <w:t>s</w:t>
      </w:r>
      <w:r>
        <w:rPr>
          <w:szCs w:val="21"/>
        </w:rPr>
        <w:t xml:space="preserve"> PCA-based methods to estimate FCIs.</w:t>
      </w:r>
      <w:r w:rsidR="00722FDA">
        <w:rPr>
          <w:rStyle w:val="FootnoteReference"/>
          <w:szCs w:val="21"/>
        </w:rPr>
        <w:footnoteReference w:id="6"/>
      </w:r>
      <w:r>
        <w:rPr>
          <w:szCs w:val="21"/>
        </w:rPr>
        <w:t xml:space="preserve"> </w:t>
      </w:r>
      <w:r w:rsidR="008647B0">
        <w:rPr>
          <w:szCs w:val="21"/>
        </w:rPr>
        <w:t>The tool gives the possibility to aggregate variables using a PCA</w:t>
      </w:r>
      <w:r w:rsidR="00760662">
        <w:rPr>
          <w:szCs w:val="21"/>
        </w:rPr>
        <w:t xml:space="preserve"> within each partition</w:t>
      </w:r>
      <w:r w:rsidR="008647B0">
        <w:rPr>
          <w:szCs w:val="21"/>
        </w:rPr>
        <w:t xml:space="preserve">. </w:t>
      </w:r>
      <w:r w:rsidR="008647B0" w:rsidRPr="00473A18">
        <w:rPr>
          <w:szCs w:val="21"/>
        </w:rPr>
        <w:t xml:space="preserve">Note that by default the tool returns only the first component of the PCA </w:t>
      </w:r>
      <w:r w:rsidR="00BA1ACC" w:rsidRPr="00760662">
        <w:rPr>
          <w:szCs w:val="21"/>
        </w:rPr>
        <w:t>for a given group of variables.</w:t>
      </w:r>
      <w:r w:rsidR="00BA1ACC">
        <w:rPr>
          <w:szCs w:val="21"/>
        </w:rPr>
        <w:t xml:space="preserve"> For instance, if the user supplied into </w:t>
      </w:r>
      <w:r w:rsidR="00BA1ACC">
        <w:rPr>
          <w:szCs w:val="21"/>
        </w:rPr>
        <w:lastRenderedPageBreak/>
        <w:t>the “price of risk” partition the term spread, corporate spread, ted spread and sovereign spread, then the “price of risk” will be the fir</w:t>
      </w:r>
      <w:r w:rsidR="0053623D">
        <w:rPr>
          <w:szCs w:val="21"/>
        </w:rPr>
        <w:t>st component of the PCA of the four</w:t>
      </w:r>
      <w:r w:rsidR="00BA1ACC">
        <w:rPr>
          <w:szCs w:val="21"/>
        </w:rPr>
        <w:t xml:space="preserve"> spreads mentioned above. </w:t>
      </w:r>
      <w:r w:rsidR="00D97B58">
        <w:rPr>
          <w:szCs w:val="21"/>
        </w:rPr>
        <w:t>The</w:t>
      </w:r>
      <w:r w:rsidR="00BA1ACC">
        <w:rPr>
          <w:szCs w:val="21"/>
        </w:rPr>
        <w:t xml:space="preserve"> process is repeated </w:t>
      </w:r>
      <w:r w:rsidR="009B5037">
        <w:rPr>
          <w:szCs w:val="21"/>
        </w:rPr>
        <w:t>for each partition defined by the user in the “Partition groups” spreadsheet</w:t>
      </w:r>
      <w:r w:rsidR="00E9504D">
        <w:rPr>
          <w:szCs w:val="21"/>
        </w:rPr>
        <w:t>. The way the tool works is not standard in the literature: often, econom</w:t>
      </w:r>
      <w:r w:rsidR="00C77C20">
        <w:rPr>
          <w:szCs w:val="21"/>
        </w:rPr>
        <w:t>etricians estimate</w:t>
      </w:r>
      <w:r w:rsidR="00E9504D">
        <w:rPr>
          <w:szCs w:val="21"/>
        </w:rPr>
        <w:t xml:space="preserve"> PCA on the full set of variables and extract the first few components, for instance the first, second and third. Doing so is optimal from a statistical perspective, as it allows to maximize the variance decomposition and deliver orthogonal </w:t>
      </w:r>
      <w:r w:rsidR="00497DC9">
        <w:rPr>
          <w:szCs w:val="21"/>
        </w:rPr>
        <w:t>components</w:t>
      </w:r>
      <w:r w:rsidR="00E9504D">
        <w:rPr>
          <w:szCs w:val="21"/>
        </w:rPr>
        <w:t xml:space="preserve">. However, it is often the case that the first few components of a PCA are difficult to interpret, as the same set of variables can be repeated with different weights. Instead, extracting the first component from an ad-hoc set of variables ensures that </w:t>
      </w:r>
      <w:r w:rsidR="004F61A3">
        <w:rPr>
          <w:szCs w:val="21"/>
        </w:rPr>
        <w:t xml:space="preserve">each </w:t>
      </w:r>
      <w:r w:rsidR="00F017D4">
        <w:rPr>
          <w:szCs w:val="21"/>
        </w:rPr>
        <w:t>component</w:t>
      </w:r>
      <w:r w:rsidR="00E9504D">
        <w:rPr>
          <w:szCs w:val="21"/>
        </w:rPr>
        <w:t xml:space="preserve"> </w:t>
      </w:r>
      <w:r w:rsidR="00B3108B">
        <w:rPr>
          <w:szCs w:val="21"/>
        </w:rPr>
        <w:t>has</w:t>
      </w:r>
      <w:r w:rsidR="00E9504D">
        <w:rPr>
          <w:szCs w:val="21"/>
        </w:rPr>
        <w:t xml:space="preserve"> a straightforward economic interpretation.   </w:t>
      </w:r>
    </w:p>
    <w:p w14:paraId="1152C571" w14:textId="4ECF1FF7" w:rsidR="009F1ADE" w:rsidRPr="00E75DE0" w:rsidRDefault="00BD482B" w:rsidP="00504F0A">
      <w:pPr>
        <w:pStyle w:val="AnnAppParagraphNumbering"/>
        <w:numPr>
          <w:ilvl w:val="0"/>
          <w:numId w:val="0"/>
        </w:numPr>
        <w:spacing w:line="240" w:lineRule="auto"/>
        <w:ind w:firstLine="720"/>
        <w:rPr>
          <w:szCs w:val="21"/>
        </w:rPr>
      </w:pPr>
      <w:r>
        <w:rPr>
          <w:szCs w:val="21"/>
        </w:rPr>
        <w:t>The tool also provides the user with the possibility to use LDA (linear discriminant analysis) instead of PCA</w:t>
      </w:r>
      <w:r w:rsidR="009C3BD3">
        <w:rPr>
          <w:szCs w:val="21"/>
        </w:rPr>
        <w:t xml:space="preserve"> to </w:t>
      </w:r>
      <w:r w:rsidR="003064BE">
        <w:rPr>
          <w:szCs w:val="21"/>
        </w:rPr>
        <w:t xml:space="preserve">compute </w:t>
      </w:r>
      <w:r w:rsidR="009C3BD3">
        <w:rPr>
          <w:szCs w:val="21"/>
        </w:rPr>
        <w:t>the partitions, by extracting the firs</w:t>
      </w:r>
      <w:r w:rsidR="00945A8A">
        <w:rPr>
          <w:szCs w:val="21"/>
        </w:rPr>
        <w:t>t component of a LDA projection</w:t>
      </w:r>
      <w:r w:rsidR="009C3BD3">
        <w:rPr>
          <w:szCs w:val="21"/>
        </w:rPr>
        <w:t xml:space="preserve"> applied to each subgroup</w:t>
      </w:r>
      <w:r>
        <w:rPr>
          <w:szCs w:val="21"/>
        </w:rPr>
        <w:t xml:space="preserve">. </w:t>
      </w:r>
      <w:r w:rsidR="00FE1DDA" w:rsidRPr="00E75DE0">
        <w:rPr>
          <w:szCs w:val="21"/>
        </w:rPr>
        <w:t>One of the issue</w:t>
      </w:r>
      <w:r w:rsidR="00D46305">
        <w:rPr>
          <w:szCs w:val="21"/>
        </w:rPr>
        <w:t>s</w:t>
      </w:r>
      <w:r w:rsidR="00FE1DDA" w:rsidRPr="00E75DE0">
        <w:rPr>
          <w:szCs w:val="21"/>
        </w:rPr>
        <w:t xml:space="preserve"> of the PCA approach is that data reduction is realized via a maximization variance principle among the </w:t>
      </w:r>
      <w:r w:rsidR="000F43A0">
        <w:rPr>
          <w:szCs w:val="21"/>
        </w:rPr>
        <w:t xml:space="preserve">set of </w:t>
      </w:r>
      <w:r w:rsidR="00FE1DDA" w:rsidRPr="00E75DE0">
        <w:rPr>
          <w:szCs w:val="21"/>
        </w:rPr>
        <w:t>individual variables, which might not be relevant</w:t>
      </w:r>
      <w:r w:rsidR="00945A8A">
        <w:rPr>
          <w:szCs w:val="21"/>
        </w:rPr>
        <w:t xml:space="preserve"> information for predicting </w:t>
      </w:r>
      <w:r w:rsidR="00FE1DDA" w:rsidRPr="00E75DE0">
        <w:rPr>
          <w:szCs w:val="21"/>
        </w:rPr>
        <w:t xml:space="preserve">future GDP growth. The </w:t>
      </w:r>
      <w:r w:rsidR="00C547A8">
        <w:rPr>
          <w:szCs w:val="21"/>
        </w:rPr>
        <w:t xml:space="preserve">tool provides the user with the possibility </w:t>
      </w:r>
      <w:r w:rsidR="003C14CB">
        <w:rPr>
          <w:szCs w:val="21"/>
        </w:rPr>
        <w:t>of</w:t>
      </w:r>
      <w:r w:rsidR="00C547A8">
        <w:rPr>
          <w:szCs w:val="21"/>
        </w:rPr>
        <w:t xml:space="preserve"> partition</w:t>
      </w:r>
      <w:r w:rsidR="003C14CB">
        <w:rPr>
          <w:szCs w:val="21"/>
        </w:rPr>
        <w:t>ing</w:t>
      </w:r>
      <w:r w:rsidR="00C547A8">
        <w:rPr>
          <w:szCs w:val="21"/>
        </w:rPr>
        <w:t xml:space="preserve"> variables</w:t>
      </w:r>
      <w:r w:rsidR="00FE1DDA" w:rsidRPr="00E75DE0">
        <w:rPr>
          <w:szCs w:val="21"/>
        </w:rPr>
        <w:t xml:space="preserve"> using </w:t>
      </w:r>
      <w:r w:rsidR="003C14CB">
        <w:rPr>
          <w:szCs w:val="21"/>
        </w:rPr>
        <w:t xml:space="preserve">a </w:t>
      </w:r>
      <w:r w:rsidR="00FE1DDA" w:rsidRPr="00E75DE0">
        <w:rPr>
          <w:szCs w:val="21"/>
        </w:rPr>
        <w:t xml:space="preserve">supervised data reduction </w:t>
      </w:r>
      <w:r w:rsidR="003213F3">
        <w:rPr>
          <w:szCs w:val="21"/>
        </w:rPr>
        <w:t>method</w:t>
      </w:r>
      <w:r w:rsidR="00FE1DDA" w:rsidRPr="00E75DE0">
        <w:rPr>
          <w:szCs w:val="21"/>
        </w:rPr>
        <w:t>, more precisely Linear Discriminant Analysis (LDA). The goal of LDA is to project a dataset onto a lower-dimensional space with good class separability: LDA maximizes the common variance among a set of variables X – as a PCA does – but also ensures that the linear combination of the variables X discriminates the class of a categorical variable y. In the framework, the</w:t>
      </w:r>
      <w:r w:rsidR="00FE1DDA" w:rsidRPr="00E75DE0">
        <w:rPr>
          <w:i/>
          <w:szCs w:val="21"/>
        </w:rPr>
        <w:t xml:space="preserve"> y</w:t>
      </w:r>
      <w:r w:rsidR="00FE1DDA" w:rsidRPr="00E75DE0">
        <w:rPr>
          <w:szCs w:val="21"/>
        </w:rPr>
        <w:t xml:space="preserve"> variable is a dummy (two classes), defined at the country level: y equals 1 when future GDP growth at </w:t>
      </w:r>
      <w:r w:rsidR="00E75DE0" w:rsidRPr="00E75DE0">
        <w:rPr>
          <w:szCs w:val="21"/>
        </w:rPr>
        <w:t>one-year</w:t>
      </w:r>
      <w:r w:rsidR="00313D72">
        <w:rPr>
          <w:szCs w:val="21"/>
        </w:rPr>
        <w:t xml:space="preserve"> level is below the xx</w:t>
      </w:r>
      <w:r w:rsidR="00FE1DDA" w:rsidRPr="00E75DE0">
        <w:rPr>
          <w:szCs w:val="21"/>
          <w:vertAlign w:val="superscript"/>
        </w:rPr>
        <w:t>th</w:t>
      </w:r>
      <w:r w:rsidR="00FE1DDA" w:rsidRPr="00E75DE0">
        <w:rPr>
          <w:szCs w:val="21"/>
        </w:rPr>
        <w:t xml:space="preserve"> historical country-specific percentile and 0 else</w:t>
      </w:r>
      <w:r w:rsidR="00313D72">
        <w:rPr>
          <w:szCs w:val="21"/>
        </w:rPr>
        <w:t xml:space="preserve"> (the input spreadsheet gives the possibility to choose the level on which the variable is discretized from)</w:t>
      </w:r>
      <w:r w:rsidR="00FE1DDA" w:rsidRPr="00E75DE0">
        <w:rPr>
          <w:szCs w:val="21"/>
        </w:rPr>
        <w:t xml:space="preserve">. In other words, the loadings of each individual variables on the LDA component maximizes the separability between low and normal growth regimes. </w:t>
      </w:r>
      <w:r w:rsidR="00CC017C">
        <w:rPr>
          <w:szCs w:val="21"/>
        </w:rPr>
        <w:t>As in a PCA, the</w:t>
      </w:r>
      <w:r w:rsidR="00C31F30">
        <w:rPr>
          <w:szCs w:val="21"/>
        </w:rPr>
        <w:t xml:space="preserve"> input</w:t>
      </w:r>
      <w:r w:rsidR="00CC017C">
        <w:rPr>
          <w:szCs w:val="21"/>
        </w:rPr>
        <w:t xml:space="preserve"> variables are normalized (through</w:t>
      </w:r>
      <w:r w:rsidR="002A0CDE">
        <w:rPr>
          <w:szCs w:val="21"/>
        </w:rPr>
        <w:t xml:space="preserve"> z-score) to avoid distortions due</w:t>
      </w:r>
      <w:r w:rsidR="003C14CB">
        <w:rPr>
          <w:szCs w:val="21"/>
        </w:rPr>
        <w:t xml:space="preserve"> to</w:t>
      </w:r>
      <w:r w:rsidR="002A0CDE">
        <w:rPr>
          <w:szCs w:val="21"/>
        </w:rPr>
        <w:t xml:space="preserve"> heterogeneity in </w:t>
      </w:r>
      <w:r w:rsidR="006B55DC">
        <w:rPr>
          <w:szCs w:val="21"/>
        </w:rPr>
        <w:t xml:space="preserve">variables </w:t>
      </w:r>
      <w:r w:rsidR="002A0CDE">
        <w:rPr>
          <w:szCs w:val="21"/>
        </w:rPr>
        <w:t>scale.</w:t>
      </w:r>
    </w:p>
    <w:p w14:paraId="47CDC4EA" w14:textId="77777777" w:rsidR="00FE1DDA" w:rsidRPr="00046359" w:rsidRDefault="00FE1DDA" w:rsidP="00E75DE0">
      <w:pPr>
        <w:pStyle w:val="Heading4"/>
      </w:pPr>
      <w:bookmarkStart w:id="2" w:name="_Hlk524823156"/>
      <w:r w:rsidRPr="00046359">
        <w:t>Formal derivation of the linear discriminant analysis</w:t>
      </w:r>
      <w:bookmarkEnd w:id="2"/>
      <w:r>
        <w:rPr>
          <w:rStyle w:val="FootnoteReference"/>
        </w:rPr>
        <w:footnoteReference w:id="7"/>
      </w:r>
    </w:p>
    <w:p w14:paraId="3C080F56" w14:textId="77777777" w:rsidR="00FE1DDA" w:rsidRPr="00E75DE0" w:rsidRDefault="00FE1DDA" w:rsidP="00A22508">
      <w:pPr>
        <w:pStyle w:val="AnnAppParagraphNumbering"/>
        <w:numPr>
          <w:ilvl w:val="0"/>
          <w:numId w:val="0"/>
        </w:numPr>
        <w:spacing w:line="240" w:lineRule="auto"/>
        <w:ind w:firstLine="720"/>
        <w:rPr>
          <w:szCs w:val="21"/>
        </w:rPr>
      </w:pPr>
      <w:r w:rsidRPr="00E75DE0">
        <w:rPr>
          <w:szCs w:val="21"/>
        </w:rPr>
        <w:lastRenderedPageBreak/>
        <w:t xml:space="preserve">From a matrix of observations X of size (n*c), composed of individual variables </w:t>
      </w:r>
      <m:oMath>
        <m:sSub>
          <m:sSubPr>
            <m:ctrlPr>
              <w:rPr>
                <w:rFonts w:ascii="Cambria Math" w:hAnsi="Cambria Math"/>
                <w:szCs w:val="21"/>
              </w:rPr>
            </m:ctrlPr>
          </m:sSubPr>
          <m:e>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k</m:t>
                </m:r>
              </m:sub>
            </m:sSub>
            <m:r>
              <m:rPr>
                <m:sty m:val="p"/>
              </m:rPr>
              <w:rPr>
                <w:rFonts w:ascii="Cambria Math" w:hAnsi="Cambria Math"/>
                <w:szCs w:val="21"/>
              </w:rPr>
              <m:t>}</m:t>
            </m:r>
          </m:e>
          <m:sub>
            <m:r>
              <w:rPr>
                <w:rFonts w:ascii="Cambria Math" w:hAnsi="Cambria Math"/>
                <w:szCs w:val="21"/>
              </w:rPr>
              <m:t>k</m:t>
            </m:r>
            <m:r>
              <m:rPr>
                <m:sty m:val="p"/>
              </m:rPr>
              <w:rPr>
                <w:rFonts w:ascii="Cambria Math" w:hAnsi="Cambria Math"/>
                <w:szCs w:val="21"/>
              </w:rPr>
              <m:t xml:space="preserve"> ∈{1,…,</m:t>
            </m:r>
            <m:r>
              <w:rPr>
                <w:rFonts w:ascii="Cambria Math" w:hAnsi="Cambria Math"/>
                <w:szCs w:val="21"/>
              </w:rPr>
              <m:t>n</m:t>
            </m:r>
            <m:r>
              <m:rPr>
                <m:sty m:val="p"/>
              </m:rPr>
              <w:rPr>
                <w:rFonts w:ascii="Cambria Math" w:hAnsi="Cambria Math"/>
                <w:szCs w:val="21"/>
              </w:rPr>
              <m:t>}</m:t>
            </m:r>
          </m:sub>
        </m:sSub>
      </m:oMath>
      <w:r w:rsidRPr="00E75DE0">
        <w:rPr>
          <w:szCs w:val="21"/>
        </w:rPr>
        <w:t xml:space="preserve"> divided among classes defined by the categorical variable y taking values in a discrete set C= {1,…c},</w:t>
      </w:r>
      <w:r w:rsidRPr="00E75DE0">
        <w:rPr>
          <w:szCs w:val="21"/>
        </w:rPr>
        <w:footnoteReference w:id="8"/>
      </w:r>
      <w:r w:rsidRPr="00E75DE0">
        <w:rPr>
          <w:szCs w:val="21"/>
        </w:rPr>
        <w:t xml:space="preserve"> the within-class and between-class scatter matrices are defined respectively as:</w:t>
      </w:r>
    </w:p>
    <w:p w14:paraId="1C413747" w14:textId="51A90EB5" w:rsidR="00FE1DDA" w:rsidRPr="00E75DE0" w:rsidRDefault="00AE1FF5" w:rsidP="00E75DE0">
      <w:pPr>
        <w:pStyle w:val="AnnAppParagraphNumbering"/>
        <w:spacing w:line="240" w:lineRule="auto"/>
        <w:ind w:left="0" w:firstLine="0"/>
        <w:rPr>
          <w:szCs w:val="21"/>
        </w:rPr>
      </w:pP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W</m:t>
            </m:r>
          </m:sub>
        </m:sSub>
        <m:r>
          <m:rPr>
            <m:sty m:val="p"/>
          </m:rPr>
          <w:rPr>
            <w:rFonts w:ascii="Cambria Math" w:hAnsi="Cambria Math"/>
            <w:szCs w:val="21"/>
          </w:rPr>
          <m:t xml:space="preserve">= </m:t>
        </m:r>
        <m:nary>
          <m:naryPr>
            <m:chr m:val="∑"/>
            <m:limLoc m:val="undOvr"/>
            <m:ctrlPr>
              <w:rPr>
                <w:rFonts w:ascii="Cambria Math" w:hAnsi="Cambria Math"/>
                <w:szCs w:val="21"/>
              </w:rPr>
            </m:ctrlPr>
          </m:naryPr>
          <m:sub>
            <m:r>
              <w:rPr>
                <w:rFonts w:ascii="Cambria Math" w:hAnsi="Cambria Math"/>
                <w:szCs w:val="21"/>
              </w:rPr>
              <m:t>i</m:t>
            </m:r>
            <m:r>
              <m:rPr>
                <m:sty m:val="p"/>
              </m:rPr>
              <w:rPr>
                <w:rFonts w:ascii="Cambria Math" w:hAnsi="Cambria Math"/>
                <w:szCs w:val="21"/>
              </w:rPr>
              <m:t>=1</m:t>
            </m:r>
          </m:sub>
          <m:sup>
            <m:r>
              <w:rPr>
                <w:rFonts w:ascii="Cambria Math" w:hAnsi="Cambria Math"/>
                <w:szCs w:val="21"/>
              </w:rPr>
              <m:t>c</m:t>
            </m:r>
          </m:sup>
          <m:e>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r>
                  <m:rPr>
                    <m:sty m:val="p"/>
                  </m:rPr>
                  <w:rPr>
                    <w:rFonts w:ascii="Cambria Math" w:hAnsi="Cambria Math"/>
                    <w:szCs w:val="21"/>
                  </w:rPr>
                  <m:t xml:space="preserve"> </m:t>
                </m:r>
              </m:sub>
            </m:sSub>
          </m:e>
        </m:nary>
      </m:oMath>
      <w:r w:rsidR="00FE1DDA" w:rsidRPr="00E75DE0">
        <w:rPr>
          <w:szCs w:val="21"/>
        </w:rPr>
        <w:t xml:space="preserve"> where </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r>
          <m:rPr>
            <m:sty m:val="p"/>
          </m:rPr>
          <w:rPr>
            <w:rFonts w:ascii="Cambria Math" w:hAnsi="Cambria Math"/>
            <w:szCs w:val="21"/>
          </w:rPr>
          <m:t xml:space="preserve">= </m:t>
        </m:r>
        <m:sSup>
          <m:sSupPr>
            <m:ctrlPr>
              <w:rPr>
                <w:rFonts w:ascii="Cambria Math" w:hAnsi="Cambria Math"/>
                <w:szCs w:val="21"/>
              </w:rPr>
            </m:ctrlPr>
          </m:sSupPr>
          <m:e>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C</m:t>
                    </m:r>
                  </m:e>
                  <m:sub>
                    <m:r>
                      <w:rPr>
                        <w:rFonts w:ascii="Cambria Math" w:hAnsi="Cambria Math"/>
                        <w:szCs w:val="21"/>
                      </w:rPr>
                      <m:t>i</m:t>
                    </m:r>
                  </m:sub>
                </m:sSub>
              </m:sub>
              <m:sup/>
              <m:e>
                <m:r>
                  <m:rPr>
                    <m:sty m:val="p"/>
                  </m:rPr>
                  <w:rPr>
                    <w:rFonts w:ascii="Cambria Math" w:hAnsi="Cambria Math"/>
                    <w:szCs w:val="21"/>
                  </w:rPr>
                  <m:t xml:space="preserve"> </m:t>
                </m:r>
                <m:d>
                  <m:dPr>
                    <m:ctrlPr>
                      <w:rPr>
                        <w:rFonts w:ascii="Cambria Math" w:hAnsi="Cambria Math"/>
                        <w:szCs w:val="21"/>
                      </w:rPr>
                    </m:ctrlPr>
                  </m:dPr>
                  <m:e>
                    <m:r>
                      <w:rPr>
                        <w:rFonts w:ascii="Cambria Math" w:hAnsi="Cambria Math"/>
                        <w:szCs w:val="21"/>
                      </w:rPr>
                      <m:t>x</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m</m:t>
                        </m:r>
                      </m:e>
                      <m:sub>
                        <m:r>
                          <w:rPr>
                            <w:rFonts w:ascii="Cambria Math" w:hAnsi="Cambria Math"/>
                            <w:szCs w:val="21"/>
                          </w:rPr>
                          <m:t>i</m:t>
                        </m:r>
                      </m:sub>
                    </m:sSub>
                  </m:e>
                </m:d>
                <m:d>
                  <m:dPr>
                    <m:ctrlPr>
                      <w:rPr>
                        <w:rFonts w:ascii="Cambria Math" w:hAnsi="Cambria Math"/>
                        <w:szCs w:val="21"/>
                      </w:rPr>
                    </m:ctrlPr>
                  </m:dPr>
                  <m:e>
                    <m:r>
                      <w:rPr>
                        <w:rFonts w:ascii="Cambria Math" w:hAnsi="Cambria Math"/>
                        <w:szCs w:val="21"/>
                      </w:rPr>
                      <m:t>x</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m</m:t>
                        </m:r>
                      </m:e>
                      <m:sub>
                        <m:r>
                          <w:rPr>
                            <w:rFonts w:ascii="Cambria Math" w:hAnsi="Cambria Math"/>
                            <w:szCs w:val="21"/>
                          </w:rPr>
                          <m:t>i</m:t>
                        </m:r>
                      </m:sub>
                    </m:sSub>
                  </m:e>
                </m:d>
              </m:e>
            </m:nary>
          </m:e>
          <m:sup>
            <m:r>
              <m:rPr>
                <m:sty m:val="p"/>
              </m:rPr>
              <w:rPr>
                <w:rFonts w:ascii="Cambria Math" w:hAnsi="Cambria Math"/>
                <w:szCs w:val="21"/>
              </w:rPr>
              <m:t>'</m:t>
            </m:r>
          </m:sup>
        </m:sSup>
        <m:r>
          <m:rPr>
            <m:sty m:val="p"/>
          </m:rPr>
          <w:rPr>
            <w:rFonts w:ascii="Cambria Math" w:hAnsi="Cambria Math"/>
            <w:szCs w:val="21"/>
          </w:rPr>
          <m:t xml:space="preserve"> </m:t>
        </m:r>
      </m:oMath>
      <w:r w:rsidR="00FE1DDA" w:rsidRPr="00E75DE0">
        <w:rPr>
          <w:szCs w:val="21"/>
        </w:rPr>
        <w:t xml:space="preserve">is a scatter matrix for every class, where </w:t>
      </w:r>
      <m:oMath>
        <m:sSub>
          <m:sSubPr>
            <m:ctrlPr>
              <w:rPr>
                <w:rFonts w:ascii="Cambria Math" w:hAnsi="Cambria Math"/>
                <w:szCs w:val="21"/>
              </w:rPr>
            </m:ctrlPr>
          </m:sSubPr>
          <m:e>
            <m:r>
              <w:rPr>
                <w:rFonts w:ascii="Cambria Math" w:hAnsi="Cambria Math"/>
                <w:szCs w:val="21"/>
              </w:rPr>
              <m:t>m</m:t>
            </m:r>
          </m:e>
          <m:sub>
            <m:r>
              <w:rPr>
                <w:rFonts w:ascii="Cambria Math" w:hAnsi="Cambria Math"/>
                <w:szCs w:val="21"/>
              </w:rPr>
              <m:t>i</m:t>
            </m:r>
          </m:sub>
        </m:sSub>
        <m:r>
          <m:rPr>
            <m:sty m:val="p"/>
          </m:rPr>
          <w:rPr>
            <w:rFonts w:ascii="Cambria Math" w:hAnsi="Cambria Math"/>
            <w:szCs w:val="21"/>
          </w:rPr>
          <m:t xml:space="preserve"> </m:t>
        </m:r>
      </m:oMath>
      <w:r w:rsidR="00FE1DDA" w:rsidRPr="00E75DE0">
        <w:rPr>
          <w:szCs w:val="21"/>
        </w:rPr>
        <w:t xml:space="preserve">is the mean vector of variables </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k</m:t>
            </m:r>
          </m:sub>
        </m:sSub>
      </m:oMath>
      <w:r w:rsidR="00FE1DDA" w:rsidRPr="00E75DE0">
        <w:rPr>
          <w:szCs w:val="21"/>
        </w:rPr>
        <w:t xml:space="preserve"> , for each category of y (in the case of the </w:t>
      </w:r>
      <w:r w:rsidR="003C722E">
        <w:rPr>
          <w:szCs w:val="21"/>
        </w:rPr>
        <w:t>tool</w:t>
      </w:r>
      <w:r w:rsidR="00FE1DDA" w:rsidRPr="00E75DE0">
        <w:rPr>
          <w:szCs w:val="21"/>
        </w:rPr>
        <w:t xml:space="preserve">, low versus normal growth regime); </w:t>
      </w:r>
      <m:oMath>
        <m:sSub>
          <m:sSubPr>
            <m:ctrlPr>
              <w:rPr>
                <w:rFonts w:ascii="Cambria Math" w:hAnsi="Cambria Math"/>
                <w:szCs w:val="21"/>
              </w:rPr>
            </m:ctrlPr>
          </m:sSubPr>
          <m:e>
            <m:r>
              <w:rPr>
                <w:rFonts w:ascii="Cambria Math" w:hAnsi="Cambria Math"/>
                <w:szCs w:val="21"/>
              </w:rPr>
              <m:t>m</m:t>
            </m:r>
          </m:e>
          <m:sub>
            <m:r>
              <w:rPr>
                <w:rFonts w:ascii="Cambria Math" w:hAnsi="Cambria Math"/>
                <w:szCs w:val="21"/>
              </w:rPr>
              <m:t>i</m:t>
            </m:r>
          </m:sub>
        </m:sSub>
        <m:r>
          <m:rPr>
            <m:sty m:val="p"/>
          </m:rPr>
          <w:rPr>
            <w:rFonts w:ascii="Cambria Math" w:hAnsi="Cambria Math"/>
            <w:szCs w:val="21"/>
          </w:rPr>
          <m:t xml:space="preserve">= </m:t>
        </m:r>
        <m:f>
          <m:fPr>
            <m:ctrlPr>
              <w:rPr>
                <w:rFonts w:ascii="Cambria Math" w:hAnsi="Cambria Math"/>
                <w:szCs w:val="21"/>
              </w:rPr>
            </m:ctrlPr>
          </m:fPr>
          <m:num>
            <m:r>
              <m:rPr>
                <m:sty m:val="p"/>
              </m:rPr>
              <w:rPr>
                <w:rFonts w:ascii="Cambria Math" w:hAnsi="Cambria Math"/>
                <w:szCs w:val="21"/>
              </w:rPr>
              <m:t>1</m:t>
            </m:r>
          </m:num>
          <m:den>
            <m:sSub>
              <m:sSubPr>
                <m:ctrlPr>
                  <w:rPr>
                    <w:rFonts w:ascii="Cambria Math" w:hAnsi="Cambria Math"/>
                    <w:szCs w:val="21"/>
                  </w:rPr>
                </m:ctrlPr>
              </m:sSubPr>
              <m:e>
                <m:r>
                  <w:rPr>
                    <w:rFonts w:ascii="Cambria Math" w:hAnsi="Cambria Math"/>
                    <w:szCs w:val="21"/>
                  </w:rPr>
                  <m:t>n</m:t>
                </m:r>
              </m:e>
              <m:sub>
                <m:r>
                  <w:rPr>
                    <w:rFonts w:ascii="Cambria Math" w:hAnsi="Cambria Math"/>
                    <w:szCs w:val="21"/>
                  </w:rPr>
                  <m:t>i</m:t>
                </m:r>
              </m:sub>
            </m:sSub>
          </m:den>
        </m:f>
        <m:r>
          <m:rPr>
            <m:sty m:val="p"/>
          </m:rPr>
          <w:rPr>
            <w:rFonts w:ascii="Cambria Math" w:hAnsi="Cambria Math"/>
            <w:szCs w:val="21"/>
          </w:rPr>
          <m:t xml:space="preserve"> </m:t>
        </m:r>
        <m:nary>
          <m:naryPr>
            <m:chr m:val="∑"/>
            <m:limLoc m:val="undOvr"/>
            <m:ctrlPr>
              <w:rPr>
                <w:rFonts w:ascii="Cambria Math" w:hAnsi="Cambria Math"/>
                <w:szCs w:val="21"/>
              </w:rPr>
            </m:ctrlPr>
          </m:naryPr>
          <m:sub>
            <m:r>
              <w:rPr>
                <w:rFonts w:ascii="Cambria Math" w:hAnsi="Cambria Math"/>
                <w:szCs w:val="21"/>
              </w:rPr>
              <m:t>i</m:t>
            </m:r>
            <m:r>
              <m:rPr>
                <m:sty m:val="p"/>
              </m:rPr>
              <w:rPr>
                <w:rFonts w:ascii="Cambria Math" w:hAnsi="Cambria Math"/>
                <w:szCs w:val="21"/>
              </w:rPr>
              <m:t xml:space="preserve"> ∈ </m:t>
            </m:r>
            <m:sSub>
              <m:sSubPr>
                <m:ctrlPr>
                  <w:rPr>
                    <w:rFonts w:ascii="Cambria Math" w:hAnsi="Cambria Math"/>
                    <w:szCs w:val="21"/>
                  </w:rPr>
                </m:ctrlPr>
              </m:sSubPr>
              <m:e>
                <m:r>
                  <w:rPr>
                    <w:rFonts w:ascii="Cambria Math" w:hAnsi="Cambria Math"/>
                    <w:szCs w:val="21"/>
                  </w:rPr>
                  <m:t>C</m:t>
                </m:r>
              </m:e>
              <m:sub>
                <m:r>
                  <w:rPr>
                    <w:rFonts w:ascii="Cambria Math" w:hAnsi="Cambria Math"/>
                    <w:szCs w:val="21"/>
                  </w:rPr>
                  <m:t>i</m:t>
                </m:r>
              </m:sub>
            </m:sSub>
          </m:sub>
          <m:sup>
            <m:r>
              <w:rPr>
                <w:rFonts w:ascii="Cambria Math" w:hAnsi="Cambria Math"/>
                <w:szCs w:val="21"/>
              </w:rPr>
              <m:t>n</m:t>
            </m:r>
          </m:sup>
          <m:e>
            <m:sSub>
              <m:sSubPr>
                <m:ctrlPr>
                  <w:rPr>
                    <w:rFonts w:ascii="Cambria Math" w:hAnsi="Cambria Math"/>
                    <w:szCs w:val="21"/>
                  </w:rPr>
                </m:ctrlPr>
              </m:sSubPr>
              <m:e>
                <m:r>
                  <w:rPr>
                    <w:rFonts w:ascii="Cambria Math" w:hAnsi="Cambria Math"/>
                    <w:szCs w:val="21"/>
                  </w:rPr>
                  <m:t>x</m:t>
                </m:r>
              </m:e>
              <m:sub>
                <m:r>
                  <w:rPr>
                    <w:rFonts w:ascii="Cambria Math" w:hAnsi="Cambria Math"/>
                    <w:szCs w:val="21"/>
                  </w:rPr>
                  <m:t>k</m:t>
                </m:r>
              </m:sub>
            </m:sSub>
          </m:e>
        </m:nary>
      </m:oMath>
      <w:r w:rsidR="00FE1DDA" w:rsidRPr="00E75DE0">
        <w:rPr>
          <w:szCs w:val="21"/>
        </w:rPr>
        <w:t xml:space="preserve"> </w:t>
      </w:r>
    </w:p>
    <w:p w14:paraId="0CF25AE4" w14:textId="77777777" w:rsidR="00FE1DDA" w:rsidRDefault="00AE1FF5" w:rsidP="00FE1DD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m:t>
        </m:r>
      </m:oMath>
      <w:r w:rsidR="00FE1DDA">
        <w:rPr>
          <w:rFonts w:ascii="Helvetica" w:hAnsi="Helvetica" w:cs="Helvetica"/>
        </w:rPr>
        <w:t xml:space="preserve"> </w:t>
      </w:r>
      <w:r w:rsidR="00FE1DDA" w:rsidRPr="006045D1">
        <w:t>where</w:t>
      </w:r>
      <w:r w:rsidR="00FE1DDA">
        <w:rPr>
          <w:rFonts w:ascii="Helvetica" w:hAnsi="Helvetica" w:cs="Helvetica"/>
        </w:rPr>
        <w:t xml:space="preserve"> </w:t>
      </w:r>
      <w:r w:rsidR="00FE1DDA" w:rsidRPr="007A455B">
        <w:rPr>
          <w:rFonts w:ascii="Helvetica" w:hAnsi="Helvetica" w:cs="Helvetica"/>
          <w:i/>
        </w:rPr>
        <w:t>m</w:t>
      </w:r>
      <w:r w:rsidR="00FE1DDA">
        <w:rPr>
          <w:rFonts w:ascii="Helvetica" w:hAnsi="Helvetica" w:cs="Helvetica"/>
          <w:color w:val="111111"/>
          <w:sz w:val="29"/>
          <w:szCs w:val="29"/>
          <w:bdr w:val="none" w:sz="0" w:space="0" w:color="auto" w:frame="1"/>
          <w:shd w:val="clear" w:color="auto" w:fill="FFFFFF"/>
        </w:rPr>
        <w:t xml:space="preserve"> </w:t>
      </w:r>
      <w:r w:rsidR="00FE1DDA" w:rsidRPr="007A455B">
        <w:t>is the overall mean</w:t>
      </w:r>
      <w:r w:rsidR="00FE1DDA">
        <w:t xml:space="preserve">,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FE1DDA">
        <w:t xml:space="preserve"> the sample size of each of the class.</w:t>
      </w:r>
    </w:p>
    <w:p w14:paraId="489583DE" w14:textId="7B0A13E7" w:rsidR="00FE1DDA" w:rsidRDefault="00FE1DDA" w:rsidP="00B9098B">
      <w:pPr>
        <w:spacing w:after="240"/>
      </w:pPr>
      <w:r>
        <w:rPr>
          <w:rFonts w:ascii="Helvetica" w:hAnsi="Helvetica" w:cs="Helvetica"/>
          <w:color w:val="111111"/>
          <w:sz w:val="29"/>
          <w:szCs w:val="29"/>
          <w:bdr w:val="none" w:sz="0" w:space="0" w:color="auto" w:frame="1"/>
          <w:shd w:val="clear" w:color="auto" w:fill="FFFFFF"/>
        </w:rPr>
        <w:br/>
      </w:r>
      <w:r w:rsidR="00A22508">
        <w:rPr>
          <w:rFonts w:cs="Segoe UI"/>
          <w:szCs w:val="21"/>
        </w:rPr>
        <w:t xml:space="preserve">           </w:t>
      </w:r>
      <w:r w:rsidRPr="00A22508">
        <w:rPr>
          <w:rFonts w:cs="Segoe UI"/>
          <w:szCs w:val="21"/>
        </w:rPr>
        <w:t xml:space="preserve">Intuitively, the within scatter matrix represents the variability intra each class (low and normal growth regime), while the between scatter matrix represents the variability between </w:t>
      </w:r>
      <w:r w:rsidR="00010C94">
        <w:rPr>
          <w:rFonts w:cs="Segoe UI"/>
          <w:szCs w:val="21"/>
        </w:rPr>
        <w:t>each class</w:t>
      </w:r>
      <w:r w:rsidRPr="00A22508">
        <w:rPr>
          <w:rFonts w:cs="Segoe UI"/>
          <w:szCs w:val="21"/>
        </w:rPr>
        <w:t>. An appropriate classification strategy should therefore minimize the within variance (so that the groups are homogenous</w:t>
      </w:r>
      <w:r w:rsidR="00010C94">
        <w:rPr>
          <w:rFonts w:cs="Segoe UI"/>
          <w:szCs w:val="21"/>
        </w:rPr>
        <w:t xml:space="preserve"> within themselves</w:t>
      </w:r>
      <w:r w:rsidRPr="00A22508">
        <w:rPr>
          <w:rFonts w:cs="Segoe UI"/>
          <w:szCs w:val="21"/>
        </w:rPr>
        <w:t xml:space="preserve">) while maximizing the between variance (so that the </w:t>
      </w:r>
      <w:r w:rsidR="00010C94">
        <w:rPr>
          <w:rFonts w:cs="Segoe UI"/>
          <w:szCs w:val="21"/>
        </w:rPr>
        <w:t xml:space="preserve">different </w:t>
      </w:r>
      <w:r w:rsidRPr="00A22508">
        <w:rPr>
          <w:rFonts w:cs="Segoe UI"/>
          <w:szCs w:val="21"/>
        </w:rPr>
        <w:t xml:space="preserve">groups are clearly discriminated among each other) in the new subspace composed of a projection of the features </w:t>
      </w:r>
      <m:oMath>
        <m:sSub>
          <m:sSubPr>
            <m:ctrlPr>
              <w:rPr>
                <w:rFonts w:ascii="Cambria Math" w:hAnsi="Cambria Math" w:cs="Segoe UI"/>
                <w:szCs w:val="21"/>
              </w:rPr>
            </m:ctrlPr>
          </m:sSubPr>
          <m:e>
            <m:r>
              <w:rPr>
                <w:rFonts w:ascii="Cambria Math" w:hAnsi="Cambria Math" w:cs="Segoe UI"/>
                <w:szCs w:val="21"/>
              </w:rPr>
              <m:t>X</m:t>
            </m:r>
          </m:e>
          <m:sub>
            <m:r>
              <w:rPr>
                <w:rFonts w:ascii="Cambria Math" w:hAnsi="Cambria Math" w:cs="Segoe UI"/>
                <w:szCs w:val="21"/>
              </w:rPr>
              <m:t>k</m:t>
            </m:r>
          </m:sub>
        </m:sSub>
      </m:oMath>
      <w:r w:rsidRPr="00A22508">
        <w:rPr>
          <w:rFonts w:cs="Segoe UI"/>
          <w:szCs w:val="21"/>
        </w:rPr>
        <w:t>.</w:t>
      </w:r>
    </w:p>
    <w:p w14:paraId="2AF0A77A" w14:textId="347C6912" w:rsidR="00FE1DDA" w:rsidRDefault="00A22508" w:rsidP="00B9098B">
      <w:pPr>
        <w:spacing w:after="240"/>
      </w:pPr>
      <w:r>
        <w:t xml:space="preserve">         </w:t>
      </w:r>
      <w:r w:rsidR="00FE1DDA">
        <w:t xml:space="preserve">As in a PCA, the axes of the new feature subspace are given by the eigenvectors of the decomposition of the square matrix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W</m:t>
                </m:r>
              </m:sub>
            </m:sSub>
          </m:e>
          <m:sup>
            <m:r>
              <w:rPr>
                <w:rFonts w:ascii="Cambria Math" w:hAnsi="Cambria Math"/>
              </w:rPr>
              <m:t>-1</m:t>
            </m:r>
          </m:sup>
        </m:sSup>
        <m:sSub>
          <m:sSubPr>
            <m:ctrlPr>
              <w:rPr>
                <w:rFonts w:ascii="Cambria Math" w:hAnsi="Cambria Math"/>
                <w:i/>
              </w:rPr>
            </m:ctrlPr>
          </m:sSubPr>
          <m:e>
            <m:r>
              <w:rPr>
                <w:rFonts w:ascii="Cambria Math" w:hAnsi="Cambria Math"/>
              </w:rPr>
              <m:t>S</m:t>
            </m:r>
          </m:e>
          <m:sub>
            <m:r>
              <w:rPr>
                <w:rFonts w:ascii="Cambria Math" w:hAnsi="Cambria Math"/>
              </w:rPr>
              <m:t>B</m:t>
            </m:r>
          </m:sub>
        </m:sSub>
      </m:oMath>
      <w:r w:rsidR="00FE1DDA">
        <w:t>. Intuitively, the eigen</w:t>
      </w:r>
      <w:r w:rsidR="00E700C2">
        <w:t>vectors and eigenvalues measure</w:t>
      </w:r>
      <w:r w:rsidR="00FE1DDA">
        <w:t xml:space="preserve"> the distortion of a linear transformation (here the projection onto the reduced subset); the eigenvectors are the direction of this distortion and the eigenvalues are the scaling factor that describes the magnitude of the distortion. The </w:t>
      </w:r>
      <w:r w:rsidR="005B37B3">
        <w:t>tool</w:t>
      </w:r>
      <w:r w:rsidR="00FE1DDA">
        <w:t xml:space="preserve"> only uses the first components of the LDA as an explanatory variable to reduce parameter noise, so that the eigenvector associated with the largest eigenvalue is considered, given that the largest eigenvalues represents the axe bearing the most information about the features subset.</w:t>
      </w:r>
    </w:p>
    <w:p w14:paraId="6D55C643" w14:textId="77777777" w:rsidR="00FE1DDA" w:rsidRDefault="00A22508" w:rsidP="00FE1DDA">
      <w:r>
        <w:t xml:space="preserve">        </w:t>
      </w:r>
      <w:r w:rsidR="00FE1DDA">
        <w:t xml:space="preserve">The projection matrix </w:t>
      </w:r>
      <w:r w:rsidR="00FE1DDA" w:rsidRPr="00521A9D">
        <w:rPr>
          <w:i/>
        </w:rPr>
        <w:t>P</w:t>
      </w:r>
      <w:r w:rsidR="00FE1DDA">
        <w:t xml:space="preserve"> (dimension </w:t>
      </w:r>
      <w:r w:rsidR="00FE1DDA">
        <w:rPr>
          <w:i/>
        </w:rPr>
        <w:t>c*1</w:t>
      </w:r>
      <w:r w:rsidR="00FE1DDA">
        <w:t xml:space="preserve">) is therefore the eigenvector matrix associated with the most informative eigenpair for each class, and is used to transform the samples onto the reduced subspace </w:t>
      </w:r>
      <w:r w:rsidR="00FE1DDA" w:rsidRPr="00521A9D">
        <w:rPr>
          <w:i/>
        </w:rPr>
        <w:t>R</w:t>
      </w:r>
      <w:r w:rsidR="00FE1DDA">
        <w:t>:</w:t>
      </w:r>
    </w:p>
    <w:p w14:paraId="0EA3FB78" w14:textId="77777777" w:rsidR="00FE1DDA" w:rsidRPr="007C22AE" w:rsidRDefault="00FE1DDA" w:rsidP="00FE1DDA">
      <m:oMathPara>
        <m:oMath>
          <m:r>
            <w:rPr>
              <w:rFonts w:ascii="Cambria Math" w:hAnsi="Cambria Math"/>
            </w:rPr>
            <m:t>R = X*P</m:t>
          </m:r>
        </m:oMath>
      </m:oMathPara>
    </w:p>
    <w:p w14:paraId="724101D8" w14:textId="49592BB1" w:rsidR="007D0ED7" w:rsidRDefault="00A22508" w:rsidP="00FE1DDA">
      <w:r>
        <w:t xml:space="preserve">        </w:t>
      </w:r>
      <w:r w:rsidR="00FE1DDA">
        <w:t>Where X is the</w:t>
      </w:r>
      <w:r w:rsidR="00FE1DDA" w:rsidRPr="002C1A33">
        <w:t xml:space="preserve"> </w:t>
      </w:r>
      <w:r w:rsidR="00FE1DDA">
        <w:t>matrix of observations</w:t>
      </w:r>
      <w:r w:rsidR="00FE1DDA">
        <w:rPr>
          <w:i/>
        </w:rPr>
        <w:t xml:space="preserve"> </w:t>
      </w:r>
      <w:r w:rsidR="00FE1DDA">
        <w:t>of dimension (</w:t>
      </w:r>
      <w:r w:rsidR="00FE1DDA">
        <w:rPr>
          <w:i/>
        </w:rPr>
        <w:t>n*c</w:t>
      </w:r>
      <w:r w:rsidR="00FE1DDA">
        <w:t xml:space="preserve">), </w:t>
      </w:r>
      <w:r w:rsidR="00FE1DDA" w:rsidRPr="002C1A33">
        <w:rPr>
          <w:i/>
        </w:rPr>
        <w:t>P</w:t>
      </w:r>
      <w:r w:rsidR="00FE1DDA">
        <w:t xml:space="preserve"> the projection matrix (dimension </w:t>
      </w:r>
      <w:r w:rsidR="00FE1DDA">
        <w:rPr>
          <w:i/>
        </w:rPr>
        <w:t>c*1</w:t>
      </w:r>
      <w:r w:rsidR="00FE1DDA">
        <w:t xml:space="preserve">) and R are the transformed observations onto the reduced subset (dimension </w:t>
      </w:r>
      <w:r w:rsidR="00FE1DDA">
        <w:rPr>
          <w:i/>
        </w:rPr>
        <w:t>n*1</w:t>
      </w:r>
      <w:r w:rsidR="003C722E">
        <w:t>, as the tool</w:t>
      </w:r>
      <w:r w:rsidR="00FE1DDA">
        <w:t xml:space="preserve"> only considers the first largest eigenvector).</w:t>
      </w:r>
    </w:p>
    <w:p w14:paraId="7CEDF8C4" w14:textId="506D84BE" w:rsidR="007D0ED7" w:rsidRDefault="007D0ED7" w:rsidP="00FE1DDA"/>
    <w:p w14:paraId="148A4B83" w14:textId="54DFB27D" w:rsidR="007D0ED7" w:rsidRDefault="007D0ED7" w:rsidP="00FE1DDA"/>
    <w:p w14:paraId="24CF3D27" w14:textId="3D69CF8B" w:rsidR="007D0ED7" w:rsidRDefault="007D0ED7" w:rsidP="00FE1DDA"/>
    <w:p w14:paraId="1F4BE130" w14:textId="3D0AB22C" w:rsidR="007D0ED7" w:rsidRDefault="007D0ED7" w:rsidP="00FE1DDA"/>
    <w:tbl>
      <w:tblPr>
        <w:tblStyle w:val="TableGrid"/>
        <w:tblW w:w="0" w:type="auto"/>
        <w:tblLook w:val="04A0" w:firstRow="1" w:lastRow="0" w:firstColumn="1" w:lastColumn="0" w:noHBand="0" w:noVBand="1"/>
      </w:tblPr>
      <w:tblGrid>
        <w:gridCol w:w="9292"/>
      </w:tblGrid>
      <w:tr w:rsidR="00E75390" w14:paraId="27EFE055" w14:textId="77777777" w:rsidTr="00EA44DE">
        <w:tc>
          <w:tcPr>
            <w:tcW w:w="9292" w:type="dxa"/>
            <w:tcBorders>
              <w:bottom w:val="nil"/>
            </w:tcBorders>
          </w:tcPr>
          <w:p w14:paraId="4FCDDEF9" w14:textId="5A90822E" w:rsidR="00E75390" w:rsidRPr="00E75390" w:rsidRDefault="00E75390" w:rsidP="00B9098B">
            <w:pPr>
              <w:pStyle w:val="Caption"/>
              <w:spacing w:after="0"/>
              <w:jc w:val="center"/>
              <w:rPr>
                <w:b/>
                <w:i w:val="0"/>
                <w:noProof/>
                <w:color w:val="31849B" w:themeColor="accent5" w:themeShade="BF"/>
                <w:sz w:val="21"/>
                <w:szCs w:val="21"/>
              </w:rPr>
            </w:pPr>
            <w:bookmarkStart w:id="3" w:name="_Toc506555384"/>
            <w:r w:rsidRPr="00E75390">
              <w:rPr>
                <w:b/>
                <w:i w:val="0"/>
                <w:color w:val="31849B" w:themeColor="accent5" w:themeShade="BF"/>
                <w:sz w:val="21"/>
                <w:szCs w:val="21"/>
              </w:rPr>
              <w:lastRenderedPageBreak/>
              <w:t xml:space="preserve">Figure </w:t>
            </w:r>
            <w:r w:rsidR="005F07E6">
              <w:rPr>
                <w:b/>
                <w:i w:val="0"/>
                <w:color w:val="31849B" w:themeColor="accent5" w:themeShade="BF"/>
                <w:sz w:val="21"/>
                <w:szCs w:val="21"/>
              </w:rPr>
              <w:t>1</w:t>
            </w:r>
            <w:r w:rsidR="00D2494D">
              <w:rPr>
                <w:b/>
                <w:i w:val="0"/>
                <w:color w:val="31849B" w:themeColor="accent5" w:themeShade="BF"/>
                <w:sz w:val="21"/>
                <w:szCs w:val="21"/>
              </w:rPr>
              <w:t>.</w:t>
            </w:r>
            <w:r w:rsidRPr="00E75390">
              <w:rPr>
                <w:b/>
                <w:i w:val="0"/>
                <w:color w:val="31849B" w:themeColor="accent5" w:themeShade="BF"/>
                <w:sz w:val="21"/>
                <w:szCs w:val="21"/>
              </w:rPr>
              <w:t xml:space="preserve"> Conceptual Differences Between PCA and LDA</w:t>
            </w:r>
            <w:bookmarkEnd w:id="3"/>
          </w:p>
        </w:tc>
      </w:tr>
      <w:tr w:rsidR="00E75390" w14:paraId="5177B926" w14:textId="77777777" w:rsidTr="00EA44DE">
        <w:tc>
          <w:tcPr>
            <w:tcW w:w="9292" w:type="dxa"/>
            <w:tcBorders>
              <w:top w:val="nil"/>
            </w:tcBorders>
          </w:tcPr>
          <w:p w14:paraId="387DE99B" w14:textId="77777777" w:rsidR="00E75390" w:rsidRPr="00E75390" w:rsidRDefault="00E75390" w:rsidP="00FE1DDA">
            <w:pPr>
              <w:rPr>
                <w:sz w:val="18"/>
                <w:szCs w:val="18"/>
              </w:rPr>
            </w:pPr>
            <w:r w:rsidRPr="00E75390">
              <w:rPr>
                <w:noProof/>
                <w:sz w:val="18"/>
                <w:szCs w:val="18"/>
              </w:rPr>
              <w:drawing>
                <wp:anchor distT="0" distB="0" distL="114300" distR="114300" simplePos="0" relativeHeight="251832320" behindDoc="0" locked="0" layoutInCell="1" allowOverlap="1" wp14:anchorId="56526771" wp14:editId="32572F8C">
                  <wp:simplePos x="0" y="0"/>
                  <wp:positionH relativeFrom="margin">
                    <wp:posOffset>186055</wp:posOffset>
                  </wp:positionH>
                  <wp:positionV relativeFrom="paragraph">
                    <wp:posOffset>67310</wp:posOffset>
                  </wp:positionV>
                  <wp:extent cx="5429250" cy="2653665"/>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429250" cy="2653665"/>
                          </a:xfrm>
                          <a:prstGeom prst="rect">
                            <a:avLst/>
                          </a:prstGeom>
                        </pic:spPr>
                      </pic:pic>
                    </a:graphicData>
                  </a:graphic>
                  <wp14:sizeRelH relativeFrom="margin">
                    <wp14:pctWidth>0</wp14:pctWidth>
                  </wp14:sizeRelH>
                  <wp14:sizeRelV relativeFrom="margin">
                    <wp14:pctHeight>0</wp14:pctHeight>
                  </wp14:sizeRelV>
                </wp:anchor>
              </w:drawing>
            </w:r>
            <w:r w:rsidRPr="00E75390">
              <w:rPr>
                <w:sz w:val="18"/>
                <w:szCs w:val="18"/>
              </w:rPr>
              <w:t xml:space="preserve">Source: </w:t>
            </w:r>
            <w:r w:rsidRPr="00E75390">
              <w:rPr>
                <w:noProof/>
                <w:sz w:val="18"/>
                <w:szCs w:val="18"/>
              </w:rPr>
              <w:t>sebastianraschka.com</w:t>
            </w:r>
            <w:r w:rsidRPr="00E75390">
              <w:rPr>
                <w:sz w:val="18"/>
                <w:szCs w:val="18"/>
              </w:rPr>
              <w:t>.</w:t>
            </w:r>
          </w:p>
        </w:tc>
      </w:tr>
    </w:tbl>
    <w:p w14:paraId="7906B879" w14:textId="77777777" w:rsidR="00FE1DDA" w:rsidRDefault="00FE1DDA" w:rsidP="00805FDD">
      <w:pPr>
        <w:pStyle w:val="Heading4"/>
        <w:spacing w:before="120"/>
      </w:pPr>
      <w:r w:rsidRPr="006A6B66">
        <w:t xml:space="preserve">Advantages of </w:t>
      </w:r>
      <w:r>
        <w:t>linear discriminant analysis</w:t>
      </w:r>
    </w:p>
    <w:p w14:paraId="11DFF9B7" w14:textId="246941C4" w:rsidR="00FE1DDA" w:rsidRDefault="00A22508" w:rsidP="00B9098B">
      <w:pPr>
        <w:spacing w:after="240"/>
      </w:pPr>
      <w:r>
        <w:t xml:space="preserve">          </w:t>
      </w:r>
      <w:r w:rsidR="00FE1DDA" w:rsidRPr="00521A9D">
        <w:t>The linear</w:t>
      </w:r>
      <w:r w:rsidR="00FE1DDA">
        <w:t xml:space="preserve"> discriminant analysis is very similar to the principal component analysis, as both these methods reduce the data dimensionality to summarize the information contained in a large set of variables into few components. Compared to PCA however, LDA also adds the classification approach which allows the </w:t>
      </w:r>
      <w:r w:rsidR="004D043B">
        <w:t>tool t</w:t>
      </w:r>
      <w:r w:rsidR="00FE1DDA">
        <w:t>o link financial variables with GDP growth in the data reduction process, while the PCA approach only aggregates information about common trend among financial variables.</w:t>
      </w:r>
    </w:p>
    <w:p w14:paraId="587B896B" w14:textId="6FD031D0" w:rsidR="00FE1DDA" w:rsidRDefault="00A22508" w:rsidP="00B9098B">
      <w:pPr>
        <w:spacing w:after="240"/>
      </w:pPr>
      <w:r>
        <w:t xml:space="preserve">          </w:t>
      </w:r>
      <w:r w:rsidR="00FE1DDA">
        <w:t>LDA assumes i</w:t>
      </w:r>
      <w:r w:rsidR="006B098D">
        <w:t>.</w:t>
      </w:r>
      <w:r w:rsidR="00FE1DDA">
        <w:t>i</w:t>
      </w:r>
      <w:r w:rsidR="006B098D">
        <w:t>.</w:t>
      </w:r>
      <w:r w:rsidR="00FE1DDA">
        <w:t xml:space="preserve">d and normally distributed data, with homoscedastic variance among each class. However, LDA is considered as robust when these assumptions are violated: </w:t>
      </w:r>
      <w:r w:rsidR="00FE1DDA" w:rsidRPr="00D043ED">
        <w:rPr>
          <w:i/>
        </w:rPr>
        <w:t>“linear discriminant analysis frequently achieves good performances […], even though the assumptions of common covariance matrix among groups and normality are often violated</w:t>
      </w:r>
      <w:r w:rsidR="00B9098B">
        <w:rPr>
          <w:i/>
        </w:rPr>
        <w:t>.</w:t>
      </w:r>
      <w:r w:rsidR="00FE1DDA" w:rsidRPr="00D043ED">
        <w:rPr>
          <w:i/>
        </w:rPr>
        <w:t>”</w:t>
      </w:r>
      <w:r w:rsidR="00FE1DDA">
        <w:rPr>
          <w:rStyle w:val="FootnoteReference"/>
          <w:i/>
        </w:rPr>
        <w:footnoteReference w:id="9"/>
      </w:r>
      <w:r w:rsidR="00FE1DDA">
        <w:t xml:space="preserve"> </w:t>
      </w:r>
    </w:p>
    <w:p w14:paraId="07087A0E" w14:textId="2BFCDC43" w:rsidR="007D0ED7" w:rsidRPr="007D0ED7" w:rsidRDefault="007D0ED7" w:rsidP="00B9098B">
      <w:pPr>
        <w:spacing w:after="240"/>
        <w:rPr>
          <w:b/>
          <w:i/>
        </w:rPr>
      </w:pPr>
      <w:r w:rsidRPr="007D0ED7">
        <w:rPr>
          <w:b/>
          <w:i/>
        </w:rPr>
        <w:t>Interpretation</w:t>
      </w:r>
    </w:p>
    <w:p w14:paraId="011905BD" w14:textId="4CAA8891" w:rsidR="007D3223" w:rsidRDefault="007D0ED7" w:rsidP="00B9098B">
      <w:pPr>
        <w:spacing w:after="240"/>
      </w:pPr>
      <w:r>
        <w:tab/>
        <w:t>The tool delivers two output</w:t>
      </w:r>
      <w:r w:rsidR="0043584D">
        <w:t>s</w:t>
      </w:r>
      <w:r>
        <w:t xml:space="preserve">: the partition itself, as well as the loadings associated with the partition. It is extremely important that the user takes time to check on whether </w:t>
      </w:r>
      <w:r w:rsidR="00D01F05">
        <w:t xml:space="preserve">each </w:t>
      </w:r>
      <w:r>
        <w:t xml:space="preserve">partition makes economic sense, based on his own understanding of the country economic history and </w:t>
      </w:r>
      <w:r w:rsidR="007B699C">
        <w:t xml:space="preserve">recent </w:t>
      </w:r>
      <w:r>
        <w:t xml:space="preserve">developments. </w:t>
      </w:r>
      <w:r w:rsidR="007D3223">
        <w:t xml:space="preserve">As explained above, for </w:t>
      </w:r>
      <w:r w:rsidR="006B098D">
        <w:t>many</w:t>
      </w:r>
      <w:r w:rsidR="007D3223">
        <w:t xml:space="preserve"> countries, financial markets are rather illiquid and exhibit sometimes erratic behavior. It is important to make sure that the most important crisis episodes are captured by the partitions and the main trends make sense. Else, the user should either add or remove variables, try different partitions, look at different time periods, etc.</w:t>
      </w:r>
    </w:p>
    <w:p w14:paraId="6D93025B" w14:textId="77DF0248" w:rsidR="007D0ED7" w:rsidRPr="007D0ED7" w:rsidRDefault="007D3223" w:rsidP="00B9098B">
      <w:pPr>
        <w:spacing w:after="240"/>
      </w:pPr>
      <w:r>
        <w:lastRenderedPageBreak/>
        <w:t xml:space="preserve">Concerning the loadings, as explained above, they represent the coefficients of the linear combination of variables used to generate the partition. As such, they should be interpreted as a whole and not separately: </w:t>
      </w:r>
      <w:r w:rsidR="006E42ED">
        <w:t xml:space="preserve">the loading of a given variable will also depends on whether other variables are included or not. This is why sometimes some coefficients might appear counter-intuitive, with correlations </w:t>
      </w:r>
      <w:r w:rsidR="002635E0">
        <w:t xml:space="preserve">going in the wrong direction: it </w:t>
      </w:r>
      <w:r w:rsidR="006E42ED">
        <w:t xml:space="preserve">might be the case that other </w:t>
      </w:r>
      <w:r w:rsidR="006B098D">
        <w:t xml:space="preserve">highly correlated </w:t>
      </w:r>
      <w:r w:rsidR="006E42ED">
        <w:t>variables in the PCA</w:t>
      </w:r>
      <w:r w:rsidR="00D86D7B">
        <w:t xml:space="preserve"> sample</w:t>
      </w:r>
      <w:r w:rsidR="006B098D">
        <w:t xml:space="preserve"> </w:t>
      </w:r>
      <w:r w:rsidR="006E42ED">
        <w:t>might already capture the main</w:t>
      </w:r>
      <w:r w:rsidR="00D86D7B">
        <w:t xml:space="preserve"> trend and correlation between the group of variables and the partition</w:t>
      </w:r>
      <w:r w:rsidR="006E42ED">
        <w:t>.</w:t>
      </w:r>
      <w:r w:rsidR="00D86D7B">
        <w:t xml:space="preserve"> Hence, as it is often the case in machine learning </w:t>
      </w:r>
      <w:r w:rsidR="006B098D">
        <w:t>techniques</w:t>
      </w:r>
      <w:r w:rsidR="00D86D7B">
        <w:t>, multi-collinear variables might have significant loadings as some of the</w:t>
      </w:r>
      <w:r w:rsidR="006B098D">
        <w:t xml:space="preserve"> variables</w:t>
      </w:r>
      <w:r w:rsidR="00D86D7B">
        <w:t xml:space="preserve"> might “load” more on the main trend </w:t>
      </w:r>
      <w:r w:rsidR="006B098D">
        <w:t>while</w:t>
      </w:r>
      <w:r w:rsidR="00D86D7B">
        <w:t xml:space="preserve"> some other</w:t>
      </w:r>
      <w:r w:rsidR="006B098D">
        <w:t xml:space="preserve"> variable</w:t>
      </w:r>
      <w:r w:rsidR="00D86D7B">
        <w:t xml:space="preserve"> will load in a different way. </w:t>
      </w:r>
      <w:r w:rsidR="00E66029">
        <w:t xml:space="preserve">Loadings should first be interpreted in absolute terms, as they </w:t>
      </w:r>
      <w:r w:rsidR="006B098D">
        <w:t xml:space="preserve">advise </w:t>
      </w:r>
      <w:r w:rsidR="00E66029">
        <w:t>about the most informative variables for the partition.</w:t>
      </w:r>
      <w:r w:rsidR="00D86D7B">
        <w:t xml:space="preserve"> </w:t>
      </w:r>
    </w:p>
    <w:p w14:paraId="4F9379E0" w14:textId="5CC0B6E2" w:rsidR="009C3BD3" w:rsidRDefault="009B7F83" w:rsidP="009C3BD3">
      <w:pPr>
        <w:pStyle w:val="Heading4"/>
        <w:spacing w:before="120"/>
      </w:pPr>
      <w:r>
        <w:t>Retropolated p</w:t>
      </w:r>
      <w:r w:rsidR="009C3BD3">
        <w:t>artitions: the use of chained-index to mitigate attrition issues</w:t>
      </w:r>
    </w:p>
    <w:p w14:paraId="06F3B7A7" w14:textId="57E46804" w:rsidR="009C3BD3" w:rsidRDefault="00FD4329" w:rsidP="00B9098B">
      <w:pPr>
        <w:pStyle w:val="Heading4"/>
        <w:rPr>
          <w:b w:val="0"/>
          <w:bCs w:val="0"/>
          <w:i w:val="0"/>
          <w:szCs w:val="24"/>
        </w:rPr>
      </w:pPr>
      <w:r>
        <w:rPr>
          <w:b w:val="0"/>
          <w:bCs w:val="0"/>
          <w:i w:val="0"/>
          <w:szCs w:val="24"/>
        </w:rPr>
        <w:tab/>
        <w:t>For both PCA-based and LDA-based partitions, the tool provides the opportunity to create “retropolated” partitions, which are basically a chain-index</w:t>
      </w:r>
      <w:r w:rsidR="00D33C71">
        <w:rPr>
          <w:b w:val="0"/>
          <w:bCs w:val="0"/>
          <w:i w:val="0"/>
          <w:szCs w:val="24"/>
        </w:rPr>
        <w:t>ed</w:t>
      </w:r>
      <w:r>
        <w:rPr>
          <w:b w:val="0"/>
          <w:bCs w:val="0"/>
          <w:i w:val="0"/>
          <w:szCs w:val="24"/>
        </w:rPr>
        <w:t xml:space="preserve"> partition </w:t>
      </w:r>
      <w:r w:rsidR="00D33C71">
        <w:rPr>
          <w:b w:val="0"/>
          <w:bCs w:val="0"/>
          <w:i w:val="0"/>
          <w:szCs w:val="24"/>
        </w:rPr>
        <w:t>from the original PCA</w:t>
      </w:r>
      <w:r>
        <w:rPr>
          <w:b w:val="0"/>
          <w:bCs w:val="0"/>
          <w:i w:val="0"/>
          <w:szCs w:val="24"/>
        </w:rPr>
        <w:t xml:space="preserve"> or LDA</w:t>
      </w:r>
      <w:r w:rsidR="00D33C71">
        <w:rPr>
          <w:b w:val="0"/>
          <w:bCs w:val="0"/>
          <w:i w:val="0"/>
          <w:szCs w:val="24"/>
        </w:rPr>
        <w:t xml:space="preserve"> partitions</w:t>
      </w:r>
      <w:r>
        <w:rPr>
          <w:b w:val="0"/>
          <w:bCs w:val="0"/>
          <w:i w:val="0"/>
          <w:szCs w:val="24"/>
        </w:rPr>
        <w:t>. In many countries, financial variables are not available at the same time, hence creating severe attrition issues: for instance, term and sovereign spreads are often available in the 1980s, while variables based on more sophisticated instruments, such as CDS, might only be available in mid-2000s.</w:t>
      </w:r>
      <w:r w:rsidR="007B35D5">
        <w:rPr>
          <w:b w:val="0"/>
          <w:bCs w:val="0"/>
          <w:i w:val="0"/>
          <w:szCs w:val="24"/>
        </w:rPr>
        <w:t xml:space="preserve"> Hence, if the user wishes to estimate a PCA </w:t>
      </w:r>
      <w:r w:rsidR="00916906">
        <w:rPr>
          <w:b w:val="0"/>
          <w:bCs w:val="0"/>
          <w:i w:val="0"/>
          <w:szCs w:val="24"/>
        </w:rPr>
        <w:t xml:space="preserve">based </w:t>
      </w:r>
      <w:r w:rsidR="007B35D5">
        <w:rPr>
          <w:b w:val="0"/>
          <w:bCs w:val="0"/>
          <w:i w:val="0"/>
          <w:szCs w:val="24"/>
        </w:rPr>
        <w:t>on the full set of variables since the 1980s, it will have missing values in the sample corresponding to the date</w:t>
      </w:r>
      <w:r w:rsidR="007D1433">
        <w:rPr>
          <w:b w:val="0"/>
          <w:bCs w:val="0"/>
          <w:i w:val="0"/>
          <w:szCs w:val="24"/>
        </w:rPr>
        <w:t>s when</w:t>
      </w:r>
      <w:r w:rsidR="007B35D5">
        <w:rPr>
          <w:b w:val="0"/>
          <w:bCs w:val="0"/>
          <w:i w:val="0"/>
          <w:szCs w:val="24"/>
        </w:rPr>
        <w:t xml:space="preserve"> some variables are not</w:t>
      </w:r>
      <w:r w:rsidR="00603493">
        <w:rPr>
          <w:b w:val="0"/>
          <w:bCs w:val="0"/>
          <w:i w:val="0"/>
          <w:szCs w:val="24"/>
        </w:rPr>
        <w:t xml:space="preserve"> yet</w:t>
      </w:r>
      <w:r w:rsidR="007B35D5">
        <w:rPr>
          <w:b w:val="0"/>
          <w:bCs w:val="0"/>
          <w:i w:val="0"/>
          <w:szCs w:val="24"/>
        </w:rPr>
        <w:t xml:space="preserve"> available.</w:t>
      </w:r>
      <w:r w:rsidR="009B7F83">
        <w:rPr>
          <w:b w:val="0"/>
          <w:bCs w:val="0"/>
          <w:i w:val="0"/>
          <w:szCs w:val="24"/>
        </w:rPr>
        <w:t xml:space="preserve"> </w:t>
      </w:r>
      <w:r w:rsidR="008F5A37">
        <w:rPr>
          <w:b w:val="0"/>
          <w:bCs w:val="0"/>
          <w:i w:val="0"/>
          <w:szCs w:val="24"/>
        </w:rPr>
        <w:t xml:space="preserve"> Neither PCA nor LDA can accommodate </w:t>
      </w:r>
      <w:r w:rsidR="007B35D5">
        <w:rPr>
          <w:b w:val="0"/>
          <w:bCs w:val="0"/>
          <w:i w:val="0"/>
          <w:szCs w:val="24"/>
        </w:rPr>
        <w:t>missing values, as they are based on variance decomposition. Some authors in the literature</w:t>
      </w:r>
      <w:r w:rsidR="009B7F83">
        <w:rPr>
          <w:b w:val="0"/>
          <w:bCs w:val="0"/>
          <w:i w:val="0"/>
          <w:szCs w:val="24"/>
        </w:rPr>
        <w:t xml:space="preserve"> (for instance Koop and Korobilis 2014) circumvent this issue by arbitrarily inputting “0” to the missing values and </w:t>
      </w:r>
      <w:r w:rsidR="00712DBE">
        <w:rPr>
          <w:b w:val="0"/>
          <w:bCs w:val="0"/>
          <w:i w:val="0"/>
          <w:szCs w:val="24"/>
        </w:rPr>
        <w:t>estimate</w:t>
      </w:r>
      <w:r w:rsidR="009B7F83">
        <w:rPr>
          <w:b w:val="0"/>
          <w:bCs w:val="0"/>
          <w:i w:val="0"/>
          <w:szCs w:val="24"/>
        </w:rPr>
        <w:t xml:space="preserve"> the PCA on the entire time-series. Doing so</w:t>
      </w:r>
      <w:r w:rsidR="00131BFC">
        <w:rPr>
          <w:b w:val="0"/>
          <w:bCs w:val="0"/>
          <w:i w:val="0"/>
          <w:szCs w:val="24"/>
        </w:rPr>
        <w:t xml:space="preserve"> creates major issues</w:t>
      </w:r>
      <w:r w:rsidR="009B7F83">
        <w:rPr>
          <w:b w:val="0"/>
          <w:bCs w:val="0"/>
          <w:i w:val="0"/>
          <w:szCs w:val="24"/>
        </w:rPr>
        <w:t xml:space="preserve">, </w:t>
      </w:r>
      <w:r w:rsidR="00131BFC">
        <w:rPr>
          <w:b w:val="0"/>
          <w:bCs w:val="0"/>
          <w:i w:val="0"/>
          <w:szCs w:val="24"/>
        </w:rPr>
        <w:t>as the variance-covariance matrix is severely biased – in particular when the attrition rate is high (variables only being available recently</w:t>
      </w:r>
      <w:r w:rsidR="00841EE3">
        <w:rPr>
          <w:b w:val="0"/>
          <w:bCs w:val="0"/>
          <w:i w:val="0"/>
          <w:szCs w:val="24"/>
        </w:rPr>
        <w:t xml:space="preserve">, hence </w:t>
      </w:r>
      <w:r w:rsidR="00CA0908">
        <w:rPr>
          <w:b w:val="0"/>
          <w:bCs w:val="0"/>
          <w:i w:val="0"/>
          <w:szCs w:val="24"/>
        </w:rPr>
        <w:t>inputting</w:t>
      </w:r>
      <w:r w:rsidR="00841EE3">
        <w:rPr>
          <w:b w:val="0"/>
          <w:bCs w:val="0"/>
          <w:i w:val="0"/>
          <w:szCs w:val="24"/>
        </w:rPr>
        <w:t xml:space="preserve"> a large number of “0”</w:t>
      </w:r>
      <w:r w:rsidR="00131BFC">
        <w:rPr>
          <w:b w:val="0"/>
          <w:bCs w:val="0"/>
          <w:i w:val="0"/>
          <w:szCs w:val="24"/>
        </w:rPr>
        <w:t>)</w:t>
      </w:r>
      <w:r w:rsidR="00E2522D">
        <w:rPr>
          <w:b w:val="0"/>
          <w:bCs w:val="0"/>
          <w:i w:val="0"/>
          <w:szCs w:val="24"/>
        </w:rPr>
        <w:t>.</w:t>
      </w:r>
      <w:r w:rsidR="00AA0CB5">
        <w:rPr>
          <w:b w:val="0"/>
          <w:bCs w:val="0"/>
          <w:i w:val="0"/>
          <w:szCs w:val="24"/>
        </w:rPr>
        <w:t xml:space="preserve"> Instead, the tool</w:t>
      </w:r>
      <w:r w:rsidR="00CB1D84">
        <w:rPr>
          <w:b w:val="0"/>
          <w:bCs w:val="0"/>
          <w:i w:val="0"/>
          <w:szCs w:val="24"/>
        </w:rPr>
        <w:t xml:space="preserve"> adopt</w:t>
      </w:r>
      <w:r w:rsidR="001A4EF8">
        <w:rPr>
          <w:b w:val="0"/>
          <w:bCs w:val="0"/>
          <w:i w:val="0"/>
          <w:szCs w:val="24"/>
        </w:rPr>
        <w:t>s</w:t>
      </w:r>
      <w:r w:rsidR="00CB1D84">
        <w:rPr>
          <w:b w:val="0"/>
          <w:bCs w:val="0"/>
          <w:i w:val="0"/>
          <w:szCs w:val="24"/>
        </w:rPr>
        <w:t xml:space="preserve"> another approach based</w:t>
      </w:r>
      <w:r w:rsidR="00207E4A">
        <w:rPr>
          <w:b w:val="0"/>
          <w:bCs w:val="0"/>
          <w:i w:val="0"/>
          <w:szCs w:val="24"/>
        </w:rPr>
        <w:t xml:space="preserve"> </w:t>
      </w:r>
      <w:r w:rsidR="00CB1D84">
        <w:rPr>
          <w:b w:val="0"/>
          <w:bCs w:val="0"/>
          <w:i w:val="0"/>
          <w:szCs w:val="24"/>
        </w:rPr>
        <w:t xml:space="preserve">on </w:t>
      </w:r>
      <w:r w:rsidR="00207E4A">
        <w:rPr>
          <w:b w:val="0"/>
          <w:bCs w:val="0"/>
          <w:i w:val="0"/>
          <w:szCs w:val="24"/>
        </w:rPr>
        <w:t>chained-</w:t>
      </w:r>
      <w:r w:rsidR="00CB1D84">
        <w:rPr>
          <w:b w:val="0"/>
          <w:bCs w:val="0"/>
          <w:i w:val="0"/>
          <w:szCs w:val="24"/>
        </w:rPr>
        <w:t xml:space="preserve">index </w:t>
      </w:r>
      <w:r w:rsidR="00207E4A">
        <w:rPr>
          <w:b w:val="0"/>
          <w:bCs w:val="0"/>
          <w:i w:val="0"/>
          <w:szCs w:val="24"/>
        </w:rPr>
        <w:t>partitions.</w:t>
      </w:r>
    </w:p>
    <w:p w14:paraId="4EAC6996" w14:textId="5A05D59B" w:rsidR="00E26783" w:rsidRDefault="00E26783" w:rsidP="00E26783">
      <w:r>
        <w:t xml:space="preserve">From the original sample of variables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define</w:t>
      </w:r>
      <w:r w:rsidR="00852D89">
        <w:t>d as the</w:t>
      </w:r>
      <w:r>
        <w:t xml:space="preserve"> imbricated set of variables such that each set contains all the variables available for a given period: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 </m:t>
        </m:r>
      </m:oMath>
      <w:r>
        <w:t xml:space="preserve">where </w:t>
      </w:r>
      <w:r w:rsidRPr="00E26783">
        <w:rPr>
          <w:i/>
        </w:rPr>
        <w:t>C</w:t>
      </w:r>
      <w:r>
        <w:t xml:space="preserve"> is the number of cut-off points. For instance, if 3 variables are available from 1980 to 1995, and 2 supplementary variables are available starting 1995, and then 4 new variables arrive in 2002, then three subsets are defined as: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3 variables from 1980 to 1995,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from 1995 to 2002 with 5 variables; and finally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xml:space="preserve">from 2002 to </w:t>
      </w:r>
      <w:r w:rsidR="002F3F62">
        <w:t xml:space="preserve">the most recent date </w:t>
      </w:r>
      <w:r>
        <w:t>with 9 variables.</w:t>
      </w:r>
      <w:r w:rsidR="001F0020">
        <w:t xml:space="preserve"> Doing a backward recursive estimation, the retropolated partition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C74107">
        <w:t xml:space="preserve"> </w:t>
      </w:r>
      <w:r w:rsidR="001F0020">
        <w:t>i</w:t>
      </w:r>
      <w:r w:rsidR="00EC18C4">
        <w:t>s a chained-</w:t>
      </w:r>
      <w:r w:rsidR="00233860">
        <w:t>index</w:t>
      </w:r>
      <w:r w:rsidR="008754E0">
        <w:t xml:space="preserve">, computed </w:t>
      </w:r>
      <w:r w:rsidR="00B37D3E">
        <w:t xml:space="preserve">recursively </w:t>
      </w:r>
      <w:r w:rsidR="008754E0">
        <w:t>as follows</w:t>
      </w:r>
      <w:r w:rsidR="00233860">
        <w:t>:</w:t>
      </w:r>
    </w:p>
    <w:p w14:paraId="7A88BBA9" w14:textId="1E23F07B" w:rsidR="001F0020" w:rsidRDefault="001F0020" w:rsidP="00E26783"/>
    <w:p w14:paraId="63CD5694" w14:textId="4CB27FFF" w:rsidR="001F0020" w:rsidRDefault="00AE1FF5" w:rsidP="001F0020">
      <w:pPr>
        <w:pStyle w:val="ListParagraph"/>
        <w:numPr>
          <w:ilvl w:val="0"/>
          <w:numId w:val="20"/>
        </w:numPr>
      </w:pP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m:t>
            </m:r>
          </m:sub>
        </m:sSub>
      </m:oMath>
      <w:r w:rsidR="00C74107">
        <w:t xml:space="preserve"> </w:t>
      </w:r>
      <w:r w:rsidR="001F0020">
        <w:t>for the last period where all the variables are available</w:t>
      </w:r>
    </w:p>
    <w:p w14:paraId="68BAB893" w14:textId="644AECB1" w:rsidR="001F0020" w:rsidRDefault="001F0020" w:rsidP="001F0020">
      <w:pPr>
        <w:pStyle w:val="ListParagraph"/>
        <w:numPr>
          <w:ilvl w:val="0"/>
          <w:numId w:val="20"/>
        </w:numPr>
      </w:pPr>
      <w:r>
        <w:t xml:space="preserve">From the immediately preceding set </w:t>
      </w:r>
      <m:oMath>
        <m:sSub>
          <m:sSubPr>
            <m:ctrlPr>
              <w:rPr>
                <w:rFonts w:ascii="Cambria Math" w:hAnsi="Cambria Math"/>
                <w:i/>
              </w:rPr>
            </m:ctrlPr>
          </m:sSubPr>
          <m:e>
            <m:r>
              <w:rPr>
                <w:rFonts w:ascii="Cambria Math" w:hAnsi="Cambria Math"/>
              </w:rPr>
              <m:t>S</m:t>
            </m:r>
          </m:e>
          <m:sub>
            <m:r>
              <w:rPr>
                <w:rFonts w:ascii="Cambria Math" w:hAnsi="Cambria Math"/>
              </w:rPr>
              <m:t>C-1</m:t>
            </m:r>
          </m:sub>
        </m:sSub>
      </m:oMath>
      <w:r>
        <w:t>, the tool computes the recursive first difference</w:t>
      </w:r>
      <w:r>
        <w:rPr>
          <w:rStyle w:val="FootnoteReference"/>
        </w:rPr>
        <w:footnoteReference w:id="10"/>
      </w:r>
      <w:r>
        <w:t xml:space="preserve"> starting from the last value of the set</w:t>
      </w:r>
      <w:r w:rsidR="002C48F1">
        <w:t xml:space="preserve"> </w:t>
      </w:r>
      <m:oMath>
        <m:sSub>
          <m:sSubPr>
            <m:ctrlPr>
              <w:rPr>
                <w:rFonts w:ascii="Cambria Math" w:hAnsi="Cambria Math"/>
                <w:i/>
              </w:rPr>
            </m:ctrlPr>
          </m:sSubPr>
          <m:e>
            <m:r>
              <w:rPr>
                <w:rFonts w:ascii="Cambria Math" w:hAnsi="Cambria Math"/>
              </w:rPr>
              <m:t>S</m:t>
            </m:r>
          </m:e>
          <m:sub>
            <m:r>
              <w:rPr>
                <w:rFonts w:ascii="Cambria Math" w:hAnsi="Cambria Math"/>
              </w:rPr>
              <m:t>C-1</m:t>
            </m:r>
          </m:sub>
        </m:sSub>
      </m:oMath>
      <w:r>
        <w:t xml:space="preserve">. Then it </w:t>
      </w:r>
      <w:r w:rsidR="00233860">
        <w:t xml:space="preserve">applies the first difference backwards </w:t>
      </w:r>
      <w:r w:rsidR="00233860">
        <w:lastRenderedPageBreak/>
        <w:t xml:space="preserve">from </w:t>
      </w:r>
      <w:r>
        <w:t xml:space="preserve">the first value of </w:t>
      </w:r>
      <m:oMath>
        <m:sSub>
          <m:sSubPr>
            <m:ctrlPr>
              <w:rPr>
                <w:rFonts w:ascii="Cambria Math" w:hAnsi="Cambria Math"/>
                <w:i/>
              </w:rPr>
            </m:ctrlPr>
          </m:sSubPr>
          <m:e>
            <m:r>
              <w:rPr>
                <w:rFonts w:ascii="Cambria Math" w:hAnsi="Cambria Math"/>
              </w:rPr>
              <m:t>S</m:t>
            </m:r>
          </m:e>
          <m:sub>
            <m:r>
              <w:rPr>
                <w:rFonts w:ascii="Cambria Math" w:hAnsi="Cambria Math"/>
              </w:rPr>
              <m:t>C</m:t>
            </m:r>
          </m:sub>
        </m:sSub>
      </m:oMath>
      <w:r w:rsidR="00233860">
        <w:t xml:space="preserve"> towards the first value of </w:t>
      </w:r>
      <m:oMath>
        <m:sSub>
          <m:sSubPr>
            <m:ctrlPr>
              <w:rPr>
                <w:rFonts w:ascii="Cambria Math" w:hAnsi="Cambria Math"/>
                <w:i/>
              </w:rPr>
            </m:ctrlPr>
          </m:sSubPr>
          <m:e>
            <m:r>
              <w:rPr>
                <w:rFonts w:ascii="Cambria Math" w:hAnsi="Cambria Math"/>
              </w:rPr>
              <m:t>S</m:t>
            </m:r>
          </m:e>
          <m:sub>
            <m:r>
              <w:rPr>
                <w:rFonts w:ascii="Cambria Math" w:hAnsi="Cambria Math"/>
              </w:rPr>
              <m:t>C-1</m:t>
            </m:r>
          </m:sub>
        </m:sSub>
      </m:oMath>
      <w:r w:rsidR="00233860">
        <w:t>.</w:t>
      </w:r>
      <w:r w:rsidR="002C48F1">
        <w:t xml:space="preserve"> Therefore,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BFD(S</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(0)) ∪ </m:t>
        </m:r>
        <m:sSub>
          <m:sSubPr>
            <m:ctrlPr>
              <w:rPr>
                <w:rFonts w:ascii="Cambria Math" w:hAnsi="Cambria Math"/>
                <w:i/>
              </w:rPr>
            </m:ctrlPr>
          </m:sSubPr>
          <m:e>
            <m:r>
              <w:rPr>
                <w:rFonts w:ascii="Cambria Math" w:hAnsi="Cambria Math"/>
              </w:rPr>
              <m:t>S</m:t>
            </m:r>
          </m:e>
          <m:sub>
            <m:r>
              <w:rPr>
                <w:rFonts w:ascii="Cambria Math" w:hAnsi="Cambria Math"/>
              </w:rPr>
              <m:t>C</m:t>
            </m:r>
          </m:sub>
        </m:sSub>
      </m:oMath>
      <w:r w:rsidR="001317DE">
        <w:t xml:space="preserve"> where </w:t>
      </w:r>
      <m:oMath>
        <m:sSub>
          <m:sSubPr>
            <m:ctrlPr>
              <w:rPr>
                <w:rFonts w:ascii="Cambria Math" w:hAnsi="Cambria Math"/>
                <w:i/>
              </w:rPr>
            </m:ctrlPr>
          </m:sSubPr>
          <m:e>
            <m:r>
              <w:rPr>
                <w:rFonts w:ascii="Cambria Math" w:hAnsi="Cambria Math"/>
              </w:rPr>
              <m:t>BFD(S</m:t>
            </m:r>
          </m:e>
          <m:sub>
            <m:r>
              <w:rPr>
                <w:rFonts w:ascii="Cambria Math" w:hAnsi="Cambria Math"/>
              </w:rPr>
              <m:t>C-1</m:t>
            </m:r>
          </m:sub>
        </m:sSub>
        <m:r>
          <w:rPr>
            <w:rFonts w:ascii="Cambria Math" w:hAnsi="Cambria Math"/>
          </w:rPr>
          <m:t>)</m:t>
        </m:r>
      </m:oMath>
      <w:r w:rsidR="001317DE">
        <w:t xml:space="preserve"> represents the backward first difference derived from set </w:t>
      </w:r>
      <m:oMath>
        <m:sSub>
          <m:sSubPr>
            <m:ctrlPr>
              <w:rPr>
                <w:rFonts w:ascii="Cambria Math" w:hAnsi="Cambria Math"/>
                <w:i/>
              </w:rPr>
            </m:ctrlPr>
          </m:sSubPr>
          <m:e>
            <m:r>
              <w:rPr>
                <w:rFonts w:ascii="Cambria Math" w:hAnsi="Cambria Math"/>
              </w:rPr>
              <m:t>S</m:t>
            </m:r>
          </m:e>
          <m:sub>
            <m:r>
              <w:rPr>
                <w:rFonts w:ascii="Cambria Math" w:hAnsi="Cambria Math"/>
              </w:rPr>
              <m:t>C-1</m:t>
            </m:r>
          </m:sub>
        </m:sSub>
        <m:r>
          <w:rPr>
            <w:rFonts w:ascii="Cambria Math" w:hAnsi="Cambria Math"/>
          </w:rPr>
          <m:t xml:space="preserve"> </m:t>
        </m:r>
      </m:oMath>
      <w:r w:rsidR="001317DE">
        <w:t xml:space="preserve">and applied to the first value of set </w:t>
      </w: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(0)</m:t>
        </m:r>
      </m:oMath>
    </w:p>
    <w:p w14:paraId="7E2B18A0" w14:textId="30CB9445" w:rsidR="001317DE" w:rsidRPr="00E26783" w:rsidRDefault="001317DE" w:rsidP="001F0020">
      <w:pPr>
        <w:pStyle w:val="ListParagraph"/>
        <w:numPr>
          <w:ilvl w:val="0"/>
          <w:numId w:val="20"/>
        </w:numPr>
      </w:pPr>
      <w:r>
        <w:t xml:space="preserve">Reapply the same principle for the set </w:t>
      </w:r>
      <m:oMath>
        <m:sSub>
          <m:sSubPr>
            <m:ctrlPr>
              <w:rPr>
                <w:rFonts w:ascii="Cambria Math" w:hAnsi="Cambria Math"/>
                <w:i/>
              </w:rPr>
            </m:ctrlPr>
          </m:sSubPr>
          <m:e>
            <m:r>
              <w:rPr>
                <w:rFonts w:ascii="Cambria Math" w:hAnsi="Cambria Math"/>
              </w:rPr>
              <m:t>S</m:t>
            </m:r>
          </m:e>
          <m:sub>
            <m:r>
              <w:rPr>
                <w:rFonts w:ascii="Cambria Math" w:hAnsi="Cambria Math"/>
              </w:rPr>
              <m:t>c-2</m:t>
            </m:r>
          </m:sub>
        </m:sSub>
      </m:oMath>
      <w:r>
        <w:t>, using as</w:t>
      </w:r>
      <w:r w:rsidR="00852D89">
        <w:t xml:space="preserve"> the</w:t>
      </w:r>
      <w:r>
        <w:t xml:space="preserve"> starting point the first value of the retropolated computed at the previous step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8651AB">
        <w:t>, and continue up to the first set.</w:t>
      </w:r>
    </w:p>
    <w:p w14:paraId="7CC1CAA8" w14:textId="4E5A0514" w:rsidR="009C3BD3" w:rsidRDefault="009C3BD3" w:rsidP="00B9098B">
      <w:pPr>
        <w:pStyle w:val="Heading4"/>
      </w:pPr>
    </w:p>
    <w:p w14:paraId="7904C551" w14:textId="6215BB0C" w:rsidR="001317DE" w:rsidRDefault="001317DE" w:rsidP="001317DE">
      <w:r>
        <w:t xml:space="preserve">The recursive definition of the retropolated partition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 xml:space="preserve"> </m:t>
        </m:r>
      </m:oMath>
      <w:r>
        <w:t>is therefore:</w:t>
      </w:r>
    </w:p>
    <w:p w14:paraId="6C824B51" w14:textId="44F4A0FA" w:rsidR="001317DE" w:rsidRDefault="001317DE" w:rsidP="001317DE">
      <w:r>
        <w:tab/>
      </w:r>
      <w:r w:rsidRPr="001317DE">
        <w:rPr>
          <w:b/>
        </w:rPr>
        <w:t>Initial state</w:t>
      </w:r>
      <w:r>
        <w:rPr>
          <w:b/>
        </w:rPr>
        <w:t xml:space="preserve">: </w:t>
      </w:r>
      <m:oMath>
        <m:sSub>
          <m:sSubPr>
            <m:ctrlPr>
              <w:rPr>
                <w:rFonts w:ascii="Cambria Math" w:hAnsi="Cambria Math"/>
                <w:i/>
              </w:rPr>
            </m:ctrlPr>
          </m:sSubPr>
          <m:e>
            <m:r>
              <w:rPr>
                <w:rFonts w:ascii="Cambria Math" w:hAnsi="Cambria Math"/>
              </w:rPr>
              <m:t>S</m:t>
            </m:r>
          </m:e>
          <m:sub>
            <m:r>
              <w:rPr>
                <w:rFonts w:ascii="Cambria Math" w:hAnsi="Cambria Math"/>
              </w:rPr>
              <m:t>r0</m:t>
            </m:r>
          </m:sub>
        </m:sSub>
        <m:sSub>
          <m:sSubPr>
            <m:ctrlPr>
              <w:rPr>
                <w:rFonts w:ascii="Cambria Math" w:hAnsi="Cambria Math"/>
                <w:i/>
              </w:rPr>
            </m:ctrlPr>
          </m:sSubPr>
          <m:e>
            <m:r>
              <w:rPr>
                <w:rFonts w:ascii="Cambria Math" w:hAnsi="Cambria Math"/>
              </w:rPr>
              <m:t>= S</m:t>
            </m:r>
          </m:e>
          <m:sub>
            <m:r>
              <w:rPr>
                <w:rFonts w:ascii="Cambria Math" w:hAnsi="Cambria Math"/>
              </w:rPr>
              <m:t>c</m:t>
            </m:r>
          </m:sub>
        </m:sSub>
      </m:oMath>
    </w:p>
    <w:p w14:paraId="0991A366" w14:textId="4840F2E3" w:rsidR="00291F06" w:rsidRDefault="001317DE" w:rsidP="001F0020">
      <w:r>
        <w:tab/>
      </w:r>
      <w:r w:rsidRPr="001317DE">
        <w:rPr>
          <w:b/>
        </w:rPr>
        <w:t>Recursive value</w:t>
      </w:r>
      <w:r>
        <w:rPr>
          <w:b/>
        </w:rPr>
        <w:t xml:space="preserve">: </w:t>
      </w:r>
      <m:oMath>
        <m:r>
          <w:rPr>
            <w:rFonts w:ascii="Cambria Math" w:hAnsi="Cambria Math"/>
          </w:rPr>
          <m:t xml:space="preserve">∀ i  in </m:t>
        </m:r>
        <m:d>
          <m:dPr>
            <m:begChr m:val="["/>
            <m:endChr m:val="]"/>
            <m:ctrlPr>
              <w:rPr>
                <w:rFonts w:ascii="Cambria Math" w:hAnsi="Cambria Math"/>
                <w:i/>
              </w:rPr>
            </m:ctrlPr>
          </m:dPr>
          <m:e>
            <m:r>
              <w:rPr>
                <w:rFonts w:ascii="Cambria Math" w:hAnsi="Cambria Math"/>
              </w:rPr>
              <m:t>1,…, C-1</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r,i</m:t>
            </m:r>
          </m:sub>
        </m:sSub>
        <m:r>
          <w:rPr>
            <w:rFonts w:ascii="Cambria Math" w:hAnsi="Cambria Math"/>
          </w:rPr>
          <m:t>= (</m:t>
        </m:r>
        <m:sSub>
          <m:sSubPr>
            <m:ctrlPr>
              <w:rPr>
                <w:rFonts w:ascii="Cambria Math" w:hAnsi="Cambria Math"/>
                <w:i/>
              </w:rPr>
            </m:ctrlPr>
          </m:sSubPr>
          <m:e>
            <m:r>
              <w:rPr>
                <w:rFonts w:ascii="Cambria Math" w:hAnsi="Cambria Math"/>
              </w:rPr>
              <m:t>BFD(S</m:t>
            </m:r>
          </m:e>
          <m:sub>
            <m:r>
              <w:rPr>
                <w:rFonts w:ascii="Cambria Math" w:hAnsi="Cambria Math"/>
              </w:rPr>
              <m:t>C-i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r,i-1</m:t>
            </m:r>
          </m:sub>
        </m:sSub>
        <m:r>
          <w:rPr>
            <w:rFonts w:ascii="Cambria Math" w:hAnsi="Cambria Math"/>
          </w:rPr>
          <m:t xml:space="preserve">(0)) ∪ </m:t>
        </m:r>
        <m:sSub>
          <m:sSubPr>
            <m:ctrlPr>
              <w:rPr>
                <w:rFonts w:ascii="Cambria Math" w:hAnsi="Cambria Math"/>
                <w:i/>
              </w:rPr>
            </m:ctrlPr>
          </m:sSubPr>
          <m:e>
            <m:r>
              <w:rPr>
                <w:rFonts w:ascii="Cambria Math" w:hAnsi="Cambria Math"/>
              </w:rPr>
              <m:t>S</m:t>
            </m:r>
          </m:e>
          <m:sub>
            <m:r>
              <w:rPr>
                <w:rFonts w:ascii="Cambria Math" w:hAnsi="Cambria Math"/>
              </w:rPr>
              <m:t>r,i-1</m:t>
            </m:r>
          </m:sub>
        </m:sSub>
      </m:oMath>
      <w:r>
        <w:t xml:space="preserve"> with the operators defined above</w:t>
      </w:r>
      <w:r w:rsidR="000B112C">
        <w:rPr>
          <w:b/>
        </w:rPr>
        <w:t xml:space="preserve">. </w:t>
      </w:r>
      <w:r w:rsidR="00453010">
        <w:t>Note that the tool accommodate</w:t>
      </w:r>
      <w:r w:rsidR="00182FC6">
        <w:t>s</w:t>
      </w:r>
      <w:r w:rsidR="00453010">
        <w:t xml:space="preserve"> any number of cutoffs</w:t>
      </w:r>
      <w:r w:rsidR="00182FC6">
        <w:t xml:space="preserve"> when running the partition</w:t>
      </w:r>
      <w:r w:rsidR="009A13EB">
        <w:t xml:space="preserve">. </w:t>
      </w:r>
    </w:p>
    <w:p w14:paraId="4D85736C" w14:textId="7247117F" w:rsidR="001201DB" w:rsidRDefault="001201DB" w:rsidP="001F0020"/>
    <w:p w14:paraId="61132FCF" w14:textId="7EB2B9D7" w:rsidR="001F0020" w:rsidRDefault="001201DB" w:rsidP="001F0020">
      <w:r>
        <w:t>The chained-index partition tackles the problem of missing values at the beginning of the sample. F</w:t>
      </w:r>
      <w:r w:rsidR="009A13EB">
        <w:t xml:space="preserve">or missing values at the end of the sample (for instance, if credit growth is only available with </w:t>
      </w:r>
      <w:r w:rsidR="00CB355E">
        <w:t>a one</w:t>
      </w:r>
      <w:r w:rsidR="009A13EB">
        <w:t xml:space="preserve">-period lag), the tool </w:t>
      </w:r>
      <w:r>
        <w:t xml:space="preserve">propagates the value forward (hot deck replacement) </w:t>
      </w:r>
      <w:r w:rsidR="009A13EB">
        <w:t xml:space="preserve">if the user wants to compute the partition over the </w:t>
      </w:r>
      <w:r w:rsidR="0040368D">
        <w:t>entire t</w:t>
      </w:r>
      <w:r w:rsidR="009A13EB">
        <w:t xml:space="preserve">ime frame. </w:t>
      </w:r>
      <w:r>
        <w:t xml:space="preserve">This is a minor issue as usually </w:t>
      </w:r>
      <w:r w:rsidR="000675DC">
        <w:t xml:space="preserve">only </w:t>
      </w:r>
      <w:r>
        <w:t xml:space="preserve">one or two observations </w:t>
      </w:r>
      <w:r w:rsidR="000675DC">
        <w:t xml:space="preserve">are </w:t>
      </w:r>
      <w:r>
        <w:t xml:space="preserve">missing. </w:t>
      </w:r>
      <w:r w:rsidR="00DF59C1">
        <w:t>If the user wishes t</w:t>
      </w:r>
      <w:r w:rsidR="009A13EB">
        <w:t>o avoid this behavior</w:t>
      </w:r>
      <w:r>
        <w:t xml:space="preserve">, </w:t>
      </w:r>
      <w:r w:rsidR="00DF59C1">
        <w:t xml:space="preserve">he </w:t>
      </w:r>
      <w:r>
        <w:t>should simply define</w:t>
      </w:r>
      <w:r w:rsidR="009A13EB">
        <w:t xml:space="preserve"> the time range</w:t>
      </w:r>
      <w:r w:rsidR="000D695B">
        <w:t xml:space="preserve"> of the sample</w:t>
      </w:r>
      <w:r w:rsidR="009A13EB">
        <w:t xml:space="preserve"> such that it ends when all the variables are available.</w:t>
      </w:r>
    </w:p>
    <w:p w14:paraId="299062F8" w14:textId="77777777" w:rsidR="000B112C" w:rsidRDefault="000B112C" w:rsidP="001F0020"/>
    <w:p w14:paraId="27E72A6A" w14:textId="3146EC0D" w:rsidR="00857EFD" w:rsidRPr="001B27A8" w:rsidRDefault="000B112C" w:rsidP="000B112C">
      <w:pPr>
        <w:jc w:val="center"/>
      </w:pPr>
      <w:r w:rsidRPr="001B27A8">
        <w:rPr>
          <w:b/>
          <w:i/>
          <w:color w:val="31849B" w:themeColor="accent5" w:themeShade="BF"/>
        </w:rPr>
        <w:t xml:space="preserve">Figure </w:t>
      </w:r>
      <w:r w:rsidR="005F07E6">
        <w:rPr>
          <w:b/>
          <w:i/>
          <w:color w:val="31849B" w:themeColor="accent5" w:themeShade="BF"/>
        </w:rPr>
        <w:t>2.</w:t>
      </w:r>
      <w:r w:rsidRPr="001B27A8">
        <w:rPr>
          <w:b/>
          <w:i/>
          <w:color w:val="31849B" w:themeColor="accent5" w:themeShade="BF"/>
        </w:rPr>
        <w:t xml:space="preserve"> Output Example: Partitions and Loadings</w:t>
      </w:r>
    </w:p>
    <w:p w14:paraId="0BEBF9E8" w14:textId="25FE380D" w:rsidR="00857EFD" w:rsidRPr="001B27A8" w:rsidRDefault="00857EFD" w:rsidP="001F0020">
      <w:r>
        <w:rPr>
          <w:noProof/>
        </w:rPr>
        <w:drawing>
          <wp:anchor distT="0" distB="0" distL="114300" distR="114300" simplePos="0" relativeHeight="251836416" behindDoc="0" locked="0" layoutInCell="1" allowOverlap="1" wp14:anchorId="46B6681A" wp14:editId="440EADC9">
            <wp:simplePos x="0" y="0"/>
            <wp:positionH relativeFrom="column">
              <wp:posOffset>-33020</wp:posOffset>
            </wp:positionH>
            <wp:positionV relativeFrom="paragraph">
              <wp:posOffset>209550</wp:posOffset>
            </wp:positionV>
            <wp:extent cx="6000750" cy="3028315"/>
            <wp:effectExtent l="0" t="0" r="0" b="635"/>
            <wp:wrapTopAndBottom/>
            <wp:docPr id="58" name="MyPlot_P">
              <a:extLst xmlns:a="http://schemas.openxmlformats.org/drawingml/2006/main">
                <a:ext uri="{FF2B5EF4-FFF2-40B4-BE49-F238E27FC236}">
                  <a16:creationId xmlns:a16="http://schemas.microsoft.com/office/drawing/2014/main" id="{00000000-0008-0000-0A00-00003A000000}"/>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MyPlot_P">
                      <a:extLst>
                        <a:ext uri="{FF2B5EF4-FFF2-40B4-BE49-F238E27FC236}">
                          <a16:creationId xmlns:a16="http://schemas.microsoft.com/office/drawing/2014/main" id="{00000000-0008-0000-0A00-00003A000000}"/>
                        </a:ext>
                      </a:extLst>
                    </pic:cNvPr>
                    <pic:cNvPicPr>
                      <a:picLock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00750" cy="3028315"/>
                    </a:xfrm>
                    <a:prstGeom prst="rect">
                      <a:avLst/>
                    </a:prstGeom>
                  </pic:spPr>
                </pic:pic>
              </a:graphicData>
            </a:graphic>
            <wp14:sizeRelH relativeFrom="page">
              <wp14:pctWidth>0</wp14:pctWidth>
            </wp14:sizeRelH>
            <wp14:sizeRelV relativeFrom="page">
              <wp14:pctHeight>0</wp14:pctHeight>
            </wp14:sizeRelV>
          </wp:anchor>
        </w:drawing>
      </w:r>
    </w:p>
    <w:p w14:paraId="606FE8AF" w14:textId="6E1EED7B" w:rsidR="00857EFD" w:rsidRPr="001B27A8" w:rsidRDefault="00857EFD" w:rsidP="001F0020"/>
    <w:p w14:paraId="7527FE43" w14:textId="07DB571B" w:rsidR="001F0020" w:rsidRPr="001B27A8" w:rsidRDefault="001F0020" w:rsidP="001F0020"/>
    <w:p w14:paraId="1653A098" w14:textId="05747B73" w:rsidR="00707D58" w:rsidRPr="005F07E6" w:rsidRDefault="00270147" w:rsidP="009C3BD3">
      <w:pPr>
        <w:pStyle w:val="AnnAppHeading1"/>
        <w:numPr>
          <w:ilvl w:val="0"/>
          <w:numId w:val="19"/>
        </w:numPr>
      </w:pPr>
      <w:r w:rsidRPr="005F07E6">
        <w:t>Quantile R</w:t>
      </w:r>
      <w:r w:rsidR="00FA162E" w:rsidRPr="005F07E6">
        <w:t>egressions</w:t>
      </w:r>
      <w:r w:rsidRPr="005F07E6">
        <w:t xml:space="preserve"> </w:t>
      </w:r>
      <w:r w:rsidR="005233B4" w:rsidRPr="005F07E6">
        <w:t>and Quantile Coefficients</w:t>
      </w:r>
    </w:p>
    <w:p w14:paraId="44EEB95F" w14:textId="2E45A401" w:rsidR="00D338DB" w:rsidRPr="001303D8" w:rsidRDefault="00D338DB" w:rsidP="00D338DB">
      <w:pPr>
        <w:spacing w:after="160" w:line="259" w:lineRule="auto"/>
        <w:rPr>
          <w:b/>
          <w:bCs/>
          <w:i/>
          <w:szCs w:val="28"/>
        </w:rPr>
      </w:pPr>
      <w:r>
        <w:rPr>
          <w:b/>
          <w:bCs/>
          <w:i/>
          <w:szCs w:val="28"/>
        </w:rPr>
        <w:t xml:space="preserve">Dependent variable </w:t>
      </w:r>
    </w:p>
    <w:p w14:paraId="5E4BA46A" w14:textId="578D33A2" w:rsidR="00D338DB" w:rsidRDefault="00D338DB" w:rsidP="001303D8">
      <w:pPr>
        <w:spacing w:after="160" w:line="259" w:lineRule="auto"/>
        <w:rPr>
          <w:b/>
          <w:bCs/>
          <w:i/>
          <w:szCs w:val="28"/>
        </w:rPr>
      </w:pPr>
      <w:r>
        <w:rPr>
          <w:b/>
          <w:bCs/>
          <w:i/>
          <w:szCs w:val="28"/>
        </w:rPr>
        <w:lastRenderedPageBreak/>
        <w:tab/>
      </w:r>
      <w:r w:rsidRPr="00D338DB">
        <w:t xml:space="preserve">The </w:t>
      </w:r>
      <w:r>
        <w:t>tool has been originally designed to estimate growth at risk: hence it estimates a growth rate for GDP, at different horizons.</w:t>
      </w:r>
      <w:r w:rsidR="00312C33">
        <w:t xml:space="preserve"> The </w:t>
      </w:r>
      <w:r w:rsidR="00452FC0">
        <w:t xml:space="preserve">user </w:t>
      </w:r>
      <w:r w:rsidR="00352C00">
        <w:t>must</w:t>
      </w:r>
      <w:r w:rsidR="00312C33">
        <w:t xml:space="preserve"> provide the </w:t>
      </w:r>
      <w:r w:rsidR="005F28E4">
        <w:t xml:space="preserve">real GDP </w:t>
      </w:r>
      <w:r w:rsidR="00312C33">
        <w:t>variable in level</w:t>
      </w:r>
      <w:r w:rsidR="005F28E4">
        <w:t xml:space="preserve"> (for instance)</w:t>
      </w:r>
      <w:r w:rsidR="00312C33">
        <w:t xml:space="preserve">, and </w:t>
      </w:r>
      <w:r w:rsidR="000606E3">
        <w:t xml:space="preserve">the tool will </w:t>
      </w:r>
      <w:r w:rsidR="00312C33">
        <w:t xml:space="preserve">automatically compute the </w:t>
      </w:r>
      <w:r w:rsidR="00C27251">
        <w:t xml:space="preserve">GDP </w:t>
      </w:r>
      <w:r w:rsidR="00312C33">
        <w:t>growth rate depending on</w:t>
      </w:r>
      <w:r w:rsidR="00213D20">
        <w:t xml:space="preserve"> the horizon chosen by the user</w:t>
      </w:r>
      <w:r w:rsidR="00312C33">
        <w:t xml:space="preserve">. </w:t>
      </w:r>
      <w:r w:rsidR="00213D20">
        <w:t xml:space="preserve">The tool offers </w:t>
      </w:r>
      <w:r w:rsidR="00312C33">
        <w:t>two different way</w:t>
      </w:r>
      <w:r w:rsidR="00352C00">
        <w:t>s</w:t>
      </w:r>
      <w:r w:rsidR="00312C33">
        <w:t xml:space="preserve"> to compute GDP growth: either an annualized quarterly compound growth rate between period </w:t>
      </w:r>
      <w:r w:rsidR="00312C33" w:rsidRPr="00312C33">
        <w:rPr>
          <w:i/>
        </w:rPr>
        <w:t>t</w:t>
      </w:r>
      <w:r w:rsidR="00312C33">
        <w:rPr>
          <w:i/>
        </w:rPr>
        <w:t xml:space="preserve"> </w:t>
      </w:r>
      <w:r w:rsidR="00312C33">
        <w:t xml:space="preserve">and period </w:t>
      </w:r>
      <w:r w:rsidR="00312C33" w:rsidRPr="00312C33">
        <w:rPr>
          <w:i/>
        </w:rPr>
        <w:t>t+h</w:t>
      </w:r>
      <w:r w:rsidR="00312C33">
        <w:t xml:space="preserve">, where </w:t>
      </w:r>
      <w:r w:rsidR="00312C33" w:rsidRPr="00312C33">
        <w:rPr>
          <w:i/>
        </w:rPr>
        <w:t>h</w:t>
      </w:r>
      <w:r w:rsidR="00312C33">
        <w:t xml:space="preserve"> is the horizon defined by the user</w:t>
      </w:r>
      <w:r w:rsidR="00352C00">
        <w:t xml:space="preserve">, or </w:t>
      </w:r>
      <w:r w:rsidR="00312C33">
        <w:t xml:space="preserve">the year-on-year growth rate, </w:t>
      </w:r>
      <w:r w:rsidR="00312C33" w:rsidRPr="00312C33">
        <w:rPr>
          <w:i/>
        </w:rPr>
        <w:t>h</w:t>
      </w:r>
      <w:r w:rsidR="00312C33">
        <w:t xml:space="preserve"> periods ahead. Finally, the tool also offers the possibility to keep the variable in level in case some users wish to use their own growth rate calculations, or simply want to use another variable as </w:t>
      </w:r>
      <w:r w:rsidR="00352C00">
        <w:t>the</w:t>
      </w:r>
      <w:r w:rsidR="009539DC">
        <w:t xml:space="preserve"> </w:t>
      </w:r>
      <w:r w:rsidR="00312C33">
        <w:t xml:space="preserve">dependent </w:t>
      </w:r>
      <w:r w:rsidR="009539DC">
        <w:t xml:space="preserve">variable </w:t>
      </w:r>
      <w:r w:rsidR="00312C33">
        <w:t xml:space="preserve">and don’t want to compute </w:t>
      </w:r>
      <w:r w:rsidR="00522DBC">
        <w:t xml:space="preserve">a </w:t>
      </w:r>
      <w:r w:rsidR="00312C33">
        <w:t>growth rate.</w:t>
      </w:r>
    </w:p>
    <w:p w14:paraId="2144AF14" w14:textId="50BC2E5E" w:rsidR="00926F00" w:rsidRPr="001303D8" w:rsidRDefault="001303D8" w:rsidP="001303D8">
      <w:pPr>
        <w:spacing w:after="160" w:line="259" w:lineRule="auto"/>
        <w:rPr>
          <w:b/>
          <w:bCs/>
          <w:i/>
          <w:szCs w:val="28"/>
        </w:rPr>
      </w:pPr>
      <w:bookmarkStart w:id="4" w:name="_Hlk524827753"/>
      <w:r w:rsidRPr="001303D8">
        <w:rPr>
          <w:b/>
          <w:bCs/>
          <w:i/>
          <w:szCs w:val="28"/>
        </w:rPr>
        <w:t>Quantile regressions</w:t>
      </w:r>
      <w:r w:rsidR="00DC79E5">
        <w:rPr>
          <w:b/>
          <w:bCs/>
          <w:i/>
          <w:szCs w:val="28"/>
        </w:rPr>
        <w:t xml:space="preserve"> </w:t>
      </w:r>
    </w:p>
    <w:bookmarkEnd w:id="4"/>
    <w:p w14:paraId="62FD4D28" w14:textId="77777777" w:rsidR="00926F00" w:rsidRDefault="00A22508" w:rsidP="002A6377">
      <w:r>
        <w:t xml:space="preserve">          </w:t>
      </w:r>
      <w:r w:rsidR="00926F00">
        <w:t xml:space="preserve">Using partitioned data instead of the original set of variables reduces the dimensionality of the regressors and therefore minimize parameters noise in the estimation. For a set of horizons </w:t>
      </w:r>
      <m:oMath>
        <m:r>
          <w:rPr>
            <w:rFonts w:ascii="Cambria Math" w:hAnsi="Cambria Math"/>
          </w:rPr>
          <m:t>h ∈{1, 4, 8, 12}</m:t>
        </m:r>
      </m:oMath>
      <w:r w:rsidR="00926F00">
        <w:t xml:space="preserve"> where </w:t>
      </w:r>
      <w:r w:rsidRPr="00077249">
        <w:rPr>
          <w:i/>
        </w:rPr>
        <w:t>h</w:t>
      </w:r>
      <w:r>
        <w:rPr>
          <w:i/>
        </w:rPr>
        <w:t xml:space="preserve"> </w:t>
      </w:r>
      <w:r>
        <w:t>represents</w:t>
      </w:r>
      <w:r w:rsidR="00926F00">
        <w:t xml:space="preserve"> the quarters ahead, the following specifications are estimated:</w:t>
      </w:r>
    </w:p>
    <w:p w14:paraId="2A85EEE5" w14:textId="77777777" w:rsidR="00420A49" w:rsidRPr="00420A49" w:rsidRDefault="00AE1FF5" w:rsidP="00420A49">
      <w:pPr>
        <w:spacing w:after="160" w:line="259" w:lineRule="auto"/>
        <w:ind w:left="360"/>
        <w:jc w:val="center"/>
        <w:rPr>
          <w:rFonts w:ascii="Calibri" w:eastAsia="SimSun" w:hAnsi="Calibri"/>
          <w:sz w:val="22"/>
          <w:szCs w:val="22"/>
          <w:lang w:eastAsia="zh-CN"/>
        </w:rPr>
      </w:pPr>
      <m:oMathPara>
        <m:oMath>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y</m:t>
              </m:r>
            </m:e>
            <m:sub>
              <m:r>
                <w:rPr>
                  <w:rFonts w:ascii="Cambria Math" w:eastAsia="SimSun" w:hAnsi="Cambria Math"/>
                  <w:sz w:val="22"/>
                  <w:szCs w:val="22"/>
                  <w:lang w:eastAsia="zh-CN"/>
                </w:rPr>
                <m:t>t+h</m:t>
              </m:r>
            </m:sub>
          </m:sSub>
          <m:r>
            <w:rPr>
              <w:rFonts w:ascii="Cambria Math" w:eastAsia="SimSun" w:hAnsi="Cambria Math"/>
              <w:sz w:val="22"/>
              <w:szCs w:val="22"/>
              <w:lang w:eastAsia="zh-CN"/>
            </w:rPr>
            <m:t>=</m:t>
          </m:r>
          <m:sSup>
            <m:sSupPr>
              <m:ctrlPr>
                <w:rPr>
                  <w:rFonts w:ascii="Cambria Math" w:eastAsia="SimSun" w:hAnsi="Cambria Math"/>
                  <w:i/>
                  <w:sz w:val="22"/>
                  <w:szCs w:val="22"/>
                  <w:lang w:eastAsia="zh-CN"/>
                </w:rPr>
              </m:ctrlPr>
            </m:sSupPr>
            <m:e>
              <m:r>
                <w:rPr>
                  <w:rFonts w:ascii="Cambria Math" w:eastAsia="SimSun" w:hAnsi="Cambria Math"/>
                  <w:sz w:val="22"/>
                  <w:szCs w:val="22"/>
                  <w:lang w:eastAsia="zh-CN"/>
                </w:rPr>
                <m:t>α</m:t>
              </m:r>
            </m:e>
            <m:sup>
              <m:r>
                <w:rPr>
                  <w:rFonts w:ascii="Cambria Math" w:eastAsia="SimSun" w:hAnsi="Cambria Math"/>
                  <w:sz w:val="22"/>
                  <w:szCs w:val="22"/>
                  <w:lang w:eastAsia="zh-CN"/>
                </w:rPr>
                <m:t>τ</m:t>
              </m:r>
            </m:sup>
          </m:sSup>
          <m:r>
            <w:rPr>
              <w:rFonts w:ascii="Cambria Math" w:eastAsia="SimSun" w:hAnsi="Cambria Math"/>
              <w:sz w:val="22"/>
              <w:szCs w:val="22"/>
              <w:lang w:eastAsia="zh-CN"/>
            </w:rPr>
            <m:t xml:space="preserve">+ </m:t>
          </m:r>
          <m:nary>
            <m:naryPr>
              <m:chr m:val="∑"/>
              <m:limLoc m:val="undOvr"/>
              <m:supHide m:val="1"/>
              <m:ctrlPr>
                <w:rPr>
                  <w:rFonts w:ascii="Cambria Math" w:eastAsia="SimSun" w:hAnsi="Cambria Math"/>
                  <w:i/>
                  <w:sz w:val="22"/>
                  <w:szCs w:val="22"/>
                  <w:lang w:eastAsia="zh-CN"/>
                </w:rPr>
              </m:ctrlPr>
            </m:naryPr>
            <m:sub>
              <m:r>
                <w:rPr>
                  <w:rFonts w:ascii="Cambria Math" w:eastAsia="SimSun" w:hAnsi="Cambria Math"/>
                  <w:sz w:val="22"/>
                  <w:szCs w:val="22"/>
                  <w:lang w:eastAsia="zh-CN"/>
                </w:rPr>
                <m:t>i ∈I</m:t>
              </m:r>
            </m:sub>
            <m:sup/>
            <m:e>
              <m:sSubSup>
                <m:sSubSupPr>
                  <m:ctrlPr>
                    <w:rPr>
                      <w:rFonts w:ascii="Cambria Math" w:eastAsia="SimSun" w:hAnsi="Cambria Math"/>
                      <w:i/>
                      <w:sz w:val="22"/>
                      <w:szCs w:val="22"/>
                      <w:lang w:eastAsia="zh-CN"/>
                    </w:rPr>
                  </m:ctrlPr>
                </m:sSubSupPr>
                <m:e>
                  <m:r>
                    <w:rPr>
                      <w:rFonts w:ascii="Cambria Math" w:eastAsia="SimSun" w:hAnsi="Cambria Math"/>
                      <w:sz w:val="22"/>
                      <w:szCs w:val="22"/>
                      <w:lang w:eastAsia="zh-CN"/>
                    </w:rPr>
                    <m:t>β</m:t>
                  </m:r>
                </m:e>
                <m:sub>
                  <m:r>
                    <w:rPr>
                      <w:rFonts w:ascii="Cambria Math" w:eastAsia="SimSun" w:hAnsi="Cambria Math"/>
                      <w:sz w:val="22"/>
                      <w:szCs w:val="22"/>
                      <w:lang w:eastAsia="zh-CN"/>
                    </w:rPr>
                    <m:t>i</m:t>
                  </m:r>
                </m:sub>
                <m:sup>
                  <m:r>
                    <w:rPr>
                      <w:rFonts w:ascii="Cambria Math" w:eastAsia="SimSun" w:hAnsi="Cambria Math"/>
                      <w:sz w:val="22"/>
                      <w:szCs w:val="22"/>
                      <w:lang w:eastAsia="zh-CN"/>
                    </w:rPr>
                    <m:t>τ</m:t>
                  </m:r>
                </m:sup>
              </m:sSubSup>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X</m:t>
                  </m:r>
                </m:e>
                <m:sub>
                  <m:r>
                    <w:rPr>
                      <w:rFonts w:ascii="Cambria Math" w:eastAsia="SimSun" w:hAnsi="Cambria Math"/>
                      <w:sz w:val="22"/>
                      <w:szCs w:val="22"/>
                      <w:lang w:eastAsia="zh-CN"/>
                    </w:rPr>
                    <m:t>i, t</m:t>
                  </m:r>
                </m:sub>
              </m:sSub>
            </m:e>
          </m:nary>
          <m:r>
            <w:rPr>
              <w:rFonts w:ascii="Cambria Math" w:eastAsia="SimSun" w:hAnsi="Cambria Math"/>
              <w:sz w:val="22"/>
              <w:szCs w:val="22"/>
              <w:lang w:eastAsia="zh-CN"/>
            </w:rPr>
            <m:t xml:space="preserve">+ </m:t>
          </m:r>
          <m:sSubSup>
            <m:sSubSupPr>
              <m:ctrlPr>
                <w:rPr>
                  <w:rFonts w:ascii="Cambria Math" w:eastAsia="SimSun" w:hAnsi="Cambria Math"/>
                  <w:i/>
                  <w:sz w:val="22"/>
                  <w:szCs w:val="22"/>
                  <w:lang w:eastAsia="zh-CN"/>
                </w:rPr>
              </m:ctrlPr>
            </m:sSubSupPr>
            <m:e>
              <m:r>
                <w:rPr>
                  <w:rFonts w:ascii="Cambria Math" w:eastAsia="SimSun" w:hAnsi="Cambria Math"/>
                  <w:sz w:val="22"/>
                  <w:szCs w:val="22"/>
                  <w:lang w:eastAsia="zh-CN"/>
                </w:rPr>
                <m:t>ε</m:t>
              </m:r>
            </m:e>
            <m:sub>
              <m:r>
                <w:rPr>
                  <w:rFonts w:ascii="Cambria Math" w:eastAsia="SimSun" w:hAnsi="Cambria Math"/>
                  <w:sz w:val="22"/>
                  <w:szCs w:val="22"/>
                  <w:lang w:eastAsia="zh-CN"/>
                </w:rPr>
                <m:t>i, t</m:t>
              </m:r>
            </m:sub>
            <m:sup>
              <m:r>
                <w:rPr>
                  <w:rFonts w:ascii="Cambria Math" w:eastAsia="SimSun" w:hAnsi="Cambria Math"/>
                  <w:sz w:val="22"/>
                  <w:szCs w:val="22"/>
                  <w:lang w:eastAsia="zh-CN"/>
                </w:rPr>
                <m:t>τ</m:t>
              </m:r>
            </m:sup>
          </m:sSubSup>
        </m:oMath>
      </m:oMathPara>
    </w:p>
    <w:tbl>
      <w:tblPr>
        <w:tblStyle w:val="TableGrid"/>
        <w:tblpPr w:leftFromText="180" w:rightFromText="180" w:vertAnchor="text" w:horzAnchor="margin" w:tblpXSpec="right" w:tblpY="127"/>
        <w:tblW w:w="0" w:type="auto"/>
        <w:tblLook w:val="04A0" w:firstRow="1" w:lastRow="0" w:firstColumn="1" w:lastColumn="0" w:noHBand="0" w:noVBand="1"/>
      </w:tblPr>
      <w:tblGrid>
        <w:gridCol w:w="5706"/>
      </w:tblGrid>
      <w:tr w:rsidR="00A22508" w14:paraId="4DB90C62" w14:textId="77777777" w:rsidTr="00A22508">
        <w:tc>
          <w:tcPr>
            <w:tcW w:w="5706" w:type="dxa"/>
          </w:tcPr>
          <w:p w14:paraId="6F2A883A" w14:textId="7D3145AA" w:rsidR="00A22508" w:rsidRPr="00E46419" w:rsidRDefault="00A22508" w:rsidP="00A22508">
            <w:pPr>
              <w:pStyle w:val="Caption"/>
              <w:spacing w:after="0"/>
              <w:jc w:val="center"/>
              <w:rPr>
                <w:b/>
                <w:i w:val="0"/>
                <w:color w:val="31849B" w:themeColor="accent5" w:themeShade="BF"/>
                <w:sz w:val="21"/>
                <w:szCs w:val="24"/>
              </w:rPr>
            </w:pPr>
            <w:bookmarkStart w:id="5" w:name="_Toc506555385"/>
            <w:r w:rsidRPr="00E46419">
              <w:rPr>
                <w:b/>
                <w:i w:val="0"/>
                <w:color w:val="31849B" w:themeColor="accent5" w:themeShade="BF"/>
              </w:rPr>
              <w:t xml:space="preserve">Figure </w:t>
            </w:r>
            <w:r w:rsidR="005F07E6">
              <w:rPr>
                <w:b/>
                <w:i w:val="0"/>
                <w:color w:val="31849B" w:themeColor="accent5" w:themeShade="BF"/>
              </w:rPr>
              <w:t>3.</w:t>
            </w:r>
            <w:r w:rsidRPr="00E46419">
              <w:rPr>
                <w:b/>
                <w:i w:val="0"/>
                <w:color w:val="31849B" w:themeColor="accent5" w:themeShade="BF"/>
              </w:rPr>
              <w:t xml:space="preserve"> Fitted OLS Curve vs. Fitted Quantile Regressions Curves</w:t>
            </w:r>
            <w:bookmarkEnd w:id="5"/>
          </w:p>
        </w:tc>
      </w:tr>
      <w:tr w:rsidR="00A22508" w14:paraId="25BFCD83" w14:textId="77777777" w:rsidTr="00A22508">
        <w:trPr>
          <w:trHeight w:val="4175"/>
        </w:trPr>
        <w:tc>
          <w:tcPr>
            <w:tcW w:w="5706" w:type="dxa"/>
          </w:tcPr>
          <w:p w14:paraId="4F1CFA6B" w14:textId="65E72F38" w:rsidR="00A22508" w:rsidRPr="004B7657" w:rsidRDefault="00A22508" w:rsidP="00A22508">
            <w:pPr>
              <w:rPr>
                <w:sz w:val="18"/>
                <w:szCs w:val="18"/>
              </w:rPr>
            </w:pPr>
            <w:r w:rsidRPr="004B7657">
              <w:rPr>
                <w:b/>
                <w:noProof/>
                <w:sz w:val="18"/>
                <w:szCs w:val="18"/>
              </w:rPr>
              <w:drawing>
                <wp:anchor distT="0" distB="0" distL="114300" distR="114300" simplePos="0" relativeHeight="251834368" behindDoc="0" locked="0" layoutInCell="1" allowOverlap="1" wp14:anchorId="55C7CB00" wp14:editId="6CC3A13B">
                  <wp:simplePos x="0" y="0"/>
                  <wp:positionH relativeFrom="margin">
                    <wp:posOffset>-17780</wp:posOffset>
                  </wp:positionH>
                  <wp:positionV relativeFrom="paragraph">
                    <wp:posOffset>121285</wp:posOffset>
                  </wp:positionV>
                  <wp:extent cx="3476625" cy="2336800"/>
                  <wp:effectExtent l="0" t="0" r="9525" b="6350"/>
                  <wp:wrapSquare wrapText="bothSides"/>
                  <wp:docPr id="7" name="Picture 5">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476625" cy="2336800"/>
                          </a:xfrm>
                          <a:prstGeom prst="rect">
                            <a:avLst/>
                          </a:prstGeom>
                        </pic:spPr>
                      </pic:pic>
                    </a:graphicData>
                  </a:graphic>
                  <wp14:sizeRelH relativeFrom="margin">
                    <wp14:pctWidth>0</wp14:pctWidth>
                  </wp14:sizeRelH>
                  <wp14:sizeRelV relativeFrom="margin">
                    <wp14:pctHeight>0</wp14:pctHeight>
                  </wp14:sizeRelV>
                </wp:anchor>
              </w:drawing>
            </w:r>
            <w:r w:rsidRPr="004B7657">
              <w:rPr>
                <w:sz w:val="18"/>
                <w:szCs w:val="18"/>
              </w:rPr>
              <w:t xml:space="preserve">Source: IMF staff </w:t>
            </w:r>
          </w:p>
        </w:tc>
      </w:tr>
    </w:tbl>
    <w:p w14:paraId="68864C9C" w14:textId="126B24A9" w:rsidR="00D543A7" w:rsidRDefault="00926F00" w:rsidP="00D2161D">
      <w:pPr>
        <w:spacing w:after="240"/>
        <w:ind w:firstLine="360"/>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t+h</m:t>
            </m:r>
          </m:sub>
        </m:sSub>
      </m:oMath>
      <w:r>
        <w:t xml:space="preserve"> represents future growth </w:t>
      </w:r>
      <w:r w:rsidRPr="00077249">
        <w:rPr>
          <w:i/>
        </w:rPr>
        <w:t>h</w:t>
      </w:r>
      <w:r>
        <w:t xml:space="preserve"> </w:t>
      </w:r>
      <w:r w:rsidRPr="00077249">
        <w:t>quarter</w:t>
      </w:r>
      <w:r>
        <w:t xml:space="preserve">s ahead,  </w:t>
      </w:r>
      <m:oMath>
        <m:sSub>
          <m:sSubPr>
            <m:ctrlPr>
              <w:rPr>
                <w:rFonts w:ascii="Cambria Math" w:hAnsi="Cambria Math"/>
                <w:i/>
              </w:rPr>
            </m:ctrlPr>
          </m:sSubPr>
          <m:e>
            <m:r>
              <w:rPr>
                <w:rFonts w:ascii="Cambria Math" w:hAnsi="Cambria Math"/>
              </w:rPr>
              <m:t>X</m:t>
            </m:r>
          </m:e>
          <m:sub>
            <m:r>
              <w:rPr>
                <w:rFonts w:ascii="Cambria Math" w:hAnsi="Cambria Math"/>
              </w:rPr>
              <m:t>i, t</m:t>
            </m:r>
          </m:sub>
        </m:sSub>
      </m:oMath>
      <w:r>
        <w:t xml:space="preserve"> is the </w:t>
      </w:r>
      <w:r w:rsidR="00AA51DD">
        <w:t>partition</w:t>
      </w:r>
      <w:r>
        <w:t xml:space="preserve"> </w:t>
      </w:r>
      <w:r>
        <w:rPr>
          <w:i/>
        </w:rPr>
        <w:t>i</w:t>
      </w:r>
      <w:r>
        <w:t xml:space="preserve"> (for instance price of risk, leverage or </w:t>
      </w:r>
      <w:r w:rsidR="00E800E6">
        <w:t>external factor</w:t>
      </w:r>
      <w:r>
        <w:t xml:space="preserve">), </w:t>
      </w:r>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τ</m:t>
            </m:r>
          </m:sup>
        </m:sSubSup>
      </m:oMath>
      <w:r>
        <w:t xml:space="preserve"> the coefficient of the </w:t>
      </w:r>
      <m:oMath>
        <m:r>
          <w:rPr>
            <w:rFonts w:ascii="Cambria Math" w:hAnsi="Cambria Math"/>
          </w:rPr>
          <m:t>τ</m:t>
        </m:r>
      </m:oMath>
      <w:r>
        <w:t xml:space="preserve"> quantile regression, </w:t>
      </w:r>
      <m:oMath>
        <m:sSup>
          <m:sSupPr>
            <m:ctrlPr>
              <w:rPr>
                <w:rFonts w:ascii="Cambria Math" w:hAnsi="Cambria Math"/>
                <w:i/>
              </w:rPr>
            </m:ctrlPr>
          </m:sSupPr>
          <m:e>
            <m:r>
              <w:rPr>
                <w:rFonts w:ascii="Cambria Math" w:hAnsi="Cambria Math"/>
              </w:rPr>
              <m:t>α</m:t>
            </m:r>
          </m:e>
          <m:sup>
            <m:r>
              <w:rPr>
                <w:rFonts w:ascii="Cambria Math" w:hAnsi="Cambria Math"/>
              </w:rPr>
              <m:t>τ</m:t>
            </m:r>
          </m:sup>
        </m:sSup>
        <m:r>
          <w:rPr>
            <w:rFonts w:ascii="Cambria Math" w:hAnsi="Cambria Math"/>
          </w:rPr>
          <m:t xml:space="preserve"> </m:t>
        </m:r>
      </m:oMath>
      <w:r>
        <w:t xml:space="preserve">the associated constant and </w:t>
      </w:r>
      <m:oMath>
        <m:sSubSup>
          <m:sSubSupPr>
            <m:ctrlPr>
              <w:rPr>
                <w:rFonts w:ascii="Cambria Math" w:hAnsi="Cambria Math"/>
                <w:i/>
              </w:rPr>
            </m:ctrlPr>
          </m:sSubSupPr>
          <m:e>
            <m:r>
              <w:rPr>
                <w:rFonts w:ascii="Cambria Math" w:hAnsi="Cambria Math"/>
              </w:rPr>
              <m:t>ε</m:t>
            </m:r>
          </m:e>
          <m:sub>
            <m:r>
              <w:rPr>
                <w:rFonts w:ascii="Cambria Math" w:hAnsi="Cambria Math"/>
              </w:rPr>
              <m:t>i, t</m:t>
            </m:r>
          </m:sub>
          <m:sup>
            <m:r>
              <w:rPr>
                <w:rFonts w:ascii="Cambria Math" w:hAnsi="Cambria Math"/>
              </w:rPr>
              <m:t>τ</m:t>
            </m:r>
          </m:sup>
        </m:sSubSup>
      </m:oMath>
      <w:r>
        <w:t xml:space="preserve"> the residual. The quantile regressions are estimated at different points of the distribution of </w:t>
      </w:r>
      <m:oMath>
        <m:sSub>
          <m:sSubPr>
            <m:ctrlPr>
              <w:rPr>
                <w:rFonts w:ascii="Cambria Math" w:hAnsi="Cambria Math"/>
                <w:i/>
              </w:rPr>
            </m:ctrlPr>
          </m:sSubPr>
          <m:e>
            <m:r>
              <w:rPr>
                <w:rFonts w:ascii="Cambria Math" w:hAnsi="Cambria Math"/>
              </w:rPr>
              <m:t>y</m:t>
            </m:r>
          </m:e>
          <m:sub>
            <m:r>
              <w:rPr>
                <w:rFonts w:ascii="Cambria Math" w:hAnsi="Cambria Math"/>
              </w:rPr>
              <m:t>t+h</m:t>
            </m:r>
          </m:sub>
        </m:sSub>
      </m:oMath>
      <w:r>
        <w:t xml:space="preserve">, </w:t>
      </w:r>
      <m:oMath>
        <m:r>
          <w:rPr>
            <w:rFonts w:ascii="Cambria Math" w:hAnsi="Cambria Math"/>
          </w:rPr>
          <m:t>τ ∈{0.1, 0.25,  0.5,  0.75 , 0.9}</m:t>
        </m:r>
      </m:oMath>
      <w:r w:rsidR="003F1B39">
        <w:t>,</w:t>
      </w:r>
      <w:r w:rsidR="009B0E95">
        <w:t xml:space="preserve"> by default</w:t>
      </w:r>
      <w:r w:rsidR="003F1B39">
        <w:t xml:space="preserve">. </w:t>
      </w:r>
      <w:r w:rsidR="00D57509">
        <w:t xml:space="preserve">Each beta coefficients represents the macrofinancial linkage between the variable </w:t>
      </w:r>
      <m:oMath>
        <m:sSub>
          <m:sSubPr>
            <m:ctrlPr>
              <w:rPr>
                <w:rFonts w:ascii="Cambria Math" w:hAnsi="Cambria Math"/>
                <w:i/>
              </w:rPr>
            </m:ctrlPr>
          </m:sSubPr>
          <m:e>
            <m:r>
              <w:rPr>
                <w:rFonts w:ascii="Cambria Math" w:hAnsi="Cambria Math"/>
              </w:rPr>
              <m:t>X</m:t>
            </m:r>
          </m:e>
          <m:sub>
            <m:r>
              <w:rPr>
                <w:rFonts w:ascii="Cambria Math" w:hAnsi="Cambria Math"/>
              </w:rPr>
              <m:t>i, t</m:t>
            </m:r>
          </m:sub>
        </m:sSub>
        <m:r>
          <w:rPr>
            <w:rFonts w:ascii="Cambria Math" w:hAnsi="Cambria Math"/>
          </w:rPr>
          <m:t xml:space="preserve"> </m:t>
        </m:r>
      </m:oMath>
      <w:r w:rsidR="00D57509">
        <w:t xml:space="preserve">and future growth, at different points of the distribution of GDP growth (basically, the business cycle). </w:t>
      </w:r>
      <w:r w:rsidR="003F1B39">
        <w:t xml:space="preserve">The tool </w:t>
      </w:r>
      <w:r w:rsidR="009B0E95">
        <w:t xml:space="preserve">gives the choice to estimate the quantile regressions for more quantiles; however, for the extreme left and right quantiles, the data sample should be large enough to provide </w:t>
      </w:r>
      <w:r w:rsidR="00D543A7">
        <w:t xml:space="preserve">a </w:t>
      </w:r>
      <w:r w:rsidR="009B0E95">
        <w:t xml:space="preserve">reasonable fit. </w:t>
      </w:r>
      <w:r w:rsidR="00946BA6">
        <w:t>Note that for each quantile, the tool runs two quantile regressions: the first one with the variables as they stand and the second one where both the regressors and dependent variables have been z-scored, hence estimating normalized coefficients. The tool provides both estimated coefficients in the excel spreadsheet but plot the chart with normalized</w:t>
      </w:r>
      <w:r w:rsidR="00D54C13">
        <w:t xml:space="preserve"> coefficients</w:t>
      </w:r>
      <w:r w:rsidR="00946BA6">
        <w:t xml:space="preserve">, to make them </w:t>
      </w:r>
      <w:r w:rsidR="00946BA6">
        <w:lastRenderedPageBreak/>
        <w:t xml:space="preserve">comparable and ease the interpretation. However, the original coefficients (non-normalized) are used to compute the conditional quantiles, so that the projected growth rate is at </w:t>
      </w:r>
      <w:r w:rsidR="00D54C13">
        <w:t>its original scale</w:t>
      </w:r>
      <w:r w:rsidR="00946BA6">
        <w:t xml:space="preserve">. </w:t>
      </w:r>
    </w:p>
    <w:p w14:paraId="55D8FB66" w14:textId="5F1CC793" w:rsidR="00D2161D" w:rsidRDefault="00D2161D" w:rsidP="00D2161D">
      <w:pPr>
        <w:spacing w:after="240"/>
        <w:ind w:firstLine="360"/>
      </w:pPr>
      <w:r>
        <w:t>The tool also report</w:t>
      </w:r>
      <w:r w:rsidR="00D338DB">
        <w:t>s</w:t>
      </w:r>
      <w:r>
        <w:t xml:space="preserve"> the confidence i</w:t>
      </w:r>
      <w:r w:rsidR="009D2EA4">
        <w:t>nterval for the coefficients at</w:t>
      </w:r>
      <w:r>
        <w:t xml:space="preserve"> the 10% level, using heteroskedastic robust standard errors for quantile regression (cf. Koenker 20</w:t>
      </w:r>
      <w:r w:rsidR="00A3535F">
        <w:t>05</w:t>
      </w:r>
      <w:r>
        <w:t xml:space="preserve">). </w:t>
      </w:r>
    </w:p>
    <w:p w14:paraId="6E213B86" w14:textId="53B53664" w:rsidR="000947FC" w:rsidRDefault="000947FC" w:rsidP="00D2161D">
      <w:pPr>
        <w:spacing w:after="240"/>
        <w:ind w:firstLine="360"/>
      </w:pPr>
      <w:r>
        <w:t xml:space="preserve">Finally, the tool also gives the possibility to transform the partitions before running the regressions: for instance, it is possible to add </w:t>
      </w:r>
      <w:r w:rsidR="009D489D">
        <w:t xml:space="preserve">a </w:t>
      </w:r>
      <w:r>
        <w:t>leverage</w:t>
      </w:r>
      <w:r w:rsidR="009D489D">
        <w:t xml:space="preserve"> partition, as well as the lagged value, the moving average, first difference, etc.</w:t>
      </w:r>
      <w:r w:rsidR="000F3AB3">
        <w:t xml:space="preserve"> Users should keep in mind though that they should keep the model as parsimonious as possible to mitigate estimation errors.</w:t>
      </w:r>
    </w:p>
    <w:p w14:paraId="2CB50E8D" w14:textId="424BBF84" w:rsidR="00871FC4" w:rsidRPr="005C587E" w:rsidRDefault="00871FC4" w:rsidP="00857EFD">
      <w:pPr>
        <w:spacing w:after="240"/>
        <w:ind w:firstLine="360"/>
        <w:jc w:val="center"/>
        <w:rPr>
          <w:lang w:val="fr-FR"/>
        </w:rPr>
      </w:pPr>
      <w:r w:rsidRPr="005C587E">
        <w:rPr>
          <w:b/>
          <w:i/>
          <w:color w:val="31849B" w:themeColor="accent5" w:themeShade="BF"/>
          <w:lang w:val="fr-FR"/>
        </w:rPr>
        <w:t xml:space="preserve">Figure </w:t>
      </w:r>
      <w:r w:rsidR="005F07E6" w:rsidRPr="005C587E">
        <w:rPr>
          <w:b/>
          <w:i/>
          <w:color w:val="31849B" w:themeColor="accent5" w:themeShade="BF"/>
          <w:lang w:val="fr-FR"/>
        </w:rPr>
        <w:t>4.</w:t>
      </w:r>
      <w:r w:rsidRPr="005C587E">
        <w:rPr>
          <w:b/>
          <w:i/>
          <w:color w:val="31849B" w:themeColor="accent5" w:themeShade="BF"/>
          <w:lang w:val="fr-FR"/>
        </w:rPr>
        <w:t xml:space="preserve"> Output </w:t>
      </w:r>
      <w:r w:rsidR="000B112C" w:rsidRPr="005C587E">
        <w:rPr>
          <w:b/>
          <w:i/>
          <w:color w:val="31849B" w:themeColor="accent5" w:themeShade="BF"/>
          <w:lang w:val="fr-FR"/>
        </w:rPr>
        <w:t>Example</w:t>
      </w:r>
      <w:r w:rsidR="00857EFD" w:rsidRPr="005C587E">
        <w:rPr>
          <w:b/>
          <w:i/>
          <w:color w:val="31849B" w:themeColor="accent5" w:themeShade="BF"/>
          <w:lang w:val="fr-FR"/>
        </w:rPr>
        <w:t>:</w:t>
      </w:r>
      <w:r w:rsidRPr="005C587E">
        <w:rPr>
          <w:b/>
          <w:i/>
          <w:color w:val="31849B" w:themeColor="accent5" w:themeShade="BF"/>
          <w:lang w:val="fr-FR"/>
        </w:rPr>
        <w:t xml:space="preserve"> </w:t>
      </w:r>
      <w:r w:rsidR="000B112C" w:rsidRPr="005C587E">
        <w:rPr>
          <w:b/>
          <w:i/>
          <w:color w:val="31849B" w:themeColor="accent5" w:themeShade="BF"/>
          <w:lang w:val="fr-FR"/>
        </w:rPr>
        <w:t>Quantile Regressions C</w:t>
      </w:r>
      <w:r w:rsidRPr="005C587E">
        <w:rPr>
          <w:b/>
          <w:i/>
          <w:color w:val="31849B" w:themeColor="accent5" w:themeShade="BF"/>
          <w:lang w:val="fr-FR"/>
        </w:rPr>
        <w:t>oefficients</w:t>
      </w:r>
      <w:r w:rsidRPr="005C587E">
        <w:rPr>
          <w:noProof/>
          <w:lang w:val="fr-FR"/>
        </w:rPr>
        <w:t xml:space="preserve"> </w:t>
      </w:r>
      <w:r>
        <w:rPr>
          <w:noProof/>
        </w:rPr>
        <w:drawing>
          <wp:anchor distT="0" distB="0" distL="114300" distR="114300" simplePos="0" relativeHeight="251835392" behindDoc="0" locked="0" layoutInCell="1" allowOverlap="1" wp14:anchorId="07EB1662" wp14:editId="4A3C6D03">
            <wp:simplePos x="0" y="0"/>
            <wp:positionH relativeFrom="column">
              <wp:posOffset>229235</wp:posOffset>
            </wp:positionH>
            <wp:positionV relativeFrom="paragraph">
              <wp:posOffset>295275</wp:posOffset>
            </wp:positionV>
            <wp:extent cx="5848350" cy="2941955"/>
            <wp:effectExtent l="0" t="0" r="0" b="0"/>
            <wp:wrapSquare wrapText="bothSides"/>
            <wp:docPr id="11" name="MyPlot_q">
              <a:extLst xmlns:a="http://schemas.openxmlformats.org/drawingml/2006/main">
                <a:ext uri="{FF2B5EF4-FFF2-40B4-BE49-F238E27FC236}">
                  <a16:creationId xmlns:a16="http://schemas.microsoft.com/office/drawing/2014/main" id="{00000000-0008-0000-0800-00000B000000}"/>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MyPlot_q">
                      <a:extLst>
                        <a:ext uri="{FF2B5EF4-FFF2-40B4-BE49-F238E27FC236}">
                          <a16:creationId xmlns:a16="http://schemas.microsoft.com/office/drawing/2014/main" id="{00000000-0008-0000-0800-00000B000000}"/>
                        </a:ext>
                      </a:extLst>
                    </pic:cNvPr>
                    <pic:cNvPicPr>
                      <a:picLock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48350" cy="2941955"/>
                    </a:xfrm>
                    <a:prstGeom prst="rect">
                      <a:avLst/>
                    </a:prstGeom>
                  </pic:spPr>
                </pic:pic>
              </a:graphicData>
            </a:graphic>
            <wp14:sizeRelH relativeFrom="margin">
              <wp14:pctWidth>0</wp14:pctWidth>
            </wp14:sizeRelH>
          </wp:anchor>
        </w:drawing>
      </w:r>
    </w:p>
    <w:p w14:paraId="34026D59" w14:textId="064D3A27" w:rsidR="00871FC4" w:rsidRPr="005C587E" w:rsidRDefault="00871FC4" w:rsidP="00D2161D">
      <w:pPr>
        <w:spacing w:after="240"/>
        <w:ind w:firstLine="360"/>
        <w:rPr>
          <w:lang w:val="fr-FR"/>
        </w:rPr>
      </w:pPr>
    </w:p>
    <w:p w14:paraId="5BBC8D75" w14:textId="6B8BB08C" w:rsidR="00871FC4" w:rsidRPr="005C587E" w:rsidRDefault="00871FC4" w:rsidP="00D2161D">
      <w:pPr>
        <w:spacing w:after="240"/>
        <w:ind w:firstLine="360"/>
        <w:rPr>
          <w:lang w:val="fr-FR"/>
        </w:rPr>
      </w:pPr>
    </w:p>
    <w:p w14:paraId="1B086B0A" w14:textId="7D9E54C5" w:rsidR="00926F00" w:rsidRPr="00A4796E" w:rsidRDefault="00926F00" w:rsidP="00A4796E">
      <w:pPr>
        <w:pStyle w:val="ListParagraph"/>
        <w:numPr>
          <w:ilvl w:val="0"/>
          <w:numId w:val="19"/>
        </w:numPr>
        <w:spacing w:after="160" w:line="259" w:lineRule="auto"/>
        <w:rPr>
          <w:b/>
          <w:sz w:val="28"/>
        </w:rPr>
      </w:pPr>
      <w:r w:rsidRPr="00A4796E">
        <w:rPr>
          <w:b/>
          <w:sz w:val="28"/>
        </w:rPr>
        <w:t>Parametric fit of the conditional distribution of future GDP growth</w:t>
      </w:r>
    </w:p>
    <w:p w14:paraId="0784E86D" w14:textId="77777777" w:rsidR="00D338DB" w:rsidRPr="00D543A7" w:rsidRDefault="00D338DB" w:rsidP="00D338DB">
      <w:pPr>
        <w:spacing w:after="160" w:line="259" w:lineRule="auto"/>
        <w:rPr>
          <w:b/>
          <w:bCs/>
          <w:i/>
          <w:szCs w:val="28"/>
        </w:rPr>
      </w:pPr>
      <w:r>
        <w:rPr>
          <w:b/>
          <w:bCs/>
          <w:i/>
          <w:szCs w:val="28"/>
        </w:rPr>
        <w:t>Conditional quantiles</w:t>
      </w:r>
    </w:p>
    <w:p w14:paraId="10D559D8" w14:textId="77777777" w:rsidR="00D338DB" w:rsidRDefault="00D338DB" w:rsidP="00D338DB">
      <w:pPr>
        <w:ind w:firstLine="360"/>
      </w:pPr>
      <w:r>
        <w:t xml:space="preserve">Like an OLS regression provides an estimation of a </w:t>
      </w:r>
      <w:r w:rsidRPr="0003454B">
        <w:rPr>
          <w:b/>
        </w:rPr>
        <w:t>conditional mean</w:t>
      </w:r>
      <w:r>
        <w:t xml:space="preserve">, quantile regression estimates </w:t>
      </w:r>
      <w:r w:rsidRPr="0003454B">
        <w:rPr>
          <w:b/>
        </w:rPr>
        <w:t>conditional quantiles</w:t>
      </w:r>
      <w:r>
        <w:t xml:space="preserve"> of the dependent variable </w:t>
      </w:r>
      <m:oMath>
        <m:sSub>
          <m:sSubPr>
            <m:ctrlPr>
              <w:rPr>
                <w:rFonts w:ascii="Cambria Math" w:hAnsi="Cambria Math"/>
                <w:i/>
              </w:rPr>
            </m:ctrlPr>
          </m:sSubPr>
          <m:e>
            <m:r>
              <w:rPr>
                <w:rFonts w:ascii="Cambria Math" w:hAnsi="Cambria Math"/>
              </w:rPr>
              <m:t>y</m:t>
            </m:r>
          </m:e>
          <m:sub>
            <m:r>
              <w:rPr>
                <w:rFonts w:ascii="Cambria Math" w:hAnsi="Cambria Math"/>
              </w:rPr>
              <m:t>t+h</m:t>
            </m:r>
          </m:sub>
        </m:sSub>
      </m:oMath>
      <w:r>
        <w:t xml:space="preserve">, conditional on financial variables </w:t>
      </w:r>
      <m:oMath>
        <m:sSub>
          <m:sSubPr>
            <m:ctrlPr>
              <w:rPr>
                <w:rFonts w:ascii="Cambria Math" w:hAnsi="Cambria Math"/>
                <w:i/>
              </w:rPr>
            </m:ctrlPr>
          </m:sSubPr>
          <m:e>
            <m:r>
              <w:rPr>
                <w:rFonts w:ascii="Cambria Math" w:hAnsi="Cambria Math"/>
              </w:rPr>
              <m:t>X</m:t>
            </m:r>
          </m:e>
          <m:sub>
            <m:r>
              <w:rPr>
                <w:rFonts w:ascii="Cambria Math" w:hAnsi="Cambria Math"/>
              </w:rPr>
              <m:t>i, t</m:t>
            </m:r>
          </m:sub>
        </m:sSub>
      </m:oMath>
      <w:r>
        <w:t xml:space="preserve">, </w:t>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 xml:space="preserve">, τ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e>
              <m:sub>
                <m:r>
                  <w:rPr>
                    <w:rFonts w:ascii="Cambria Math" w:hAnsi="Cambria Math"/>
                  </w:rPr>
                  <m:t>i ∈P</m:t>
                </m:r>
              </m:sub>
            </m:sSub>
          </m:e>
        </m:d>
        <m:r>
          <w:rPr>
            <w:rFonts w:ascii="Cambria Math" w:hAnsi="Cambria Math"/>
          </w:rPr>
          <m:t xml:space="preserve">, </m:t>
        </m:r>
      </m:oMath>
      <w:r>
        <w:t xml:space="preserve">for a given date </w:t>
      </w:r>
      <w:r w:rsidRPr="00A4796E">
        <w:rPr>
          <w:i/>
        </w:rPr>
        <w:t>t</w:t>
      </w:r>
      <w:r>
        <w:t>,</w:t>
      </w:r>
      <w:r>
        <w:rPr>
          <w:rStyle w:val="FootnoteReference"/>
        </w:rPr>
        <w:footnoteReference w:id="11"/>
      </w:r>
      <w:r>
        <w:t xml:space="preserve"> based on the point estimates of the coefficients </w:t>
      </w:r>
      <m:oMath>
        <m:sSup>
          <m:sSupPr>
            <m:ctrlPr>
              <w:rPr>
                <w:rFonts w:ascii="Cambria Math" w:hAnsi="Cambria Math"/>
                <w:i/>
              </w:rPr>
            </m:ctrlPr>
          </m:sSupPr>
          <m:e>
            <m:acc>
              <m:accPr>
                <m:ctrlPr>
                  <w:rPr>
                    <w:rFonts w:ascii="Cambria Math" w:hAnsi="Cambria Math"/>
                    <w:i/>
                  </w:rPr>
                </m:ctrlPr>
              </m:accPr>
              <m:e>
                <m:r>
                  <w:rPr>
                    <w:rFonts w:ascii="Cambria Math" w:hAnsi="Cambria Math"/>
                  </w:rPr>
                  <m:t>α</m:t>
                </m:r>
              </m:e>
            </m:acc>
          </m:e>
          <m:sup>
            <m:r>
              <w:rPr>
                <w:rFonts w:ascii="Cambria Math" w:hAnsi="Cambria Math"/>
              </w:rPr>
              <m:t>τ</m:t>
            </m:r>
          </m:sup>
        </m:sSup>
      </m:oMath>
      <w:r>
        <w:t xml:space="preserve"> and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β</m:t>
                </m:r>
              </m:e>
            </m:acc>
          </m:e>
          <m:sub>
            <m:r>
              <w:rPr>
                <w:rFonts w:ascii="Cambria Math" w:hAnsi="Cambria Math"/>
              </w:rPr>
              <m:t>i</m:t>
            </m:r>
          </m:sub>
          <m:sup>
            <m:r>
              <w:rPr>
                <w:rFonts w:ascii="Cambria Math" w:hAnsi="Cambria Math"/>
              </w:rPr>
              <m:t>τ</m:t>
            </m:r>
          </m:sup>
        </m:sSubSup>
      </m:oMath>
      <w:r>
        <w:t xml:space="preserve"> </w:t>
      </w:r>
    </w:p>
    <w:p w14:paraId="63E46871" w14:textId="00007A8D" w:rsidR="00D338DB" w:rsidRPr="00420A49" w:rsidRDefault="00D338DB" w:rsidP="00D338DB">
      <w:pPr>
        <w:spacing w:after="160" w:line="259" w:lineRule="auto"/>
        <w:ind w:firstLine="360"/>
        <w:rPr>
          <w:rFonts w:ascii="Calibri" w:eastAsia="SimSun" w:hAnsi="Calibri"/>
          <w:sz w:val="22"/>
          <w:szCs w:val="22"/>
          <w:lang w:eastAsia="zh-CN"/>
        </w:rPr>
      </w:pPr>
      <m:oMathPara>
        <m:oMath>
          <m:r>
            <w:rPr>
              <w:rFonts w:ascii="Cambria Math" w:eastAsia="SimSun" w:hAnsi="Cambria Math"/>
              <w:sz w:val="22"/>
              <w:szCs w:val="22"/>
              <w:lang w:eastAsia="zh-CN"/>
            </w:rPr>
            <m:t>Q</m:t>
          </m:r>
          <m:d>
            <m:dPr>
              <m:ctrlPr>
                <w:rPr>
                  <w:rFonts w:ascii="Cambria Math" w:eastAsia="SimSun" w:hAnsi="Cambria Math"/>
                  <w:i/>
                  <w:sz w:val="22"/>
                  <w:szCs w:val="22"/>
                  <w:lang w:eastAsia="zh-CN"/>
                </w:rPr>
              </m:ctrlPr>
            </m:dPr>
            <m:e>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y</m:t>
                  </m:r>
                </m:e>
                <m:sub>
                  <m:r>
                    <w:rPr>
                      <w:rFonts w:ascii="Cambria Math" w:eastAsia="SimSun" w:hAnsi="Cambria Math"/>
                      <w:sz w:val="22"/>
                      <w:szCs w:val="22"/>
                      <w:lang w:eastAsia="zh-CN"/>
                    </w:rPr>
                    <m:t>t+h</m:t>
                  </m:r>
                </m:sub>
              </m:sSub>
              <m:r>
                <w:rPr>
                  <w:rFonts w:ascii="Cambria Math" w:eastAsia="SimSun" w:hAnsi="Cambria Math"/>
                  <w:sz w:val="22"/>
                  <w:szCs w:val="22"/>
                  <w:lang w:eastAsia="zh-CN"/>
                </w:rPr>
                <m:t xml:space="preserve">, τ | </m:t>
              </m:r>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m:t>
                  </m:r>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X</m:t>
                      </m:r>
                    </m:e>
                    <m:sub>
                      <m:r>
                        <w:rPr>
                          <w:rFonts w:ascii="Cambria Math" w:eastAsia="SimSun" w:hAnsi="Cambria Math"/>
                          <w:sz w:val="22"/>
                          <w:szCs w:val="22"/>
                          <w:lang w:eastAsia="zh-CN"/>
                        </w:rPr>
                        <m:t>i</m:t>
                      </m:r>
                    </m:sub>
                  </m:sSub>
                  <m:r>
                    <w:rPr>
                      <w:rFonts w:ascii="Cambria Math" w:eastAsia="SimSun" w:hAnsi="Cambria Math"/>
                      <w:sz w:val="22"/>
                      <w:szCs w:val="22"/>
                      <w:lang w:eastAsia="zh-CN"/>
                    </w:rPr>
                    <m:t>}</m:t>
                  </m:r>
                </m:e>
                <m:sub>
                  <m:r>
                    <w:rPr>
                      <w:rFonts w:ascii="Cambria Math" w:eastAsia="SimSun" w:hAnsi="Cambria Math"/>
                      <w:sz w:val="22"/>
                      <w:szCs w:val="22"/>
                      <w:lang w:eastAsia="zh-CN"/>
                    </w:rPr>
                    <m:t>i ∈P</m:t>
                  </m:r>
                </m:sub>
              </m:sSub>
            </m:e>
          </m:d>
          <m:r>
            <w:rPr>
              <w:rFonts w:ascii="Cambria Math" w:eastAsia="SimSun" w:hAnsi="Cambria Math"/>
              <w:sz w:val="22"/>
              <w:szCs w:val="22"/>
              <w:lang w:eastAsia="zh-CN"/>
            </w:rPr>
            <m:t xml:space="preserve">= </m:t>
          </m:r>
          <m:sSup>
            <m:sSupPr>
              <m:ctrlPr>
                <w:rPr>
                  <w:rFonts w:ascii="Cambria Math" w:eastAsia="SimSun" w:hAnsi="Cambria Math"/>
                  <w:i/>
                  <w:sz w:val="22"/>
                  <w:szCs w:val="22"/>
                  <w:lang w:eastAsia="zh-CN"/>
                </w:rPr>
              </m:ctrlPr>
            </m:sSupPr>
            <m:e>
              <m:acc>
                <m:accPr>
                  <m:ctrlPr>
                    <w:rPr>
                      <w:rFonts w:ascii="Cambria Math" w:eastAsia="SimSun" w:hAnsi="Cambria Math"/>
                      <w:i/>
                      <w:sz w:val="22"/>
                      <w:szCs w:val="22"/>
                      <w:lang w:eastAsia="zh-CN"/>
                    </w:rPr>
                  </m:ctrlPr>
                </m:accPr>
                <m:e>
                  <m:r>
                    <w:rPr>
                      <w:rFonts w:ascii="Cambria Math" w:eastAsia="SimSun" w:hAnsi="Cambria Math"/>
                      <w:sz w:val="22"/>
                      <w:szCs w:val="22"/>
                      <w:lang w:eastAsia="zh-CN"/>
                    </w:rPr>
                    <m:t>α</m:t>
                  </m:r>
                </m:e>
              </m:acc>
            </m:e>
            <m:sup>
              <m:r>
                <w:rPr>
                  <w:rFonts w:ascii="Cambria Math" w:eastAsia="SimSun" w:hAnsi="Cambria Math"/>
                  <w:sz w:val="22"/>
                  <w:szCs w:val="22"/>
                  <w:lang w:eastAsia="zh-CN"/>
                </w:rPr>
                <m:t>τ</m:t>
              </m:r>
            </m:sup>
          </m:sSup>
          <m:r>
            <w:rPr>
              <w:rFonts w:ascii="Cambria Math" w:eastAsia="SimSun" w:hAnsi="Cambria Math"/>
              <w:sz w:val="22"/>
              <w:szCs w:val="22"/>
              <w:lang w:eastAsia="zh-CN"/>
            </w:rPr>
            <m:t xml:space="preserve">+ </m:t>
          </m:r>
          <m:nary>
            <m:naryPr>
              <m:chr m:val="∑"/>
              <m:limLoc m:val="undOvr"/>
              <m:supHide m:val="1"/>
              <m:ctrlPr>
                <w:rPr>
                  <w:rFonts w:ascii="Cambria Math" w:eastAsia="SimSun" w:hAnsi="Cambria Math"/>
                  <w:i/>
                  <w:sz w:val="22"/>
                  <w:szCs w:val="22"/>
                  <w:lang w:eastAsia="zh-CN"/>
                </w:rPr>
              </m:ctrlPr>
            </m:naryPr>
            <m:sub>
              <m:r>
                <w:rPr>
                  <w:rFonts w:ascii="Cambria Math" w:eastAsia="SimSun" w:hAnsi="Cambria Math"/>
                  <w:sz w:val="22"/>
                  <w:szCs w:val="22"/>
                  <w:lang w:eastAsia="zh-CN"/>
                </w:rPr>
                <m:t>i ∈P</m:t>
              </m:r>
            </m:sub>
            <m:sup/>
            <m:e>
              <m:sSubSup>
                <m:sSubSupPr>
                  <m:ctrlPr>
                    <w:rPr>
                      <w:rFonts w:ascii="Cambria Math" w:eastAsia="SimSun" w:hAnsi="Cambria Math"/>
                      <w:i/>
                      <w:sz w:val="22"/>
                      <w:szCs w:val="22"/>
                      <w:lang w:eastAsia="zh-CN"/>
                    </w:rPr>
                  </m:ctrlPr>
                </m:sSubSupPr>
                <m:e>
                  <m:acc>
                    <m:accPr>
                      <m:ctrlPr>
                        <w:rPr>
                          <w:rFonts w:ascii="Cambria Math" w:eastAsia="SimSun" w:hAnsi="Cambria Math"/>
                          <w:i/>
                          <w:sz w:val="22"/>
                          <w:szCs w:val="22"/>
                          <w:lang w:eastAsia="zh-CN"/>
                        </w:rPr>
                      </m:ctrlPr>
                    </m:accPr>
                    <m:e>
                      <m:r>
                        <w:rPr>
                          <w:rFonts w:ascii="Cambria Math" w:eastAsia="SimSun" w:hAnsi="Cambria Math"/>
                          <w:sz w:val="22"/>
                          <w:szCs w:val="22"/>
                          <w:lang w:eastAsia="zh-CN"/>
                        </w:rPr>
                        <m:t>β</m:t>
                      </m:r>
                    </m:e>
                  </m:acc>
                </m:e>
                <m:sub>
                  <m:r>
                    <w:rPr>
                      <w:rFonts w:ascii="Cambria Math" w:eastAsia="SimSun" w:hAnsi="Cambria Math"/>
                      <w:sz w:val="22"/>
                      <w:szCs w:val="22"/>
                      <w:lang w:eastAsia="zh-CN"/>
                    </w:rPr>
                    <m:t>i</m:t>
                  </m:r>
                </m:sub>
                <m:sup>
                  <m:r>
                    <w:rPr>
                      <w:rFonts w:ascii="Cambria Math" w:eastAsia="SimSun" w:hAnsi="Cambria Math"/>
                      <w:sz w:val="22"/>
                      <w:szCs w:val="22"/>
                      <w:lang w:eastAsia="zh-CN"/>
                    </w:rPr>
                    <m:t>τ</m:t>
                  </m:r>
                </m:sup>
              </m:sSubSup>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X</m:t>
                  </m:r>
                </m:e>
                <m:sub>
                  <m:r>
                    <w:rPr>
                      <w:rFonts w:ascii="Cambria Math" w:eastAsia="SimSun" w:hAnsi="Cambria Math"/>
                      <w:sz w:val="22"/>
                      <w:szCs w:val="22"/>
                      <w:lang w:eastAsia="zh-CN"/>
                    </w:rPr>
                    <m:t>i, t</m:t>
                  </m:r>
                </m:sub>
              </m:sSub>
            </m:e>
          </m:nary>
        </m:oMath>
      </m:oMathPara>
    </w:p>
    <w:p w14:paraId="4C87A100" w14:textId="063DE814" w:rsidR="00D338DB" w:rsidRDefault="00D338DB" w:rsidP="00D338DB">
      <w:pPr>
        <w:ind w:firstLine="360"/>
      </w:pPr>
      <w:r w:rsidRPr="00D338DB">
        <w:t xml:space="preserve">Using quantile regressions </w:t>
      </w:r>
      <w:r w:rsidR="00076122">
        <w:t>to</w:t>
      </w:r>
      <w:r w:rsidR="00076122" w:rsidRPr="00D338DB">
        <w:t xml:space="preserve"> </w:t>
      </w:r>
      <w:r w:rsidRPr="00D338DB">
        <w:t>estimat</w:t>
      </w:r>
      <w:r w:rsidR="00076122">
        <w:t>e</w:t>
      </w:r>
      <w:r w:rsidRPr="00D338DB">
        <w:t xml:space="preserve"> the conditional distribution has many advantages:</w:t>
      </w:r>
      <w:r>
        <w:t xml:space="preserve"> first, under standard assumptions, quantile regressions provides the best unbiased linear estimator for the conditional quantile; second, quantile regressions are robust to outliers, which are frequent when dealing with countries with poor data coverage. Finally, the asymptotic properties of the quantile regression estimator are well-known and easy to derive.</w:t>
      </w:r>
    </w:p>
    <w:p w14:paraId="0A3850B3" w14:textId="77777777" w:rsidR="00D338DB" w:rsidRDefault="00D338DB" w:rsidP="00D338DB">
      <w:pPr>
        <w:ind w:firstLine="360"/>
      </w:pPr>
    </w:p>
    <w:p w14:paraId="2D7C9262" w14:textId="413F7C5F" w:rsidR="00D338DB" w:rsidRPr="00A4796E" w:rsidRDefault="00D338DB" w:rsidP="00D338DB">
      <w:pPr>
        <w:ind w:firstLine="360"/>
      </w:pPr>
      <w:r>
        <w:t xml:space="preserve">The value of each conditional quantiles, estimated for a given date </w:t>
      </w:r>
      <w:r w:rsidRPr="00A4796E">
        <w:rPr>
          <w:i/>
        </w:rPr>
        <w:t>t</w:t>
      </w:r>
      <w:r>
        <w:rPr>
          <w:i/>
        </w:rPr>
        <w:t xml:space="preserve"> </w:t>
      </w:r>
      <w:r>
        <w:t xml:space="preserve">is given in the “conditional quantiles” spreadsheet. It </w:t>
      </w:r>
      <w:r w:rsidR="001B33A6">
        <w:t>is important to stress that at this stage, growth at risk can be directly estimated from the conditional quantile at a given level (5%, 10%, etc.) providing that the level has been estimated in the quantile regression.</w:t>
      </w:r>
      <w:r w:rsidR="00610262">
        <w:t xml:space="preserve"> However, as explained below, the tool provides a parametric fit of the distribution, from which the growth at risk is computed, to mitigate issues related with extreme tail quantiles and quantiles crossing. </w:t>
      </w:r>
    </w:p>
    <w:p w14:paraId="1E784893" w14:textId="19C51C6A" w:rsidR="00D338DB" w:rsidRDefault="00D338DB" w:rsidP="00A22508">
      <w:pPr>
        <w:spacing w:after="240"/>
        <w:ind w:firstLine="360"/>
      </w:pPr>
    </w:p>
    <w:p w14:paraId="39DFC368" w14:textId="4F1184F0" w:rsidR="00610262" w:rsidRPr="00610262" w:rsidRDefault="00610262" w:rsidP="00610262">
      <w:pPr>
        <w:spacing w:after="160" w:line="259" w:lineRule="auto"/>
        <w:rPr>
          <w:b/>
          <w:bCs/>
          <w:i/>
          <w:szCs w:val="28"/>
        </w:rPr>
      </w:pPr>
      <w:r w:rsidRPr="00610262">
        <w:rPr>
          <w:b/>
          <w:bCs/>
          <w:i/>
          <w:szCs w:val="28"/>
        </w:rPr>
        <w:t>Parametric fit</w:t>
      </w:r>
    </w:p>
    <w:p w14:paraId="2CFF1016" w14:textId="30C8D767" w:rsidR="00926F00" w:rsidRDefault="00926F00" w:rsidP="00A22508">
      <w:pPr>
        <w:spacing w:after="240"/>
        <w:ind w:firstLine="360"/>
      </w:pPr>
      <w:r w:rsidRPr="00D338DB">
        <w:t>The conditional quantiles are a sufficient statistic for describing the conditional cumulative distribution function (cdf).</w:t>
      </w:r>
      <w:r>
        <w:t xml:space="preserve"> From the cdf, deriving the probability distribution function (pdf) can be done in two ways, using either a parametric or a non-parametric fit. Although relying on very few assumptions, non-parametric fits are very sensitive to estimation noise, and in particular to quantiles crossing, when </w:t>
      </w:r>
      <w:r w:rsidR="00FD4EE9">
        <w:t xml:space="preserve">estimating </w:t>
      </w:r>
      <w:r>
        <w:t>quantiles regressions over a thin grid of quantile</w:t>
      </w:r>
      <w:r w:rsidR="000A02F0">
        <w:t xml:space="preserve">s. Also, because </w:t>
      </w:r>
      <w:r>
        <w:t>data coverage is limited, estimation of the extreme quantiles (5</w:t>
      </w:r>
      <w:r w:rsidR="005F2A80">
        <w:t xml:space="preserve"> percent</w:t>
      </w:r>
      <w:r>
        <w:t xml:space="preserve"> and 95</w:t>
      </w:r>
      <w:r w:rsidR="005F2A80">
        <w:t xml:space="preserve"> percent</w:t>
      </w:r>
      <w:r>
        <w:t xml:space="preserve">) can be inaccurate, leading to large confidence error bands which might give inconsistent distribution fit on the tails. </w:t>
      </w:r>
    </w:p>
    <w:p w14:paraId="5018F156" w14:textId="24BE4B29" w:rsidR="00926F00" w:rsidRDefault="00926F00" w:rsidP="00A22508">
      <w:pPr>
        <w:spacing w:after="240"/>
        <w:ind w:firstLine="360"/>
      </w:pPr>
      <w:r w:rsidRPr="00D338DB">
        <w:t xml:space="preserve">For the sake of robustness with regards to quantiles crossing and extreme quantiles estimation, the </w:t>
      </w:r>
      <w:r w:rsidR="003C722E">
        <w:t>tool</w:t>
      </w:r>
      <w:r w:rsidRPr="00D338DB">
        <w:t xml:space="preserve"> uses a parametric method to fit the conditional quantiles estimated in the first step. </w:t>
      </w:r>
      <w:r w:rsidR="008D402B">
        <w:t>Following Adrian et al. (2018</w:t>
      </w:r>
      <w:r>
        <w:t xml:space="preserve">), a parametric t-skew fit is used. Student t-distributions have been used extensively in financial econometrics for their good properties to represent more accurately fatter tails, as Student t-distributions have asymptotic Paretian tails. The skew version of the t-distribution (as in Azzalini </w:t>
      </w:r>
      <w:r w:rsidR="00AD139F">
        <w:t>2003</w:t>
      </w:r>
      <w:r>
        <w:t xml:space="preserve">) has been proven useful to model tail events, as many distributions in finance are indeed skewed (cf. Andersen et al. 2001). </w:t>
      </w:r>
    </w:p>
    <w:p w14:paraId="67EF45CF" w14:textId="1BECD0D9" w:rsidR="00926F00" w:rsidRDefault="00926F00" w:rsidP="00A22508">
      <w:pPr>
        <w:spacing w:after="240"/>
        <w:ind w:firstLine="360"/>
      </w:pPr>
      <w:r w:rsidRPr="00D338DB">
        <w:t>Fitting the cdf estimated from the quantile regressions represents another robust dimensionality reduction,</w:t>
      </w:r>
      <w:r w:rsidRPr="00754198">
        <w:rPr>
          <w:b/>
        </w:rPr>
        <w:t xml:space="preserve"> </w:t>
      </w:r>
      <w:r>
        <w:t xml:space="preserve">after the data partitioning presented </w:t>
      </w:r>
      <w:r w:rsidR="00E221FB">
        <w:t>above</w:t>
      </w:r>
      <w:r>
        <w:t xml:space="preserve">. The Student t-skew distribution is fully characterized by 4 parameters (location, degree of freedom, scale and skewness) which represents a </w:t>
      </w:r>
      <w:r>
        <w:lastRenderedPageBreak/>
        <w:t xml:space="preserve">good compromise between describing the distribution as accurately as possible and keeping the number of parameters low to avoid over-fitting. </w:t>
      </w:r>
      <w:r w:rsidR="00836136">
        <w:t xml:space="preserve">Hence it is a parsimonious, yet rather exhaustive way, to summarize </w:t>
      </w:r>
      <w:r w:rsidR="00A22FCF">
        <w:t xml:space="preserve">the </w:t>
      </w:r>
      <w:r w:rsidR="00836136">
        <w:t>information</w:t>
      </w:r>
      <w:r w:rsidR="00A22FCF">
        <w:t xml:space="preserve"> </w:t>
      </w:r>
      <w:r w:rsidR="00381281">
        <w:t xml:space="preserve">about variance (volatility), skewness and kurtosis </w:t>
      </w:r>
      <w:r w:rsidR="00A22FCF">
        <w:t>contained in the sample</w:t>
      </w:r>
      <w:r w:rsidR="00836136">
        <w:t>.</w:t>
      </w:r>
    </w:p>
    <w:p w14:paraId="524191F9" w14:textId="4E777A34" w:rsidR="0026301D" w:rsidRPr="00610262" w:rsidRDefault="005D3468" w:rsidP="0026301D">
      <w:pPr>
        <w:spacing w:after="160" w:line="259" w:lineRule="auto"/>
        <w:rPr>
          <w:b/>
          <w:bCs/>
          <w:i/>
          <w:szCs w:val="28"/>
        </w:rPr>
      </w:pPr>
      <w:r>
        <w:rPr>
          <w:b/>
          <w:bCs/>
          <w:i/>
          <w:szCs w:val="28"/>
        </w:rPr>
        <w:t>TSkew d</w:t>
      </w:r>
      <w:r w:rsidR="0026301D">
        <w:rPr>
          <w:b/>
          <w:bCs/>
          <w:i/>
          <w:szCs w:val="28"/>
        </w:rPr>
        <w:t>istribution</w:t>
      </w:r>
    </w:p>
    <w:p w14:paraId="615600AC" w14:textId="3CDBEB46" w:rsidR="00926F00" w:rsidRDefault="00926F00" w:rsidP="002A6377">
      <w:pPr>
        <w:ind w:firstLine="360"/>
      </w:pPr>
      <w:r w:rsidRPr="00D338DB">
        <w:t>Giot and Laurent (2002) proposes a closed form expression of both the quantile, cumulative distribution and probability functions of the t-skew, based on a reparametrization of Fernandez and Steel (1998) specification</w:t>
      </w:r>
      <w:r>
        <w:t xml:space="preserve"> around the skewness parameters, via step functions. For instance, the non-standardized quantile function (also called the percentage point function or ppf) of the t-skew distribution is given by:</w:t>
      </w:r>
    </w:p>
    <w:p w14:paraId="3B64A498" w14:textId="77777777" w:rsidR="00063DA5" w:rsidRDefault="00063DA5" w:rsidP="002A6377">
      <w:pPr>
        <w:ind w:firstLine="360"/>
      </w:pPr>
    </w:p>
    <w:p w14:paraId="1F0B3A74" w14:textId="77777777" w:rsidR="00420A49" w:rsidRPr="00420A49" w:rsidRDefault="00AE1FF5" w:rsidP="00420A49">
      <w:pPr>
        <w:spacing w:after="160" w:line="259" w:lineRule="auto"/>
        <w:ind w:left="360" w:firstLine="360"/>
        <w:rPr>
          <w:rFonts w:ascii="Calibri" w:eastAsia="SimSun" w:hAnsi="Calibri"/>
          <w:sz w:val="22"/>
          <w:szCs w:val="22"/>
          <w:lang w:eastAsia="zh-CN"/>
        </w:rPr>
      </w:pPr>
      <m:oMathPara>
        <m:oMath>
          <m:sSup>
            <m:sSupPr>
              <m:ctrlPr>
                <w:rPr>
                  <w:rFonts w:ascii="Cambria Math" w:eastAsia="SimSun" w:hAnsi="Cambria Math"/>
                  <w:i/>
                  <w:sz w:val="22"/>
                  <w:szCs w:val="22"/>
                  <w:lang w:eastAsia="zh-CN"/>
                </w:rPr>
              </m:ctrlPr>
            </m:sSupPr>
            <m:e>
              <m:r>
                <w:rPr>
                  <w:rFonts w:ascii="Cambria Math" w:eastAsia="SimSun" w:hAnsi="Cambria Math"/>
                  <w:sz w:val="22"/>
                  <w:szCs w:val="22"/>
                  <w:lang w:eastAsia="zh-CN"/>
                </w:rPr>
                <m:t>F</m:t>
              </m:r>
            </m:e>
            <m:sup>
              <m:r>
                <w:rPr>
                  <w:rFonts w:ascii="Cambria Math" w:eastAsia="SimSun" w:hAnsi="Cambria Math"/>
                  <w:sz w:val="22"/>
                  <w:szCs w:val="22"/>
                  <w:lang w:eastAsia="zh-CN"/>
                </w:rPr>
                <m:t>-1</m:t>
              </m:r>
            </m:sup>
          </m:sSup>
          <m:d>
            <m:dPr>
              <m:ctrlPr>
                <w:rPr>
                  <w:rFonts w:ascii="Cambria Math" w:eastAsia="SimSun" w:hAnsi="Cambria Math"/>
                  <w:i/>
                  <w:sz w:val="22"/>
                  <w:szCs w:val="22"/>
                  <w:lang w:eastAsia="zh-CN"/>
                </w:rPr>
              </m:ctrlPr>
            </m:dPr>
            <m:e>
              <m:r>
                <w:rPr>
                  <w:rFonts w:ascii="Cambria Math" w:eastAsia="SimSun" w:hAnsi="Cambria Math"/>
                  <w:sz w:val="22"/>
                  <w:szCs w:val="22"/>
                  <w:lang w:eastAsia="zh-CN"/>
                </w:rPr>
                <m:t>τ</m:t>
              </m:r>
            </m:e>
            <m:e>
              <m:r>
                <w:rPr>
                  <w:rFonts w:ascii="Cambria Math" w:eastAsia="SimSun" w:hAnsi="Cambria Math"/>
                  <w:sz w:val="22"/>
                  <w:szCs w:val="22"/>
                  <w:lang w:eastAsia="zh-CN"/>
                </w:rPr>
                <m:t>α, df,ξ</m:t>
              </m:r>
            </m:e>
          </m:d>
          <m:r>
            <w:rPr>
              <w:rFonts w:ascii="Cambria Math" w:eastAsia="SimSun" w:hAnsi="Cambria Math"/>
              <w:sz w:val="22"/>
              <w:szCs w:val="22"/>
              <w:lang w:eastAsia="zh-CN"/>
            </w:rPr>
            <m:t xml:space="preserve">= </m:t>
          </m:r>
          <m:f>
            <m:fPr>
              <m:ctrlPr>
                <w:rPr>
                  <w:rFonts w:ascii="Cambria Math" w:eastAsia="SimSun" w:hAnsi="Cambria Math"/>
                  <w:i/>
                  <w:sz w:val="22"/>
                  <w:szCs w:val="22"/>
                  <w:lang w:eastAsia="zh-CN"/>
                </w:rPr>
              </m:ctrlPr>
            </m:fPr>
            <m:num>
              <m:r>
                <w:rPr>
                  <w:rFonts w:ascii="Cambria Math" w:eastAsia="SimSun" w:hAnsi="Cambria Math"/>
                  <w:sz w:val="22"/>
                  <w:szCs w:val="22"/>
                  <w:lang w:eastAsia="zh-CN"/>
                </w:rPr>
                <m:t>1</m:t>
              </m:r>
            </m:num>
            <m:den>
              <m:r>
                <w:rPr>
                  <w:rFonts w:ascii="Cambria Math" w:eastAsia="SimSun" w:hAnsi="Cambria Math"/>
                  <w:sz w:val="22"/>
                  <w:szCs w:val="22"/>
                  <w:lang w:eastAsia="zh-CN"/>
                </w:rPr>
                <m:t>ξ</m:t>
              </m:r>
            </m:den>
          </m:f>
          <m:r>
            <w:rPr>
              <w:rFonts w:ascii="Cambria Math" w:eastAsia="SimSun" w:hAnsi="Cambria Math"/>
              <w:sz w:val="22"/>
              <w:szCs w:val="22"/>
              <w:lang w:eastAsia="zh-CN"/>
            </w:rPr>
            <m:t xml:space="preserve"> </m:t>
          </m:r>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st</m:t>
              </m:r>
            </m:e>
            <m:sub>
              <m:r>
                <w:rPr>
                  <w:rFonts w:ascii="Cambria Math" w:eastAsia="SimSun" w:hAnsi="Cambria Math"/>
                  <w:sz w:val="22"/>
                  <w:szCs w:val="22"/>
                  <w:lang w:eastAsia="zh-CN"/>
                </w:rPr>
                <m:t>α,df</m:t>
              </m:r>
            </m:sub>
          </m:sSub>
          <m:d>
            <m:dPr>
              <m:begChr m:val="["/>
              <m:endChr m:val="]"/>
              <m:ctrlPr>
                <w:rPr>
                  <w:rFonts w:ascii="Cambria Math" w:eastAsia="SimSun" w:hAnsi="Cambria Math"/>
                  <w:i/>
                  <w:sz w:val="22"/>
                  <w:szCs w:val="22"/>
                  <w:lang w:eastAsia="zh-CN"/>
                </w:rPr>
              </m:ctrlPr>
            </m:dPr>
            <m:e>
              <m:f>
                <m:fPr>
                  <m:ctrlPr>
                    <w:rPr>
                      <w:rFonts w:ascii="Cambria Math" w:eastAsia="SimSun" w:hAnsi="Cambria Math"/>
                      <w:i/>
                      <w:sz w:val="22"/>
                      <w:szCs w:val="22"/>
                      <w:lang w:eastAsia="zh-CN"/>
                    </w:rPr>
                  </m:ctrlPr>
                </m:fPr>
                <m:num>
                  <m:r>
                    <w:rPr>
                      <w:rFonts w:ascii="Cambria Math" w:eastAsia="SimSun" w:hAnsi="Cambria Math"/>
                      <w:sz w:val="22"/>
                      <w:szCs w:val="22"/>
                      <w:lang w:eastAsia="zh-CN"/>
                    </w:rPr>
                    <m:t>τ</m:t>
                  </m:r>
                </m:num>
                <m:den>
                  <m:r>
                    <w:rPr>
                      <w:rFonts w:ascii="Cambria Math" w:eastAsia="SimSun" w:hAnsi="Cambria Math"/>
                      <w:sz w:val="22"/>
                      <w:szCs w:val="22"/>
                      <w:lang w:eastAsia="zh-CN"/>
                    </w:rPr>
                    <m:t>2</m:t>
                  </m:r>
                </m:den>
              </m:f>
              <m:d>
                <m:dPr>
                  <m:ctrlPr>
                    <w:rPr>
                      <w:rFonts w:ascii="Cambria Math" w:eastAsia="SimSun" w:hAnsi="Cambria Math"/>
                      <w:i/>
                      <w:sz w:val="22"/>
                      <w:szCs w:val="22"/>
                      <w:lang w:eastAsia="zh-CN"/>
                    </w:rPr>
                  </m:ctrlPr>
                </m:dPr>
                <m:e>
                  <m:r>
                    <w:rPr>
                      <w:rFonts w:ascii="Cambria Math" w:eastAsia="SimSun" w:hAnsi="Cambria Math"/>
                      <w:sz w:val="22"/>
                      <w:szCs w:val="22"/>
                      <w:lang w:eastAsia="zh-CN"/>
                    </w:rPr>
                    <m:t>1+</m:t>
                  </m:r>
                  <m:sSup>
                    <m:sSupPr>
                      <m:ctrlPr>
                        <w:rPr>
                          <w:rFonts w:ascii="Cambria Math" w:eastAsia="SimSun" w:hAnsi="Cambria Math"/>
                          <w:i/>
                          <w:sz w:val="22"/>
                          <w:szCs w:val="22"/>
                          <w:lang w:eastAsia="zh-CN"/>
                        </w:rPr>
                      </m:ctrlPr>
                    </m:sSupPr>
                    <m:e>
                      <m:r>
                        <w:rPr>
                          <w:rFonts w:ascii="Cambria Math" w:eastAsia="SimSun" w:hAnsi="Cambria Math"/>
                          <w:sz w:val="22"/>
                          <w:szCs w:val="22"/>
                          <w:lang w:eastAsia="zh-CN"/>
                        </w:rPr>
                        <m:t>ξ</m:t>
                      </m:r>
                    </m:e>
                    <m:sup>
                      <m:r>
                        <w:rPr>
                          <w:rFonts w:ascii="Cambria Math" w:eastAsia="SimSun" w:hAnsi="Cambria Math"/>
                          <w:sz w:val="22"/>
                          <w:szCs w:val="22"/>
                          <w:lang w:eastAsia="zh-CN"/>
                        </w:rPr>
                        <m:t>2</m:t>
                      </m:r>
                    </m:sup>
                  </m:sSup>
                </m:e>
              </m:d>
            </m:e>
          </m:d>
          <m:r>
            <w:rPr>
              <w:rFonts w:ascii="Cambria Math" w:eastAsia="SimSun" w:hAnsi="Cambria Math"/>
              <w:sz w:val="22"/>
              <w:szCs w:val="22"/>
              <w:lang w:eastAsia="zh-CN"/>
            </w:rPr>
            <m:t xml:space="preserve"> if  τ&lt; </m:t>
          </m:r>
          <m:f>
            <m:fPr>
              <m:ctrlPr>
                <w:rPr>
                  <w:rFonts w:ascii="Cambria Math" w:eastAsia="SimSun" w:hAnsi="Cambria Math"/>
                  <w:i/>
                  <w:sz w:val="22"/>
                  <w:szCs w:val="22"/>
                  <w:lang w:eastAsia="zh-CN"/>
                </w:rPr>
              </m:ctrlPr>
            </m:fPr>
            <m:num>
              <m:r>
                <w:rPr>
                  <w:rFonts w:ascii="Cambria Math" w:eastAsia="SimSun" w:hAnsi="Cambria Math"/>
                  <w:sz w:val="22"/>
                  <w:szCs w:val="22"/>
                  <w:lang w:eastAsia="zh-CN"/>
                </w:rPr>
                <m:t>1</m:t>
              </m:r>
            </m:num>
            <m:den>
              <m:r>
                <w:rPr>
                  <w:rFonts w:ascii="Cambria Math" w:eastAsia="SimSun" w:hAnsi="Cambria Math"/>
                  <w:sz w:val="22"/>
                  <w:szCs w:val="22"/>
                  <w:lang w:eastAsia="zh-CN"/>
                </w:rPr>
                <m:t>1+</m:t>
              </m:r>
              <m:sSup>
                <m:sSupPr>
                  <m:ctrlPr>
                    <w:rPr>
                      <w:rFonts w:ascii="Cambria Math" w:eastAsia="SimSun" w:hAnsi="Cambria Math"/>
                      <w:i/>
                      <w:sz w:val="22"/>
                      <w:szCs w:val="22"/>
                      <w:lang w:eastAsia="zh-CN"/>
                    </w:rPr>
                  </m:ctrlPr>
                </m:sSupPr>
                <m:e>
                  <m:r>
                    <w:rPr>
                      <w:rFonts w:ascii="Cambria Math" w:eastAsia="SimSun" w:hAnsi="Cambria Math"/>
                      <w:sz w:val="22"/>
                      <w:szCs w:val="22"/>
                      <w:lang w:eastAsia="zh-CN"/>
                    </w:rPr>
                    <m:t>ξ</m:t>
                  </m:r>
                </m:e>
                <m:sup>
                  <m:r>
                    <w:rPr>
                      <w:rFonts w:ascii="Cambria Math" w:eastAsia="SimSun" w:hAnsi="Cambria Math"/>
                      <w:sz w:val="22"/>
                      <w:szCs w:val="22"/>
                      <w:lang w:eastAsia="zh-CN"/>
                    </w:rPr>
                    <m:t>2</m:t>
                  </m:r>
                </m:sup>
              </m:sSup>
            </m:den>
          </m:f>
        </m:oMath>
      </m:oMathPara>
    </w:p>
    <w:p w14:paraId="0CCE48D0" w14:textId="77777777" w:rsidR="00420A49" w:rsidRPr="00420A49" w:rsidRDefault="00420A49" w:rsidP="00420A49">
      <w:pPr>
        <w:spacing w:after="160" w:line="259" w:lineRule="auto"/>
        <w:ind w:left="360" w:firstLine="360"/>
        <w:rPr>
          <w:rFonts w:ascii="Calibri" w:eastAsia="SimSun" w:hAnsi="Calibri"/>
          <w:sz w:val="22"/>
          <w:szCs w:val="22"/>
          <w:lang w:eastAsia="zh-CN"/>
        </w:rPr>
      </w:pPr>
      <w:r w:rsidRPr="00420A49">
        <w:rPr>
          <w:rFonts w:ascii="Calibri" w:eastAsia="SimSun" w:hAnsi="Calibri"/>
          <w:sz w:val="22"/>
          <w:szCs w:val="22"/>
          <w:lang w:eastAsia="zh-CN"/>
        </w:rPr>
        <w:t xml:space="preserve"> </w:t>
      </w:r>
      <m:oMath>
        <m:r>
          <m:rPr>
            <m:sty m:val="p"/>
          </m:rPr>
          <w:rPr>
            <w:rFonts w:ascii="Cambria Math" w:eastAsia="SimSun" w:hAnsi="Cambria Math"/>
            <w:sz w:val="22"/>
            <w:szCs w:val="22"/>
            <w:lang w:eastAsia="zh-CN"/>
          </w:rPr>
          <w:br/>
        </m:r>
      </m:oMath>
      <m:oMathPara>
        <m:oMath>
          <m:sSup>
            <m:sSupPr>
              <m:ctrlPr>
                <w:rPr>
                  <w:rFonts w:ascii="Cambria Math" w:eastAsia="SimSun" w:hAnsi="Cambria Math"/>
                  <w:i/>
                  <w:sz w:val="22"/>
                  <w:szCs w:val="22"/>
                  <w:lang w:eastAsia="zh-CN"/>
                </w:rPr>
              </m:ctrlPr>
            </m:sSupPr>
            <m:e>
              <m:r>
                <w:rPr>
                  <w:rFonts w:ascii="Cambria Math" w:eastAsia="SimSun" w:hAnsi="Cambria Math"/>
                  <w:sz w:val="22"/>
                  <w:szCs w:val="22"/>
                  <w:lang w:eastAsia="zh-CN"/>
                </w:rPr>
                <m:t>F</m:t>
              </m:r>
            </m:e>
            <m:sup>
              <m:r>
                <w:rPr>
                  <w:rFonts w:ascii="Cambria Math" w:eastAsia="SimSun" w:hAnsi="Cambria Math"/>
                  <w:sz w:val="22"/>
                  <w:szCs w:val="22"/>
                  <w:lang w:eastAsia="zh-CN"/>
                </w:rPr>
                <m:t>-1</m:t>
              </m:r>
            </m:sup>
          </m:sSup>
          <m:d>
            <m:dPr>
              <m:ctrlPr>
                <w:rPr>
                  <w:rFonts w:ascii="Cambria Math" w:eastAsia="SimSun" w:hAnsi="Cambria Math"/>
                  <w:i/>
                  <w:sz w:val="22"/>
                  <w:szCs w:val="22"/>
                  <w:lang w:eastAsia="zh-CN"/>
                </w:rPr>
              </m:ctrlPr>
            </m:dPr>
            <m:e>
              <m:r>
                <w:rPr>
                  <w:rFonts w:ascii="Cambria Math" w:eastAsia="SimSun" w:hAnsi="Cambria Math"/>
                  <w:sz w:val="22"/>
                  <w:szCs w:val="22"/>
                  <w:lang w:eastAsia="zh-CN"/>
                </w:rPr>
                <m:t>τ</m:t>
              </m:r>
            </m:e>
            <m:e>
              <m:r>
                <w:rPr>
                  <w:rFonts w:ascii="Cambria Math" w:eastAsia="SimSun" w:hAnsi="Cambria Math"/>
                  <w:sz w:val="22"/>
                  <w:szCs w:val="22"/>
                  <w:lang w:eastAsia="zh-CN"/>
                </w:rPr>
                <m:t>α, df,ξ</m:t>
              </m:r>
            </m:e>
          </m:d>
          <m:r>
            <w:rPr>
              <w:rFonts w:ascii="Cambria Math" w:eastAsia="SimSun" w:hAnsi="Cambria Math"/>
              <w:sz w:val="22"/>
              <w:szCs w:val="22"/>
              <w:lang w:eastAsia="zh-CN"/>
            </w:rPr>
            <m:t xml:space="preserve">= -ξ </m:t>
          </m:r>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st</m:t>
              </m:r>
            </m:e>
            <m:sub>
              <m:r>
                <w:rPr>
                  <w:rFonts w:ascii="Cambria Math" w:eastAsia="SimSun" w:hAnsi="Cambria Math"/>
                  <w:sz w:val="22"/>
                  <w:szCs w:val="22"/>
                  <w:lang w:eastAsia="zh-CN"/>
                </w:rPr>
                <m:t>α,df</m:t>
              </m:r>
            </m:sub>
          </m:sSub>
          <m:d>
            <m:dPr>
              <m:begChr m:val="["/>
              <m:endChr m:val="]"/>
              <m:ctrlPr>
                <w:rPr>
                  <w:rFonts w:ascii="Cambria Math" w:eastAsia="SimSun" w:hAnsi="Cambria Math"/>
                  <w:i/>
                  <w:sz w:val="22"/>
                  <w:szCs w:val="22"/>
                  <w:lang w:eastAsia="zh-CN"/>
                </w:rPr>
              </m:ctrlPr>
            </m:dPr>
            <m:e>
              <m:f>
                <m:fPr>
                  <m:ctrlPr>
                    <w:rPr>
                      <w:rFonts w:ascii="Cambria Math" w:eastAsia="SimSun" w:hAnsi="Cambria Math"/>
                      <w:i/>
                      <w:sz w:val="22"/>
                      <w:szCs w:val="22"/>
                      <w:lang w:eastAsia="zh-CN"/>
                    </w:rPr>
                  </m:ctrlPr>
                </m:fPr>
                <m:num>
                  <m:r>
                    <w:rPr>
                      <w:rFonts w:ascii="Cambria Math" w:eastAsia="SimSun" w:hAnsi="Cambria Math"/>
                      <w:sz w:val="22"/>
                      <w:szCs w:val="22"/>
                      <w:lang w:eastAsia="zh-CN"/>
                    </w:rPr>
                    <m:t>1-α</m:t>
                  </m:r>
                </m:num>
                <m:den>
                  <m:r>
                    <w:rPr>
                      <w:rFonts w:ascii="Cambria Math" w:eastAsia="SimSun" w:hAnsi="Cambria Math"/>
                      <w:sz w:val="22"/>
                      <w:szCs w:val="22"/>
                      <w:lang w:eastAsia="zh-CN"/>
                    </w:rPr>
                    <m:t>2</m:t>
                  </m:r>
                </m:den>
              </m:f>
              <m:d>
                <m:dPr>
                  <m:ctrlPr>
                    <w:rPr>
                      <w:rFonts w:ascii="Cambria Math" w:eastAsia="SimSun" w:hAnsi="Cambria Math"/>
                      <w:i/>
                      <w:sz w:val="22"/>
                      <w:szCs w:val="22"/>
                      <w:lang w:eastAsia="zh-CN"/>
                    </w:rPr>
                  </m:ctrlPr>
                </m:dPr>
                <m:e>
                  <m:r>
                    <w:rPr>
                      <w:rFonts w:ascii="Cambria Math" w:eastAsia="SimSun" w:hAnsi="Cambria Math"/>
                      <w:sz w:val="22"/>
                      <w:szCs w:val="22"/>
                      <w:lang w:eastAsia="zh-CN"/>
                    </w:rPr>
                    <m:t>1+</m:t>
                  </m:r>
                  <m:sSup>
                    <m:sSupPr>
                      <m:ctrlPr>
                        <w:rPr>
                          <w:rFonts w:ascii="Cambria Math" w:eastAsia="SimSun" w:hAnsi="Cambria Math"/>
                          <w:i/>
                          <w:sz w:val="22"/>
                          <w:szCs w:val="22"/>
                          <w:lang w:eastAsia="zh-CN"/>
                        </w:rPr>
                      </m:ctrlPr>
                    </m:sSupPr>
                    <m:e>
                      <m:r>
                        <w:rPr>
                          <w:rFonts w:ascii="Cambria Math" w:eastAsia="SimSun" w:hAnsi="Cambria Math"/>
                          <w:sz w:val="22"/>
                          <w:szCs w:val="22"/>
                          <w:lang w:eastAsia="zh-CN"/>
                        </w:rPr>
                        <m:t>ξ</m:t>
                      </m:r>
                    </m:e>
                    <m:sup>
                      <m:r>
                        <w:rPr>
                          <w:rFonts w:ascii="Cambria Math" w:eastAsia="SimSun" w:hAnsi="Cambria Math"/>
                          <w:sz w:val="22"/>
                          <w:szCs w:val="22"/>
                          <w:lang w:eastAsia="zh-CN"/>
                        </w:rPr>
                        <m:t>-2</m:t>
                      </m:r>
                    </m:sup>
                  </m:sSup>
                </m:e>
              </m:d>
            </m:e>
          </m:d>
          <m:r>
            <w:rPr>
              <w:rFonts w:ascii="Cambria Math" w:eastAsia="SimSun" w:hAnsi="Cambria Math"/>
              <w:sz w:val="22"/>
              <w:szCs w:val="22"/>
              <w:lang w:eastAsia="zh-CN"/>
            </w:rPr>
            <m:t xml:space="preserve"> if  α≥ </m:t>
          </m:r>
          <m:f>
            <m:fPr>
              <m:ctrlPr>
                <w:rPr>
                  <w:rFonts w:ascii="Cambria Math" w:eastAsia="SimSun" w:hAnsi="Cambria Math"/>
                  <w:i/>
                  <w:sz w:val="22"/>
                  <w:szCs w:val="22"/>
                  <w:lang w:eastAsia="zh-CN"/>
                </w:rPr>
              </m:ctrlPr>
            </m:fPr>
            <m:num>
              <m:r>
                <w:rPr>
                  <w:rFonts w:ascii="Cambria Math" w:eastAsia="SimSun" w:hAnsi="Cambria Math"/>
                  <w:sz w:val="22"/>
                  <w:szCs w:val="22"/>
                  <w:lang w:eastAsia="zh-CN"/>
                </w:rPr>
                <m:t>1</m:t>
              </m:r>
            </m:num>
            <m:den>
              <m:r>
                <w:rPr>
                  <w:rFonts w:ascii="Cambria Math" w:eastAsia="SimSun" w:hAnsi="Cambria Math"/>
                  <w:sz w:val="22"/>
                  <w:szCs w:val="22"/>
                  <w:lang w:eastAsia="zh-CN"/>
                </w:rPr>
                <m:t>1+</m:t>
              </m:r>
              <m:sSup>
                <m:sSupPr>
                  <m:ctrlPr>
                    <w:rPr>
                      <w:rFonts w:ascii="Cambria Math" w:eastAsia="SimSun" w:hAnsi="Cambria Math"/>
                      <w:i/>
                      <w:sz w:val="22"/>
                      <w:szCs w:val="22"/>
                      <w:lang w:eastAsia="zh-CN"/>
                    </w:rPr>
                  </m:ctrlPr>
                </m:sSupPr>
                <m:e>
                  <m:r>
                    <w:rPr>
                      <w:rFonts w:ascii="Cambria Math" w:eastAsia="SimSun" w:hAnsi="Cambria Math"/>
                      <w:sz w:val="22"/>
                      <w:szCs w:val="22"/>
                      <w:lang w:eastAsia="zh-CN"/>
                    </w:rPr>
                    <m:t>ξ</m:t>
                  </m:r>
                </m:e>
                <m:sup>
                  <m:r>
                    <w:rPr>
                      <w:rFonts w:ascii="Cambria Math" w:eastAsia="SimSun" w:hAnsi="Cambria Math"/>
                      <w:sz w:val="22"/>
                      <w:szCs w:val="22"/>
                      <w:lang w:eastAsia="zh-CN"/>
                    </w:rPr>
                    <m:t>2</m:t>
                  </m:r>
                </m:sup>
              </m:sSup>
            </m:den>
          </m:f>
        </m:oMath>
      </m:oMathPara>
    </w:p>
    <w:p w14:paraId="60CC10C7" w14:textId="77777777" w:rsidR="00926F00" w:rsidRPr="00995CE2" w:rsidRDefault="00926F00" w:rsidP="001E5354">
      <w:pPr>
        <w:spacing w:after="240"/>
        <w:ind w:firstLine="360"/>
      </w:pPr>
      <w:r>
        <w:t xml:space="preserve">Where </w:t>
      </w:r>
      <m:oMath>
        <m:r>
          <w:rPr>
            <w:rFonts w:ascii="Cambria Math" w:hAnsi="Cambria Math"/>
          </w:rPr>
          <m:t xml:space="preserve">τ </m:t>
        </m:r>
      </m:oMath>
      <w:r>
        <w:t xml:space="preserve">represents the quantile, df the degree of freedom, </w:t>
      </w:r>
      <m:oMath>
        <m:r>
          <w:rPr>
            <w:rFonts w:ascii="Cambria Math" w:hAnsi="Cambria Math"/>
          </w:rPr>
          <m:t>ξ</m:t>
        </m:r>
      </m:oMath>
      <w:r>
        <w:t xml:space="preserve"> the skewness parameter (always positive, a value below 1 indicates skewness on the left and a value above 1 skewness on the right).</w:t>
      </w:r>
    </w:p>
    <w:p w14:paraId="0FAC8B7F" w14:textId="77777777" w:rsidR="00926F00" w:rsidRDefault="00926F00" w:rsidP="002A6377">
      <w:pPr>
        <w:ind w:firstLine="360"/>
      </w:pPr>
      <w:r>
        <w:t xml:space="preserve">The standardized version of the t-skew </w:t>
      </w:r>
      <w:r w:rsidR="009552ED">
        <w:t>percentage point function (</w:t>
      </w:r>
      <w:r>
        <w:t>ppf</w:t>
      </w:r>
      <w:r w:rsidR="009552ED">
        <w:t>)</w:t>
      </w:r>
      <w:r>
        <w:t xml:space="preserve"> is then straightforward to derive:</w:t>
      </w:r>
    </w:p>
    <w:p w14:paraId="69703B82" w14:textId="77777777" w:rsidR="00063DA5" w:rsidRDefault="00063DA5" w:rsidP="002A6377">
      <w:pPr>
        <w:ind w:firstLine="360"/>
      </w:pPr>
    </w:p>
    <w:p w14:paraId="11A7E929" w14:textId="77777777" w:rsidR="00420A49" w:rsidRPr="00420A49" w:rsidRDefault="00AE1FF5" w:rsidP="00420A49">
      <w:pPr>
        <w:spacing w:after="160" w:line="259" w:lineRule="auto"/>
        <w:ind w:left="360" w:firstLine="360"/>
        <w:rPr>
          <w:rFonts w:ascii="Calibri" w:eastAsia="SimSun" w:hAnsi="Calibri"/>
          <w:sz w:val="22"/>
          <w:szCs w:val="22"/>
          <w:lang w:eastAsia="zh-CN"/>
        </w:rPr>
      </w:pPr>
      <m:oMathPara>
        <m:oMath>
          <m:sSup>
            <m:sSupPr>
              <m:ctrlPr>
                <w:rPr>
                  <w:rFonts w:ascii="Cambria Math" w:eastAsia="SimSun" w:hAnsi="Cambria Math"/>
                  <w:i/>
                  <w:sz w:val="22"/>
                  <w:szCs w:val="22"/>
                  <w:lang w:eastAsia="zh-CN"/>
                </w:rPr>
              </m:ctrlPr>
            </m:sSupPr>
            <m:e>
              <m:r>
                <w:rPr>
                  <w:rFonts w:ascii="Cambria Math" w:eastAsia="SimSun" w:hAnsi="Cambria Math"/>
                  <w:sz w:val="22"/>
                  <w:szCs w:val="22"/>
                  <w:lang w:eastAsia="zh-CN"/>
                </w:rPr>
                <m:t>F</m:t>
              </m:r>
            </m:e>
            <m:sup>
              <m:r>
                <w:rPr>
                  <w:rFonts w:ascii="Cambria Math" w:eastAsia="SimSun" w:hAnsi="Cambria Math"/>
                  <w:sz w:val="22"/>
                  <w:szCs w:val="22"/>
                  <w:lang w:eastAsia="zh-CN"/>
                </w:rPr>
                <m:t>*,-1</m:t>
              </m:r>
            </m:sup>
          </m:sSup>
          <m:d>
            <m:dPr>
              <m:ctrlPr>
                <w:rPr>
                  <w:rFonts w:ascii="Cambria Math" w:eastAsia="SimSun" w:hAnsi="Cambria Math"/>
                  <w:i/>
                  <w:sz w:val="22"/>
                  <w:szCs w:val="22"/>
                  <w:lang w:eastAsia="zh-CN"/>
                </w:rPr>
              </m:ctrlPr>
            </m:dPr>
            <m:e>
              <m:r>
                <w:rPr>
                  <w:rFonts w:ascii="Cambria Math" w:eastAsia="SimSun" w:hAnsi="Cambria Math"/>
                  <w:sz w:val="22"/>
                  <w:szCs w:val="22"/>
                  <w:lang w:eastAsia="zh-CN"/>
                </w:rPr>
                <m:t>τ</m:t>
              </m:r>
            </m:e>
            <m:e>
              <m:r>
                <w:rPr>
                  <w:rFonts w:ascii="Cambria Math" w:eastAsia="SimSun" w:hAnsi="Cambria Math"/>
                  <w:sz w:val="22"/>
                  <w:szCs w:val="22"/>
                  <w:lang w:eastAsia="zh-CN"/>
                </w:rPr>
                <m:t>α, df,ξ</m:t>
              </m:r>
            </m:e>
          </m:d>
          <m:r>
            <w:rPr>
              <w:rFonts w:ascii="Cambria Math" w:eastAsia="SimSun" w:hAnsi="Cambria Math"/>
              <w:sz w:val="22"/>
              <w:szCs w:val="22"/>
              <w:lang w:eastAsia="zh-CN"/>
            </w:rPr>
            <m:t xml:space="preserve">= </m:t>
          </m:r>
          <m:f>
            <m:fPr>
              <m:ctrlPr>
                <w:rPr>
                  <w:rFonts w:ascii="Cambria Math" w:eastAsia="SimSun" w:hAnsi="Cambria Math"/>
                  <w:i/>
                  <w:sz w:val="22"/>
                  <w:szCs w:val="22"/>
                  <w:lang w:eastAsia="zh-CN"/>
                </w:rPr>
              </m:ctrlPr>
            </m:fPr>
            <m:num>
              <m:sSup>
                <m:sSupPr>
                  <m:ctrlPr>
                    <w:rPr>
                      <w:rFonts w:ascii="Cambria Math" w:eastAsia="SimSun" w:hAnsi="Cambria Math"/>
                      <w:i/>
                      <w:sz w:val="22"/>
                      <w:szCs w:val="22"/>
                      <w:lang w:eastAsia="zh-CN"/>
                    </w:rPr>
                  </m:ctrlPr>
                </m:sSupPr>
                <m:e>
                  <m:r>
                    <w:rPr>
                      <w:rFonts w:ascii="Cambria Math" w:eastAsia="SimSun" w:hAnsi="Cambria Math"/>
                      <w:sz w:val="22"/>
                      <w:szCs w:val="22"/>
                      <w:lang w:eastAsia="zh-CN"/>
                    </w:rPr>
                    <m:t>F</m:t>
                  </m:r>
                </m:e>
                <m:sup>
                  <m:r>
                    <w:rPr>
                      <w:rFonts w:ascii="Cambria Math" w:eastAsia="SimSun" w:hAnsi="Cambria Math"/>
                      <w:sz w:val="22"/>
                      <w:szCs w:val="22"/>
                      <w:lang w:eastAsia="zh-CN"/>
                    </w:rPr>
                    <m:t>-1</m:t>
                  </m:r>
                </m:sup>
              </m:sSup>
              <m:d>
                <m:dPr>
                  <m:ctrlPr>
                    <w:rPr>
                      <w:rFonts w:ascii="Cambria Math" w:eastAsia="SimSun" w:hAnsi="Cambria Math"/>
                      <w:i/>
                      <w:sz w:val="22"/>
                      <w:szCs w:val="22"/>
                      <w:lang w:eastAsia="zh-CN"/>
                    </w:rPr>
                  </m:ctrlPr>
                </m:dPr>
                <m:e>
                  <m:r>
                    <w:rPr>
                      <w:rFonts w:ascii="Cambria Math" w:eastAsia="SimSun" w:hAnsi="Cambria Math"/>
                      <w:sz w:val="22"/>
                      <w:szCs w:val="22"/>
                      <w:lang w:eastAsia="zh-CN"/>
                    </w:rPr>
                    <m:t>τ</m:t>
                  </m:r>
                </m:e>
                <m:e>
                  <m:r>
                    <w:rPr>
                      <w:rFonts w:ascii="Cambria Math" w:eastAsia="SimSun" w:hAnsi="Cambria Math"/>
                      <w:sz w:val="22"/>
                      <w:szCs w:val="22"/>
                      <w:lang w:eastAsia="zh-CN"/>
                    </w:rPr>
                    <m:t>α, df,ξ</m:t>
                  </m:r>
                </m:e>
              </m:d>
              <m:r>
                <w:rPr>
                  <w:rFonts w:ascii="Cambria Math" w:eastAsia="SimSun" w:hAnsi="Cambria Math"/>
                  <w:sz w:val="22"/>
                  <w:szCs w:val="22"/>
                  <w:lang w:eastAsia="zh-CN"/>
                </w:rPr>
                <m:t>-loc</m:t>
              </m:r>
            </m:num>
            <m:den>
              <m:r>
                <w:rPr>
                  <w:rFonts w:ascii="Cambria Math" w:eastAsia="SimSun" w:hAnsi="Cambria Math"/>
                  <w:sz w:val="22"/>
                  <w:szCs w:val="22"/>
                  <w:lang w:eastAsia="zh-CN"/>
                </w:rPr>
                <m:t>scale</m:t>
              </m:r>
            </m:den>
          </m:f>
        </m:oMath>
      </m:oMathPara>
    </w:p>
    <w:p w14:paraId="71A871D4" w14:textId="77777777" w:rsidR="00063DA5" w:rsidRDefault="00063DA5" w:rsidP="002A6377">
      <w:pPr>
        <w:ind w:firstLine="360"/>
      </w:pPr>
    </w:p>
    <w:p w14:paraId="6623CB19" w14:textId="4763162E" w:rsidR="00926F00" w:rsidRDefault="00926F00" w:rsidP="002A6377">
      <w:pPr>
        <w:ind w:firstLine="360"/>
      </w:pPr>
      <w:r>
        <w:t>w</w:t>
      </w:r>
      <w:r w:rsidRPr="008401A3">
        <w:t xml:space="preserve">here </w:t>
      </w:r>
      <w:r w:rsidRPr="002F0AF7">
        <w:rPr>
          <w:i/>
        </w:rPr>
        <w:t>loc</w:t>
      </w:r>
      <w:r>
        <w:t xml:space="preserve"> is the location (the mean) and </w:t>
      </w:r>
      <w:r w:rsidRPr="002F0AF7">
        <w:rPr>
          <w:i/>
        </w:rPr>
        <w:t>scale</w:t>
      </w:r>
      <w:r>
        <w:t xml:space="preserve"> the variance of the distribution.</w:t>
      </w:r>
    </w:p>
    <w:p w14:paraId="3F56C1CC" w14:textId="7E5575D7" w:rsidR="005D3468" w:rsidRDefault="005D3468" w:rsidP="002A6377">
      <w:pPr>
        <w:ind w:firstLine="360"/>
      </w:pPr>
    </w:p>
    <w:p w14:paraId="2F96A4EE" w14:textId="0DF9A133" w:rsidR="005D3468" w:rsidRDefault="0096525D" w:rsidP="002A6377">
      <w:pPr>
        <w:ind w:firstLine="360"/>
      </w:pPr>
      <w:r>
        <w:t>The tool also provides the possibility to fit the density using the asymmetric Tskew distribution as in Zhu and Galbraith (2010), which is based on 5 parameters (with a different left and right kurtosis). The optimization process is the same for both distributions.</w:t>
      </w:r>
    </w:p>
    <w:p w14:paraId="5FC74542" w14:textId="7AB8DFE5" w:rsidR="0096525D" w:rsidRDefault="0096525D" w:rsidP="002A6377">
      <w:pPr>
        <w:ind w:firstLine="360"/>
      </w:pPr>
    </w:p>
    <w:p w14:paraId="21725C1D" w14:textId="77777777" w:rsidR="0096525D" w:rsidRPr="008401A3" w:rsidRDefault="0096525D" w:rsidP="002A6377">
      <w:pPr>
        <w:ind w:firstLine="360"/>
      </w:pPr>
    </w:p>
    <w:p w14:paraId="1C1EBC84" w14:textId="645B4863" w:rsidR="005D3468" w:rsidRPr="00610262" w:rsidRDefault="005D3468" w:rsidP="005D3468">
      <w:pPr>
        <w:spacing w:after="160" w:line="259" w:lineRule="auto"/>
        <w:rPr>
          <w:b/>
          <w:bCs/>
          <w:i/>
          <w:szCs w:val="28"/>
        </w:rPr>
      </w:pPr>
      <w:r>
        <w:rPr>
          <w:b/>
          <w:bCs/>
          <w:i/>
          <w:szCs w:val="28"/>
        </w:rPr>
        <w:t>From the empirical cdf to the Tskew parameters</w:t>
      </w:r>
      <w:r w:rsidR="00392BA6">
        <w:rPr>
          <w:b/>
          <w:bCs/>
          <w:i/>
          <w:szCs w:val="28"/>
        </w:rPr>
        <w:t>: unconstrained optimization</w:t>
      </w:r>
    </w:p>
    <w:p w14:paraId="7DCEA73A" w14:textId="166E4F07" w:rsidR="00926F00" w:rsidRDefault="00A22508" w:rsidP="002A6377">
      <w:r>
        <w:rPr>
          <w:b/>
        </w:rPr>
        <w:t xml:space="preserve">             </w:t>
      </w:r>
      <w:r w:rsidR="00926F00" w:rsidRPr="00D338DB">
        <w:t xml:space="preserve">The </w:t>
      </w:r>
      <w:r w:rsidR="00392BA6">
        <w:t xml:space="preserve">tool offers to estimate </w:t>
      </w:r>
      <w:r w:rsidR="00926F00" w:rsidRPr="00D338DB">
        <w:t xml:space="preserve">the t-skew distribution parameters </w:t>
      </w:r>
      <w:r w:rsidR="00392BA6">
        <w:t>in two different ways: either unconstrained in the location or with location constraint.</w:t>
      </w:r>
    </w:p>
    <w:p w14:paraId="7BF2536E" w14:textId="77777777" w:rsidR="00063DA5" w:rsidRDefault="00063DA5" w:rsidP="002A6377"/>
    <w:p w14:paraId="1A778A71" w14:textId="1A008DD4" w:rsidR="00926F00" w:rsidRDefault="00156486" w:rsidP="002A6377">
      <w:r>
        <w:lastRenderedPageBreak/>
        <w:t xml:space="preserve">The unconstrained optimization derives </w:t>
      </w:r>
      <w:r w:rsidR="003D0015">
        <w:t xml:space="preserve">the parameters of interest </w:t>
      </w:r>
      <w:r>
        <w:t>by minimizing the distance between the empirical quantiles and the quantiles of a Tskew:</w:t>
      </w:r>
    </w:p>
    <w:p w14:paraId="7706BEAE" w14:textId="77777777" w:rsidR="00063DA5" w:rsidRDefault="00063DA5" w:rsidP="002A6377"/>
    <w:p w14:paraId="58CE0ACD" w14:textId="422B122F" w:rsidR="00063DA5" w:rsidRPr="00420A49" w:rsidRDefault="00AE1FF5" w:rsidP="00420A49">
      <w:pPr>
        <w:spacing w:after="160" w:line="259" w:lineRule="auto"/>
        <w:rPr>
          <w:rFonts w:ascii="Calibri" w:eastAsia="SimSun" w:hAnsi="Calibri"/>
          <w:sz w:val="22"/>
          <w:szCs w:val="22"/>
          <w:lang w:eastAsia="zh-CN"/>
        </w:rPr>
      </w:pPr>
      <m:oMathPara>
        <m:oMath>
          <m:sSup>
            <m:sSupPr>
              <m:ctrlPr>
                <w:rPr>
                  <w:rFonts w:ascii="Cambria Math" w:eastAsia="SimSun" w:hAnsi="Cambria Math"/>
                  <w:sz w:val="22"/>
                  <w:szCs w:val="22"/>
                  <w:lang w:eastAsia="zh-CN"/>
                </w:rPr>
              </m:ctrlPr>
            </m:sSupPr>
            <m:e>
              <m:sSup>
                <m:sSupPr>
                  <m:ctrlPr>
                    <w:rPr>
                      <w:rFonts w:ascii="Cambria Math" w:eastAsia="SimSun" w:hAnsi="Cambria Math"/>
                      <w:sz w:val="22"/>
                      <w:szCs w:val="22"/>
                      <w:lang w:eastAsia="zh-CN"/>
                    </w:rPr>
                  </m:ctrlPr>
                </m:sSupPr>
                <m:e>
                  <m:r>
                    <m:rPr>
                      <m:sty m:val="p"/>
                    </m:rPr>
                    <w:rPr>
                      <w:rFonts w:ascii="Cambria Math" w:eastAsia="SimSun" w:hAnsi="Cambria Math"/>
                      <w:sz w:val="22"/>
                      <w:szCs w:val="22"/>
                      <w:lang w:eastAsia="zh-CN"/>
                    </w:rPr>
                    <m:t>loc</m:t>
                  </m:r>
                </m:e>
                <m:sup>
                  <m:r>
                    <w:rPr>
                      <w:rFonts w:ascii="Cambria Math" w:eastAsia="SimSun" w:hAnsi="Cambria Math"/>
                      <w:sz w:val="22"/>
                      <w:szCs w:val="22"/>
                      <w:lang w:eastAsia="zh-CN"/>
                    </w:rPr>
                    <m:t>*</m:t>
                  </m:r>
                </m:sup>
              </m:sSup>
              <m:r>
                <m:rPr>
                  <m:sty m:val="p"/>
                </m:rPr>
                <w:rPr>
                  <w:rFonts w:ascii="Cambria Math" w:eastAsia="SimSun" w:hAnsi="Cambria Math"/>
                  <w:sz w:val="22"/>
                  <w:szCs w:val="22"/>
                  <w:lang w:eastAsia="zh-CN"/>
                </w:rPr>
                <m:t>, scale</m:t>
              </m:r>
            </m:e>
            <m:sup>
              <m:r>
                <w:rPr>
                  <w:rFonts w:ascii="Cambria Math" w:eastAsia="SimSun" w:hAnsi="Cambria Math"/>
                  <w:sz w:val="22"/>
                  <w:szCs w:val="22"/>
                  <w:lang w:eastAsia="zh-CN"/>
                </w:rPr>
                <m:t>*</m:t>
              </m:r>
            </m:sup>
          </m:sSup>
          <m:r>
            <m:rPr>
              <m:sty m:val="p"/>
            </m:rPr>
            <w:rPr>
              <w:rFonts w:ascii="Cambria Math" w:eastAsia="SimSun" w:hAnsi="Cambria Math"/>
              <w:sz w:val="22"/>
              <w:szCs w:val="22"/>
              <w:lang w:eastAsia="zh-CN"/>
            </w:rPr>
            <m:t xml:space="preserve">, </m:t>
          </m:r>
          <m:sSup>
            <m:sSupPr>
              <m:ctrlPr>
                <w:rPr>
                  <w:rFonts w:ascii="Cambria Math" w:eastAsia="SimSun" w:hAnsi="Cambria Math"/>
                  <w:sz w:val="22"/>
                  <w:szCs w:val="22"/>
                  <w:lang w:eastAsia="zh-CN"/>
                </w:rPr>
              </m:ctrlPr>
            </m:sSupPr>
            <m:e>
              <m:r>
                <m:rPr>
                  <m:sty m:val="p"/>
                </m:rPr>
                <w:rPr>
                  <w:rFonts w:ascii="Cambria Math" w:eastAsia="SimSun" w:hAnsi="Cambria Math"/>
                  <w:sz w:val="22"/>
                  <w:szCs w:val="22"/>
                  <w:lang w:eastAsia="zh-CN"/>
                </w:rPr>
                <m:t>skew</m:t>
              </m:r>
            </m:e>
            <m:sup>
              <m:r>
                <w:rPr>
                  <w:rFonts w:ascii="Cambria Math" w:eastAsia="SimSun" w:hAnsi="Cambria Math"/>
                  <w:sz w:val="22"/>
                  <w:szCs w:val="22"/>
                  <w:lang w:eastAsia="zh-CN"/>
                </w:rPr>
                <m:t>*</m:t>
              </m:r>
            </m:sup>
          </m:sSup>
          <m:r>
            <w:rPr>
              <w:rFonts w:ascii="Cambria Math" w:eastAsia="SimSun" w:hAnsi="Cambria Math"/>
              <w:sz w:val="22"/>
              <w:szCs w:val="22"/>
              <w:lang w:eastAsia="zh-CN"/>
            </w:rPr>
            <m:t xml:space="preserve">=argmin[ </m:t>
          </m:r>
          <m:nary>
            <m:naryPr>
              <m:chr m:val="∑"/>
              <m:limLoc m:val="undOvr"/>
              <m:supHide m:val="1"/>
              <m:ctrlPr>
                <w:rPr>
                  <w:rFonts w:ascii="Cambria Math" w:eastAsia="SimSun" w:hAnsi="Cambria Math"/>
                  <w:i/>
                  <w:sz w:val="22"/>
                  <w:szCs w:val="22"/>
                  <w:lang w:eastAsia="zh-CN"/>
                </w:rPr>
              </m:ctrlPr>
            </m:naryPr>
            <m:sub>
              <m:r>
                <w:rPr>
                  <w:rFonts w:ascii="Cambria Math" w:eastAsia="SimSun" w:hAnsi="Cambria Math"/>
                  <w:sz w:val="22"/>
                  <w:szCs w:val="22"/>
                  <w:lang w:eastAsia="zh-CN"/>
                </w:rPr>
                <m:t>τ</m:t>
              </m:r>
            </m:sub>
            <m:sup/>
            <m:e>
              <m:sSup>
                <m:sSupPr>
                  <m:ctrlPr>
                    <w:rPr>
                      <w:rFonts w:ascii="Cambria Math" w:eastAsia="SimSun" w:hAnsi="Cambria Math"/>
                      <w:i/>
                      <w:sz w:val="22"/>
                      <w:szCs w:val="22"/>
                      <w:lang w:eastAsia="zh-CN"/>
                    </w:rPr>
                  </m:ctrlPr>
                </m:sSupPr>
                <m:e>
                  <m:r>
                    <w:rPr>
                      <w:rFonts w:ascii="Cambria Math" w:eastAsia="SimSun" w:hAnsi="Cambria Math"/>
                      <w:sz w:val="22"/>
                      <w:szCs w:val="22"/>
                      <w:lang w:eastAsia="zh-CN"/>
                    </w:rPr>
                    <m:t xml:space="preserve">{tsk.quantile(τ,loc, </m:t>
                  </m:r>
                  <m:sSup>
                    <m:sSupPr>
                      <m:ctrlPr>
                        <w:rPr>
                          <w:rFonts w:ascii="Cambria Math" w:eastAsia="SimSun" w:hAnsi="Cambria Math"/>
                          <w:i/>
                          <w:sz w:val="22"/>
                          <w:szCs w:val="22"/>
                          <w:lang w:eastAsia="zh-CN"/>
                        </w:rPr>
                      </m:ctrlPr>
                    </m:sSupPr>
                    <m:e>
                      <m:r>
                        <w:rPr>
                          <w:rFonts w:ascii="Cambria Math" w:eastAsia="SimSun" w:hAnsi="Cambria Math"/>
                          <w:sz w:val="22"/>
                          <w:szCs w:val="22"/>
                          <w:lang w:eastAsia="zh-CN"/>
                        </w:rPr>
                        <m:t>df</m:t>
                      </m:r>
                    </m:e>
                    <m:sup>
                      <m:r>
                        <w:rPr>
                          <w:rFonts w:ascii="Cambria Math" w:eastAsia="SimSun" w:hAnsi="Cambria Math"/>
                          <w:sz w:val="22"/>
                          <w:szCs w:val="22"/>
                          <w:lang w:eastAsia="zh-CN"/>
                        </w:rPr>
                        <m:t>*</m:t>
                      </m:r>
                    </m:sup>
                  </m:sSup>
                  <m:r>
                    <w:rPr>
                      <w:rStyle w:val="FootnoteReference"/>
                      <w:rFonts w:ascii="Cambria Math" w:eastAsia="SimSun" w:hAnsi="Cambria Math"/>
                      <w:i/>
                      <w:szCs w:val="22"/>
                      <w:lang w:eastAsia="zh-CN"/>
                    </w:rPr>
                    <w:footnoteReference w:id="12"/>
                  </m:r>
                  <m:r>
                    <w:rPr>
                      <w:rFonts w:ascii="Cambria Math" w:eastAsia="SimSun" w:hAnsi="Cambria Math"/>
                      <w:sz w:val="22"/>
                      <w:szCs w:val="22"/>
                      <w:lang w:eastAsia="zh-CN"/>
                    </w:rPr>
                    <m:t>, scale, skew)- Q</m:t>
                  </m:r>
                  <m:d>
                    <m:dPr>
                      <m:ctrlPr>
                        <w:rPr>
                          <w:rFonts w:ascii="Cambria Math" w:eastAsia="SimSun" w:hAnsi="Cambria Math"/>
                          <w:i/>
                          <w:sz w:val="22"/>
                          <w:szCs w:val="22"/>
                          <w:lang w:eastAsia="zh-CN"/>
                        </w:rPr>
                      </m:ctrlPr>
                    </m:dPr>
                    <m:e>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y</m:t>
                          </m:r>
                        </m:e>
                        <m:sub>
                          <m:r>
                            <w:rPr>
                              <w:rFonts w:ascii="Cambria Math" w:eastAsia="SimSun" w:hAnsi="Cambria Math"/>
                              <w:sz w:val="22"/>
                              <w:szCs w:val="22"/>
                              <w:lang w:eastAsia="zh-CN"/>
                            </w:rPr>
                            <m:t>t+h</m:t>
                          </m:r>
                        </m:sub>
                      </m:sSub>
                      <m:r>
                        <w:rPr>
                          <w:rFonts w:ascii="Cambria Math" w:eastAsia="SimSun" w:hAnsi="Cambria Math"/>
                          <w:sz w:val="22"/>
                          <w:szCs w:val="22"/>
                          <w:lang w:eastAsia="zh-CN"/>
                        </w:rPr>
                        <m:t xml:space="preserve">, τ | </m:t>
                      </m:r>
                      <m:sSub>
                        <m:sSubPr>
                          <m:ctrlPr>
                            <w:rPr>
                              <w:rFonts w:ascii="Cambria Math" w:eastAsia="SimSun" w:hAnsi="Cambria Math"/>
                              <w:i/>
                              <w:sz w:val="22"/>
                              <w:szCs w:val="22"/>
                              <w:lang w:eastAsia="zh-CN"/>
                            </w:rPr>
                          </m:ctrlPr>
                        </m:sSubPr>
                        <m:e>
                          <m:d>
                            <m:dPr>
                              <m:begChr m:val="{"/>
                              <m:endChr m:val="}"/>
                              <m:ctrlPr>
                                <w:rPr>
                                  <w:rFonts w:ascii="Cambria Math" w:eastAsia="SimSun" w:hAnsi="Cambria Math"/>
                                  <w:i/>
                                  <w:sz w:val="22"/>
                                  <w:szCs w:val="22"/>
                                  <w:lang w:eastAsia="zh-CN"/>
                                </w:rPr>
                              </m:ctrlPr>
                            </m:dPr>
                            <m:e>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X</m:t>
                                  </m:r>
                                </m:e>
                                <m:sub>
                                  <m:r>
                                    <w:rPr>
                                      <w:rFonts w:ascii="Cambria Math" w:eastAsia="SimSun" w:hAnsi="Cambria Math"/>
                                      <w:sz w:val="22"/>
                                      <w:szCs w:val="22"/>
                                      <w:lang w:eastAsia="zh-CN"/>
                                    </w:rPr>
                                    <m:t>i</m:t>
                                  </m:r>
                                </m:sub>
                              </m:sSub>
                            </m:e>
                          </m:d>
                        </m:e>
                        <m:sub>
                          <m:r>
                            <w:rPr>
                              <w:rFonts w:ascii="Cambria Math" w:eastAsia="SimSun" w:hAnsi="Cambria Math"/>
                              <w:sz w:val="22"/>
                              <w:szCs w:val="22"/>
                              <w:lang w:eastAsia="zh-CN"/>
                            </w:rPr>
                            <m:t>i ∈P</m:t>
                          </m:r>
                        </m:sub>
                      </m:sSub>
                    </m:e>
                  </m:d>
                  <m:r>
                    <w:rPr>
                      <w:rFonts w:ascii="Cambria Math" w:eastAsia="SimSun" w:hAnsi="Cambria Math"/>
                      <w:sz w:val="22"/>
                      <w:szCs w:val="22"/>
                      <w:lang w:eastAsia="zh-CN"/>
                    </w:rPr>
                    <m:t>}</m:t>
                  </m:r>
                </m:e>
                <m:sup>
                  <m:r>
                    <w:rPr>
                      <w:rFonts w:ascii="Cambria Math" w:eastAsia="SimSun" w:hAnsi="Cambria Math"/>
                      <w:sz w:val="22"/>
                      <w:szCs w:val="22"/>
                      <w:lang w:eastAsia="zh-CN"/>
                    </w:rPr>
                    <m:t>2</m:t>
                  </m:r>
                </m:sup>
              </m:sSup>
            </m:e>
          </m:nary>
          <m:r>
            <w:rPr>
              <w:rFonts w:ascii="Cambria Math" w:eastAsia="SimSun" w:hAnsi="Cambria Math"/>
              <w:sz w:val="22"/>
              <w:szCs w:val="22"/>
              <w:lang w:eastAsia="zh-CN"/>
            </w:rPr>
            <m:t>]</m:t>
          </m:r>
        </m:oMath>
      </m:oMathPara>
    </w:p>
    <w:p w14:paraId="4CCF2A9E" w14:textId="05B288C8" w:rsidR="003364F0" w:rsidRDefault="003364F0" w:rsidP="001E5354">
      <w:pPr>
        <w:spacing w:after="240"/>
      </w:pPr>
      <w:r>
        <w:rPr>
          <w:rFonts w:ascii="Calibri" w:eastAsia="SimSun" w:hAnsi="Calibri"/>
          <w:sz w:val="22"/>
          <w:szCs w:val="22"/>
          <w:lang w:eastAsia="zh-CN"/>
        </w:rPr>
        <w:t xml:space="preserve">Where </w:t>
      </w:r>
      <m:oMath>
        <m:r>
          <w:rPr>
            <w:rFonts w:ascii="Cambria Math" w:eastAsia="SimSun" w:hAnsi="Cambria Math"/>
            <w:sz w:val="22"/>
            <w:szCs w:val="22"/>
            <w:lang w:eastAsia="zh-CN"/>
          </w:rPr>
          <m:t>tsk.quantile(τ,loc, df, scale, skew)</m:t>
        </m:r>
      </m:oMath>
      <w:r w:rsidR="00A22508">
        <w:t xml:space="preserve">  </w:t>
      </w:r>
      <w:r>
        <w:t xml:space="preserve">represents the quantile </w:t>
      </w:r>
      <m:oMath>
        <m:r>
          <w:rPr>
            <w:rFonts w:ascii="Cambria Math" w:eastAsia="SimSun" w:hAnsi="Cambria Math"/>
            <w:sz w:val="22"/>
            <w:szCs w:val="22"/>
            <w:lang w:eastAsia="zh-CN"/>
          </w:rPr>
          <m:t>τ</m:t>
        </m:r>
      </m:oMath>
      <w:r w:rsidR="00A22508">
        <w:t xml:space="preserve"> </w:t>
      </w:r>
      <w:r>
        <w:t>of the Tskew with parameters (loc, df, scale, skew).</w:t>
      </w:r>
      <w:r w:rsidR="00A22508">
        <w:t xml:space="preserve">     </w:t>
      </w:r>
    </w:p>
    <w:p w14:paraId="29B944A2" w14:textId="1C0CF40A" w:rsidR="001E101C" w:rsidRDefault="00A22508" w:rsidP="001E5354">
      <w:pPr>
        <w:spacing w:after="240"/>
      </w:pPr>
      <w:r>
        <w:t xml:space="preserve">  </w:t>
      </w:r>
      <w:r w:rsidR="00926F00">
        <w:t xml:space="preserve">Because both the scale and the </w:t>
      </w:r>
      <w:r w:rsidR="00084FF8">
        <w:t>s</w:t>
      </w:r>
      <w:r w:rsidR="00926F00">
        <w:t xml:space="preserve">kewness parameters are naturally bounded, a </w:t>
      </w:r>
      <w:r w:rsidR="00926F00" w:rsidRPr="008C3032">
        <w:t>Sequential Least S</w:t>
      </w:r>
      <w:r w:rsidR="009552ED">
        <w:t>q</w:t>
      </w:r>
      <w:r w:rsidR="00926F00" w:rsidRPr="008C3032">
        <w:t>uares Programming</w:t>
      </w:r>
      <w:r w:rsidR="00926F00">
        <w:t xml:space="preserve"> (SLSQP) algorithm is used to perform the minimization program under the constraint that both these quantities should be strictly positive. </w:t>
      </w:r>
      <w:r w:rsidR="001E101C">
        <w:t xml:space="preserve">Note that at this stage the tool </w:t>
      </w:r>
      <w:r w:rsidR="000B67FB">
        <w:t>is weighting</w:t>
      </w:r>
      <w:r w:rsidR="001E101C">
        <w:t xml:space="preserve"> each quantile </w:t>
      </w:r>
      <w:r w:rsidR="00446A99">
        <w:t xml:space="preserve">equally; it could also be possible to </w:t>
      </w:r>
      <w:r w:rsidR="001E101C">
        <w:t xml:space="preserve">improve the fit on the lower quantiles by weighting deviation on </w:t>
      </w:r>
      <w:r w:rsidR="00CA5C63">
        <w:t>the lower quantiles more than on the rest of the distribution, to improve the crisis fit.</w:t>
      </w:r>
    </w:p>
    <w:p w14:paraId="40DD1A6C" w14:textId="45EF277B" w:rsidR="00926F00" w:rsidRPr="00C67926" w:rsidRDefault="00A22508" w:rsidP="002A6377">
      <w:r>
        <w:t xml:space="preserve">          </w:t>
      </w:r>
      <w:r w:rsidR="00926F00">
        <w:t xml:space="preserve">Once </w:t>
      </w:r>
      <w:bookmarkStart w:id="6" w:name="_Hlk524875831"/>
      <w:r w:rsidR="00926F00">
        <w:t>the optimal t-skew parameters have been estimated from the conditional quantiles, it is straightforwar</w:t>
      </w:r>
      <w:bookmarkEnd w:id="6"/>
      <w:r w:rsidR="00926F00">
        <w:t>d to derive the fitted t-skew cdf and pdf, therefore allowing to estimate both the associated Value at Risk (VaR) and Expected Shortfall (ES).</w:t>
      </w:r>
    </w:p>
    <w:p w14:paraId="7D4B7347" w14:textId="77777777" w:rsidR="0033182F" w:rsidRDefault="0033182F" w:rsidP="002A6377"/>
    <w:p w14:paraId="5105EE94" w14:textId="712AF2AD" w:rsidR="003363AE" w:rsidRPr="00610262" w:rsidRDefault="003363AE" w:rsidP="003363AE">
      <w:pPr>
        <w:spacing w:after="160" w:line="259" w:lineRule="auto"/>
        <w:rPr>
          <w:b/>
          <w:bCs/>
          <w:i/>
          <w:szCs w:val="28"/>
        </w:rPr>
      </w:pPr>
      <w:r>
        <w:rPr>
          <w:b/>
          <w:bCs/>
          <w:i/>
          <w:szCs w:val="28"/>
        </w:rPr>
        <w:t>From the empirical cdf to the Tskew parameters: location-constrained optimization</w:t>
      </w:r>
    </w:p>
    <w:p w14:paraId="7913ECC2" w14:textId="0FFCED1C" w:rsidR="00C12C53" w:rsidRDefault="00AD4C73" w:rsidP="005F7161">
      <w:pPr>
        <w:pStyle w:val="Heading2"/>
        <w:numPr>
          <w:ilvl w:val="0"/>
          <w:numId w:val="0"/>
        </w:numPr>
        <w:spacing w:after="240"/>
        <w:ind w:firstLine="720"/>
        <w:rPr>
          <w:rFonts w:eastAsia="MS Mincho" w:cs="Times New Roman"/>
          <w:b w:val="0"/>
          <w:bCs w:val="0"/>
          <w:iCs w:val="0"/>
          <w:color w:val="auto"/>
          <w:sz w:val="21"/>
          <w:szCs w:val="24"/>
        </w:rPr>
      </w:pPr>
      <w:r w:rsidRPr="00AD4C73">
        <w:rPr>
          <w:rFonts w:eastAsia="MS Mincho" w:cs="Times New Roman"/>
          <w:b w:val="0"/>
          <w:bCs w:val="0"/>
          <w:iCs w:val="0"/>
          <w:color w:val="auto"/>
          <w:sz w:val="21"/>
          <w:szCs w:val="24"/>
        </w:rPr>
        <w:t xml:space="preserve">The </w:t>
      </w:r>
      <w:r>
        <w:rPr>
          <w:rFonts w:eastAsia="MS Mincho" w:cs="Times New Roman"/>
          <w:b w:val="0"/>
          <w:bCs w:val="0"/>
          <w:iCs w:val="0"/>
          <w:color w:val="auto"/>
          <w:sz w:val="21"/>
          <w:szCs w:val="24"/>
        </w:rPr>
        <w:t xml:space="preserve">tool also gives the possibility to fit the Tskew distribution by constraining the location (the mode) of the distribution. </w:t>
      </w:r>
      <w:r w:rsidR="00783BE5">
        <w:rPr>
          <w:rFonts w:eastAsia="MS Mincho" w:cs="Times New Roman"/>
          <w:b w:val="0"/>
          <w:bCs w:val="0"/>
          <w:iCs w:val="0"/>
          <w:color w:val="auto"/>
          <w:sz w:val="21"/>
          <w:szCs w:val="24"/>
        </w:rPr>
        <w:t>This option is useful if i) there is a more accurate forecast for the mode available or ii) to make the density forecast consistent with other point forecasts (for instance the IMF WEO forecast).</w:t>
      </w:r>
      <w:r w:rsidR="00AD5BC4">
        <w:rPr>
          <w:rFonts w:eastAsia="MS Mincho" w:cs="Times New Roman"/>
          <w:b w:val="0"/>
          <w:bCs w:val="0"/>
          <w:iCs w:val="0"/>
          <w:color w:val="auto"/>
          <w:sz w:val="21"/>
          <w:szCs w:val="24"/>
        </w:rPr>
        <w:t xml:space="preserve"> In this case</w:t>
      </w:r>
      <w:r w:rsidR="00446A99">
        <w:rPr>
          <w:rFonts w:eastAsia="MS Mincho" w:cs="Times New Roman"/>
          <w:b w:val="0"/>
          <w:bCs w:val="0"/>
          <w:iCs w:val="0"/>
          <w:color w:val="auto"/>
          <w:sz w:val="21"/>
          <w:szCs w:val="24"/>
        </w:rPr>
        <w:t xml:space="preserve">, the tails, skewness and kurtosis should be consistent with both </w:t>
      </w:r>
      <w:r w:rsidR="00E105DF">
        <w:rPr>
          <w:rFonts w:eastAsia="MS Mincho" w:cs="Times New Roman"/>
          <w:b w:val="0"/>
          <w:bCs w:val="0"/>
          <w:iCs w:val="0"/>
          <w:color w:val="auto"/>
          <w:sz w:val="21"/>
          <w:szCs w:val="24"/>
        </w:rPr>
        <w:t xml:space="preserve">the conditional quantiles from the quantile regressions, as well with the constrained location. Then the distribution fit </w:t>
      </w:r>
      <w:r w:rsidR="00D41850">
        <w:rPr>
          <w:rFonts w:eastAsia="MS Mincho" w:cs="Times New Roman"/>
          <w:b w:val="0"/>
          <w:bCs w:val="0"/>
          <w:iCs w:val="0"/>
          <w:color w:val="auto"/>
          <w:sz w:val="21"/>
          <w:szCs w:val="24"/>
        </w:rPr>
        <w:t>must</w:t>
      </w:r>
      <w:r w:rsidR="00E105DF">
        <w:rPr>
          <w:rFonts w:eastAsia="MS Mincho" w:cs="Times New Roman"/>
          <w:b w:val="0"/>
          <w:bCs w:val="0"/>
          <w:iCs w:val="0"/>
          <w:color w:val="auto"/>
          <w:sz w:val="21"/>
          <w:szCs w:val="24"/>
        </w:rPr>
        <w:t xml:space="preserve"> be optimized under the constraints, and not simply by translating the original distribution </w:t>
      </w:r>
      <w:r w:rsidR="00DC4673">
        <w:rPr>
          <w:rFonts w:eastAsia="MS Mincho" w:cs="Times New Roman"/>
          <w:b w:val="0"/>
          <w:bCs w:val="0"/>
          <w:iCs w:val="0"/>
          <w:color w:val="auto"/>
          <w:sz w:val="21"/>
          <w:szCs w:val="24"/>
        </w:rPr>
        <w:t>linear</w:t>
      </w:r>
      <w:r w:rsidR="005F7161">
        <w:rPr>
          <w:rFonts w:eastAsia="MS Mincho" w:cs="Times New Roman"/>
          <w:b w:val="0"/>
          <w:bCs w:val="0"/>
          <w:iCs w:val="0"/>
          <w:color w:val="auto"/>
          <w:sz w:val="21"/>
          <w:szCs w:val="24"/>
        </w:rPr>
        <w:t>l</w:t>
      </w:r>
      <w:r w:rsidR="00DC4673">
        <w:rPr>
          <w:rFonts w:eastAsia="MS Mincho" w:cs="Times New Roman"/>
          <w:b w:val="0"/>
          <w:bCs w:val="0"/>
          <w:iCs w:val="0"/>
          <w:color w:val="auto"/>
          <w:sz w:val="21"/>
          <w:szCs w:val="24"/>
        </w:rPr>
        <w:t xml:space="preserve">y. </w:t>
      </w:r>
      <w:r w:rsidR="005F7161">
        <w:rPr>
          <w:rFonts w:eastAsia="MS Mincho" w:cs="Times New Roman"/>
          <w:b w:val="0"/>
          <w:bCs w:val="0"/>
          <w:iCs w:val="0"/>
          <w:color w:val="auto"/>
          <w:sz w:val="21"/>
          <w:szCs w:val="24"/>
        </w:rPr>
        <w:t>The optimization program is therefore</w:t>
      </w:r>
      <w:r w:rsidR="00831690">
        <w:rPr>
          <w:rFonts w:eastAsia="MS Mincho" w:cs="Times New Roman"/>
          <w:b w:val="0"/>
          <w:bCs w:val="0"/>
          <w:iCs w:val="0"/>
          <w:color w:val="auto"/>
          <w:sz w:val="21"/>
          <w:szCs w:val="24"/>
        </w:rPr>
        <w:t xml:space="preserve"> ran</w:t>
      </w:r>
      <w:r w:rsidR="00C12C53">
        <w:rPr>
          <w:rFonts w:eastAsia="MS Mincho" w:cs="Times New Roman"/>
          <w:b w:val="0"/>
          <w:bCs w:val="0"/>
          <w:iCs w:val="0"/>
          <w:color w:val="auto"/>
          <w:sz w:val="21"/>
          <w:szCs w:val="24"/>
        </w:rPr>
        <w:t xml:space="preserve"> on</w:t>
      </w:r>
      <w:r w:rsidR="00831690">
        <w:rPr>
          <w:rFonts w:eastAsia="MS Mincho" w:cs="Times New Roman"/>
          <w:b w:val="0"/>
          <w:bCs w:val="0"/>
          <w:iCs w:val="0"/>
          <w:color w:val="auto"/>
          <w:sz w:val="21"/>
          <w:szCs w:val="24"/>
        </w:rPr>
        <w:t xml:space="preserve"> a 2-</w:t>
      </w:r>
      <w:r w:rsidR="00C12C53">
        <w:rPr>
          <w:rFonts w:eastAsia="MS Mincho" w:cs="Times New Roman"/>
          <w:b w:val="0"/>
          <w:bCs w:val="0"/>
          <w:iCs w:val="0"/>
          <w:color w:val="auto"/>
          <w:sz w:val="21"/>
          <w:szCs w:val="24"/>
        </w:rPr>
        <w:t>parameters</w:t>
      </w:r>
      <w:r w:rsidR="00831690">
        <w:rPr>
          <w:rFonts w:eastAsia="MS Mincho" w:cs="Times New Roman"/>
          <w:b w:val="0"/>
          <w:bCs w:val="0"/>
          <w:iCs w:val="0"/>
          <w:color w:val="auto"/>
          <w:sz w:val="21"/>
          <w:szCs w:val="24"/>
        </w:rPr>
        <w:t xml:space="preserve"> space</w:t>
      </w:r>
      <w:r w:rsidR="00035C27">
        <w:rPr>
          <w:rFonts w:eastAsia="MS Mincho" w:cs="Times New Roman"/>
          <w:b w:val="0"/>
          <w:bCs w:val="0"/>
          <w:iCs w:val="0"/>
          <w:color w:val="auto"/>
          <w:sz w:val="21"/>
          <w:szCs w:val="24"/>
        </w:rPr>
        <w:t>:</w:t>
      </w:r>
    </w:p>
    <w:p w14:paraId="177F565F" w14:textId="75D6AFBF" w:rsidR="00C12C53" w:rsidRPr="00420A49" w:rsidRDefault="00AE1FF5" w:rsidP="00C12C53">
      <w:pPr>
        <w:spacing w:after="160" w:line="259" w:lineRule="auto"/>
        <w:rPr>
          <w:rFonts w:ascii="Calibri" w:eastAsia="SimSun" w:hAnsi="Calibri"/>
          <w:sz w:val="22"/>
          <w:szCs w:val="22"/>
          <w:lang w:eastAsia="zh-CN"/>
        </w:rPr>
      </w:pPr>
      <m:oMathPara>
        <m:oMath>
          <m:sSup>
            <m:sSupPr>
              <m:ctrlPr>
                <w:rPr>
                  <w:rFonts w:ascii="Cambria Math" w:eastAsia="SimSun" w:hAnsi="Cambria Math"/>
                  <w:sz w:val="22"/>
                  <w:szCs w:val="22"/>
                  <w:lang w:eastAsia="zh-CN"/>
                </w:rPr>
              </m:ctrlPr>
            </m:sSupPr>
            <m:e>
              <m:r>
                <m:rPr>
                  <m:sty m:val="p"/>
                </m:rPr>
                <w:rPr>
                  <w:rFonts w:ascii="Cambria Math" w:eastAsia="SimSun" w:hAnsi="Cambria Math"/>
                  <w:sz w:val="22"/>
                  <w:szCs w:val="22"/>
                  <w:lang w:eastAsia="zh-CN"/>
                </w:rPr>
                <m:t>scale</m:t>
              </m:r>
            </m:e>
            <m:sup>
              <m:r>
                <w:rPr>
                  <w:rFonts w:ascii="Cambria Math" w:eastAsia="SimSun" w:hAnsi="Cambria Math"/>
                  <w:sz w:val="22"/>
                  <w:szCs w:val="22"/>
                  <w:lang w:eastAsia="zh-CN"/>
                </w:rPr>
                <m:t>*</m:t>
              </m:r>
            </m:sup>
          </m:sSup>
          <m:r>
            <m:rPr>
              <m:sty m:val="p"/>
            </m:rPr>
            <w:rPr>
              <w:rFonts w:ascii="Cambria Math" w:eastAsia="SimSun" w:hAnsi="Cambria Math"/>
              <w:sz w:val="22"/>
              <w:szCs w:val="22"/>
              <w:lang w:eastAsia="zh-CN"/>
            </w:rPr>
            <m:t xml:space="preserve">, </m:t>
          </m:r>
          <m:sSup>
            <m:sSupPr>
              <m:ctrlPr>
                <w:rPr>
                  <w:rFonts w:ascii="Cambria Math" w:eastAsia="SimSun" w:hAnsi="Cambria Math"/>
                  <w:sz w:val="22"/>
                  <w:szCs w:val="22"/>
                  <w:lang w:eastAsia="zh-CN"/>
                </w:rPr>
              </m:ctrlPr>
            </m:sSupPr>
            <m:e>
              <m:r>
                <m:rPr>
                  <m:sty m:val="p"/>
                </m:rPr>
                <w:rPr>
                  <w:rFonts w:ascii="Cambria Math" w:eastAsia="SimSun" w:hAnsi="Cambria Math"/>
                  <w:sz w:val="22"/>
                  <w:szCs w:val="22"/>
                  <w:lang w:eastAsia="zh-CN"/>
                </w:rPr>
                <m:t>skew</m:t>
              </m:r>
            </m:e>
            <m:sup>
              <m:r>
                <w:rPr>
                  <w:rFonts w:ascii="Cambria Math" w:eastAsia="SimSun" w:hAnsi="Cambria Math"/>
                  <w:sz w:val="22"/>
                  <w:szCs w:val="22"/>
                  <w:lang w:eastAsia="zh-CN"/>
                </w:rPr>
                <m:t>*</m:t>
              </m:r>
            </m:sup>
          </m:sSup>
          <m:r>
            <w:rPr>
              <w:rFonts w:ascii="Cambria Math" w:eastAsia="SimSun" w:hAnsi="Cambria Math"/>
              <w:sz w:val="22"/>
              <w:szCs w:val="22"/>
              <w:lang w:eastAsia="zh-CN"/>
            </w:rPr>
            <m:t xml:space="preserve">=argmin[ </m:t>
          </m:r>
          <m:nary>
            <m:naryPr>
              <m:chr m:val="∑"/>
              <m:limLoc m:val="undOvr"/>
              <m:supHide m:val="1"/>
              <m:ctrlPr>
                <w:rPr>
                  <w:rFonts w:ascii="Cambria Math" w:eastAsia="SimSun" w:hAnsi="Cambria Math"/>
                  <w:i/>
                  <w:sz w:val="22"/>
                  <w:szCs w:val="22"/>
                  <w:lang w:eastAsia="zh-CN"/>
                </w:rPr>
              </m:ctrlPr>
            </m:naryPr>
            <m:sub>
              <m:r>
                <w:rPr>
                  <w:rFonts w:ascii="Cambria Math" w:eastAsia="SimSun" w:hAnsi="Cambria Math"/>
                  <w:sz w:val="22"/>
                  <w:szCs w:val="22"/>
                  <w:lang w:eastAsia="zh-CN"/>
                </w:rPr>
                <m:t>τ</m:t>
              </m:r>
            </m:sub>
            <m:sup/>
            <m:e>
              <m:sSup>
                <m:sSupPr>
                  <m:ctrlPr>
                    <w:rPr>
                      <w:rFonts w:ascii="Cambria Math" w:eastAsia="SimSun" w:hAnsi="Cambria Math"/>
                      <w:i/>
                      <w:sz w:val="22"/>
                      <w:szCs w:val="22"/>
                      <w:lang w:eastAsia="zh-CN"/>
                    </w:rPr>
                  </m:ctrlPr>
                </m:sSupPr>
                <m:e>
                  <m:r>
                    <w:rPr>
                      <w:rFonts w:ascii="Cambria Math" w:eastAsia="SimSun" w:hAnsi="Cambria Math"/>
                      <w:sz w:val="22"/>
                      <w:szCs w:val="22"/>
                      <w:lang w:eastAsia="zh-CN"/>
                    </w:rPr>
                    <m:t>{tsk.quantile(τ,</m:t>
                  </m:r>
                  <m:sSup>
                    <m:sSupPr>
                      <m:ctrlPr>
                        <w:rPr>
                          <w:rFonts w:ascii="Cambria Math" w:eastAsia="SimSun" w:hAnsi="Cambria Math"/>
                          <w:sz w:val="22"/>
                          <w:szCs w:val="22"/>
                          <w:lang w:eastAsia="zh-CN"/>
                        </w:rPr>
                      </m:ctrlPr>
                    </m:sSupPr>
                    <m:e>
                      <m:r>
                        <m:rPr>
                          <m:sty m:val="p"/>
                        </m:rPr>
                        <w:rPr>
                          <w:rFonts w:ascii="Cambria Math" w:eastAsia="SimSun" w:hAnsi="Cambria Math"/>
                          <w:sz w:val="22"/>
                          <w:szCs w:val="22"/>
                          <w:lang w:eastAsia="zh-CN"/>
                        </w:rPr>
                        <m:t>loc</m:t>
                      </m:r>
                    </m:e>
                    <m:sup>
                      <m:r>
                        <w:rPr>
                          <w:rFonts w:ascii="Cambria Math" w:eastAsia="SimSun" w:hAnsi="Cambria Math"/>
                          <w:sz w:val="22"/>
                          <w:szCs w:val="22"/>
                          <w:lang w:eastAsia="zh-CN"/>
                        </w:rPr>
                        <m:t>*</m:t>
                      </m:r>
                    </m:sup>
                  </m:sSup>
                  <m:r>
                    <w:rPr>
                      <w:rFonts w:ascii="Cambria Math" w:eastAsia="SimSun" w:hAnsi="Cambria Math"/>
                      <w:sz w:val="22"/>
                      <w:szCs w:val="22"/>
                      <w:lang w:eastAsia="zh-CN"/>
                    </w:rPr>
                    <m:t xml:space="preserve">, </m:t>
                  </m:r>
                  <m:sSup>
                    <m:sSupPr>
                      <m:ctrlPr>
                        <w:rPr>
                          <w:rFonts w:ascii="Cambria Math" w:eastAsia="SimSun" w:hAnsi="Cambria Math"/>
                          <w:i/>
                          <w:sz w:val="22"/>
                          <w:szCs w:val="22"/>
                          <w:lang w:eastAsia="zh-CN"/>
                        </w:rPr>
                      </m:ctrlPr>
                    </m:sSupPr>
                    <m:e>
                      <m:r>
                        <w:rPr>
                          <w:rFonts w:ascii="Cambria Math" w:eastAsia="SimSun" w:hAnsi="Cambria Math"/>
                          <w:sz w:val="22"/>
                          <w:szCs w:val="22"/>
                          <w:lang w:eastAsia="zh-CN"/>
                        </w:rPr>
                        <m:t>df</m:t>
                      </m:r>
                    </m:e>
                    <m:sup>
                      <m:r>
                        <w:rPr>
                          <w:rFonts w:ascii="Cambria Math" w:eastAsia="SimSun" w:hAnsi="Cambria Math"/>
                          <w:sz w:val="22"/>
                          <w:szCs w:val="22"/>
                          <w:lang w:eastAsia="zh-CN"/>
                        </w:rPr>
                        <m:t>*</m:t>
                      </m:r>
                    </m:sup>
                  </m:sSup>
                  <m:r>
                    <w:rPr>
                      <w:rFonts w:ascii="Cambria Math" w:eastAsia="SimSun" w:hAnsi="Cambria Math"/>
                      <w:sz w:val="22"/>
                      <w:szCs w:val="22"/>
                      <w:lang w:eastAsia="zh-CN"/>
                    </w:rPr>
                    <m:t>, scale, skew)- Q</m:t>
                  </m:r>
                  <m:d>
                    <m:dPr>
                      <m:ctrlPr>
                        <w:rPr>
                          <w:rFonts w:ascii="Cambria Math" w:eastAsia="SimSun" w:hAnsi="Cambria Math"/>
                          <w:i/>
                          <w:sz w:val="22"/>
                          <w:szCs w:val="22"/>
                          <w:lang w:eastAsia="zh-CN"/>
                        </w:rPr>
                      </m:ctrlPr>
                    </m:dPr>
                    <m:e>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y</m:t>
                          </m:r>
                        </m:e>
                        <m:sub>
                          <m:r>
                            <w:rPr>
                              <w:rFonts w:ascii="Cambria Math" w:eastAsia="SimSun" w:hAnsi="Cambria Math"/>
                              <w:sz w:val="22"/>
                              <w:szCs w:val="22"/>
                              <w:lang w:eastAsia="zh-CN"/>
                            </w:rPr>
                            <m:t>t+h</m:t>
                          </m:r>
                        </m:sub>
                      </m:sSub>
                      <m:r>
                        <w:rPr>
                          <w:rFonts w:ascii="Cambria Math" w:eastAsia="SimSun" w:hAnsi="Cambria Math"/>
                          <w:sz w:val="22"/>
                          <w:szCs w:val="22"/>
                          <w:lang w:eastAsia="zh-CN"/>
                        </w:rPr>
                        <m:t xml:space="preserve">, τ | </m:t>
                      </m:r>
                      <m:sSub>
                        <m:sSubPr>
                          <m:ctrlPr>
                            <w:rPr>
                              <w:rFonts w:ascii="Cambria Math" w:eastAsia="SimSun" w:hAnsi="Cambria Math"/>
                              <w:i/>
                              <w:sz w:val="22"/>
                              <w:szCs w:val="22"/>
                              <w:lang w:eastAsia="zh-CN"/>
                            </w:rPr>
                          </m:ctrlPr>
                        </m:sSubPr>
                        <m:e>
                          <m:d>
                            <m:dPr>
                              <m:begChr m:val="{"/>
                              <m:endChr m:val="}"/>
                              <m:ctrlPr>
                                <w:rPr>
                                  <w:rFonts w:ascii="Cambria Math" w:eastAsia="SimSun" w:hAnsi="Cambria Math"/>
                                  <w:i/>
                                  <w:sz w:val="22"/>
                                  <w:szCs w:val="22"/>
                                  <w:lang w:eastAsia="zh-CN"/>
                                </w:rPr>
                              </m:ctrlPr>
                            </m:dPr>
                            <m:e>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X</m:t>
                                  </m:r>
                                </m:e>
                                <m:sub>
                                  <m:r>
                                    <w:rPr>
                                      <w:rFonts w:ascii="Cambria Math" w:eastAsia="SimSun" w:hAnsi="Cambria Math"/>
                                      <w:sz w:val="22"/>
                                      <w:szCs w:val="22"/>
                                      <w:lang w:eastAsia="zh-CN"/>
                                    </w:rPr>
                                    <m:t>i</m:t>
                                  </m:r>
                                </m:sub>
                              </m:sSub>
                            </m:e>
                          </m:d>
                        </m:e>
                        <m:sub>
                          <m:r>
                            <w:rPr>
                              <w:rFonts w:ascii="Cambria Math" w:eastAsia="SimSun" w:hAnsi="Cambria Math"/>
                              <w:sz w:val="22"/>
                              <w:szCs w:val="22"/>
                              <w:lang w:eastAsia="zh-CN"/>
                            </w:rPr>
                            <m:t>i ∈P</m:t>
                          </m:r>
                        </m:sub>
                      </m:sSub>
                    </m:e>
                  </m:d>
                  <m:r>
                    <w:rPr>
                      <w:rFonts w:ascii="Cambria Math" w:eastAsia="SimSun" w:hAnsi="Cambria Math"/>
                      <w:sz w:val="22"/>
                      <w:szCs w:val="22"/>
                      <w:lang w:eastAsia="zh-CN"/>
                    </w:rPr>
                    <m:t>}</m:t>
                  </m:r>
                </m:e>
                <m:sup>
                  <m:r>
                    <w:rPr>
                      <w:rFonts w:ascii="Cambria Math" w:eastAsia="SimSun" w:hAnsi="Cambria Math"/>
                      <w:sz w:val="22"/>
                      <w:szCs w:val="22"/>
                      <w:lang w:eastAsia="zh-CN"/>
                    </w:rPr>
                    <m:t>2</m:t>
                  </m:r>
                </m:sup>
              </m:sSup>
            </m:e>
          </m:nary>
          <m:r>
            <w:rPr>
              <w:rFonts w:ascii="Cambria Math" w:eastAsia="SimSun" w:hAnsi="Cambria Math"/>
              <w:sz w:val="22"/>
              <w:szCs w:val="22"/>
              <w:lang w:eastAsia="zh-CN"/>
            </w:rPr>
            <m:t>]</m:t>
          </m:r>
        </m:oMath>
      </m:oMathPara>
    </w:p>
    <w:p w14:paraId="3B094EEA" w14:textId="35CC8F9E" w:rsidR="001F13AB" w:rsidRDefault="00C12C53" w:rsidP="00C12C53">
      <w:pPr>
        <w:pStyle w:val="Heading2"/>
        <w:numPr>
          <w:ilvl w:val="0"/>
          <w:numId w:val="0"/>
        </w:numPr>
        <w:spacing w:after="240"/>
        <w:rPr>
          <w:rFonts w:eastAsia="MS Mincho" w:cs="Times New Roman"/>
          <w:b w:val="0"/>
          <w:bCs w:val="0"/>
          <w:iCs w:val="0"/>
          <w:color w:val="auto"/>
          <w:sz w:val="21"/>
          <w:szCs w:val="24"/>
        </w:rPr>
      </w:pPr>
      <w:r w:rsidRPr="00C12C53">
        <w:rPr>
          <w:rFonts w:eastAsia="MS Mincho" w:cs="Times New Roman"/>
          <w:b w:val="0"/>
          <w:bCs w:val="0"/>
          <w:iCs w:val="0"/>
          <w:color w:val="auto"/>
          <w:sz w:val="21"/>
          <w:szCs w:val="24"/>
        </w:rPr>
        <w:t xml:space="preserve">Where </w:t>
      </w:r>
      <m:oMath>
        <m:sSup>
          <m:sSupPr>
            <m:ctrlPr>
              <w:rPr>
                <w:rFonts w:ascii="Cambria Math" w:eastAsia="MS Mincho" w:hAnsi="Cambria Math" w:cs="Times New Roman"/>
                <w:b w:val="0"/>
                <w:bCs w:val="0"/>
                <w:iCs w:val="0"/>
                <w:color w:val="auto"/>
                <w:sz w:val="21"/>
                <w:szCs w:val="24"/>
              </w:rPr>
            </m:ctrlPr>
          </m:sSupPr>
          <m:e>
            <m:r>
              <m:rPr>
                <m:sty m:val="b"/>
              </m:rPr>
              <w:rPr>
                <w:rFonts w:ascii="Cambria Math" w:eastAsia="MS Mincho" w:hAnsi="Cambria Math" w:cs="Times New Roman"/>
                <w:color w:val="auto"/>
                <w:sz w:val="21"/>
                <w:szCs w:val="24"/>
              </w:rPr>
              <m:t>loc</m:t>
            </m:r>
          </m:e>
          <m:sup>
            <m:r>
              <m:rPr>
                <m:sty m:val="b"/>
              </m:rPr>
              <w:rPr>
                <w:rFonts w:ascii="Cambria Math" w:eastAsia="MS Mincho" w:hAnsi="Cambria Math" w:cs="Times New Roman"/>
                <w:color w:val="auto"/>
                <w:sz w:val="21"/>
                <w:szCs w:val="24"/>
              </w:rPr>
              <m:t>*</m:t>
            </m:r>
          </m:sup>
        </m:sSup>
      </m:oMath>
      <w:r>
        <w:rPr>
          <w:rFonts w:eastAsia="MS Mincho" w:cs="Times New Roman"/>
          <w:b w:val="0"/>
          <w:bCs w:val="0"/>
          <w:iCs w:val="0"/>
          <w:color w:val="auto"/>
          <w:sz w:val="21"/>
          <w:szCs w:val="24"/>
        </w:rPr>
        <w:t xml:space="preserve"> is provided ex-ante by the user.</w:t>
      </w:r>
    </w:p>
    <w:p w14:paraId="7592C5FB" w14:textId="6A1608F2" w:rsidR="00522690" w:rsidRDefault="001F13AB" w:rsidP="00C12C53">
      <w:pPr>
        <w:pStyle w:val="Heading2"/>
        <w:numPr>
          <w:ilvl w:val="0"/>
          <w:numId w:val="0"/>
        </w:numPr>
        <w:spacing w:after="240"/>
        <w:rPr>
          <w:rFonts w:eastAsia="MS Mincho" w:cs="Times New Roman"/>
          <w:b w:val="0"/>
          <w:bCs w:val="0"/>
          <w:iCs w:val="0"/>
          <w:color w:val="auto"/>
          <w:sz w:val="21"/>
          <w:szCs w:val="24"/>
        </w:rPr>
      </w:pPr>
      <w:r>
        <w:rPr>
          <w:rFonts w:eastAsia="MS Mincho" w:cs="Times New Roman"/>
          <w:b w:val="0"/>
          <w:bCs w:val="0"/>
          <w:iCs w:val="0"/>
          <w:color w:val="auto"/>
          <w:sz w:val="21"/>
          <w:szCs w:val="24"/>
        </w:rPr>
        <w:t xml:space="preserve">Note that imposing the mode can have </w:t>
      </w:r>
      <w:r w:rsidR="009E1D96">
        <w:rPr>
          <w:rFonts w:eastAsia="MS Mincho" w:cs="Times New Roman"/>
          <w:b w:val="0"/>
          <w:bCs w:val="0"/>
          <w:iCs w:val="0"/>
          <w:color w:val="auto"/>
          <w:sz w:val="21"/>
          <w:szCs w:val="24"/>
        </w:rPr>
        <w:t xml:space="preserve">a </w:t>
      </w:r>
      <w:r>
        <w:rPr>
          <w:rFonts w:eastAsia="MS Mincho" w:cs="Times New Roman"/>
          <w:b w:val="0"/>
          <w:bCs w:val="0"/>
          <w:iCs w:val="0"/>
          <w:color w:val="auto"/>
          <w:sz w:val="21"/>
          <w:szCs w:val="24"/>
        </w:rPr>
        <w:t xml:space="preserve">large impact on the </w:t>
      </w:r>
      <w:r w:rsidR="004B385F">
        <w:rPr>
          <w:rFonts w:eastAsia="MS Mincho" w:cs="Times New Roman"/>
          <w:b w:val="0"/>
          <w:bCs w:val="0"/>
          <w:iCs w:val="0"/>
          <w:color w:val="auto"/>
          <w:sz w:val="21"/>
          <w:szCs w:val="24"/>
        </w:rPr>
        <w:t xml:space="preserve">fitted </w:t>
      </w:r>
      <w:r>
        <w:rPr>
          <w:rFonts w:eastAsia="MS Mincho" w:cs="Times New Roman"/>
          <w:b w:val="0"/>
          <w:bCs w:val="0"/>
          <w:iCs w:val="0"/>
          <w:color w:val="auto"/>
          <w:sz w:val="21"/>
          <w:szCs w:val="24"/>
        </w:rPr>
        <w:t>Tskew distribution, in particular if the constrained location differs significantly from the unconstrained location</w:t>
      </w:r>
      <w:r w:rsidR="009F655E">
        <w:rPr>
          <w:rFonts w:eastAsia="MS Mincho" w:cs="Times New Roman"/>
          <w:b w:val="0"/>
          <w:bCs w:val="0"/>
          <w:iCs w:val="0"/>
          <w:color w:val="auto"/>
          <w:sz w:val="21"/>
          <w:szCs w:val="24"/>
        </w:rPr>
        <w:t xml:space="preserve"> corresponding to the </w:t>
      </w:r>
      <w:r w:rsidR="009F655E">
        <w:rPr>
          <w:rFonts w:eastAsia="MS Mincho" w:cs="Times New Roman"/>
          <w:b w:val="0"/>
          <w:bCs w:val="0"/>
          <w:iCs w:val="0"/>
          <w:color w:val="auto"/>
          <w:sz w:val="21"/>
          <w:szCs w:val="24"/>
        </w:rPr>
        <w:lastRenderedPageBreak/>
        <w:t>conditional quantiles</w:t>
      </w:r>
      <w:r>
        <w:rPr>
          <w:rFonts w:eastAsia="MS Mincho" w:cs="Times New Roman"/>
          <w:b w:val="0"/>
          <w:bCs w:val="0"/>
          <w:iCs w:val="0"/>
          <w:color w:val="auto"/>
          <w:sz w:val="21"/>
          <w:szCs w:val="24"/>
        </w:rPr>
        <w:t xml:space="preserve">. </w:t>
      </w:r>
      <w:r w:rsidR="009F655E">
        <w:rPr>
          <w:rFonts w:eastAsia="MS Mincho" w:cs="Times New Roman"/>
          <w:b w:val="0"/>
          <w:bCs w:val="0"/>
          <w:iCs w:val="0"/>
          <w:color w:val="auto"/>
          <w:sz w:val="21"/>
          <w:szCs w:val="24"/>
        </w:rPr>
        <w:t>In this case, the distribution will have to adjust its variance and skewness to meet the mode: hence, an optimistic ad-hoc mode (larger than the unconstrained mode) will result in inflated downside risks</w:t>
      </w:r>
      <w:r w:rsidR="003046E7">
        <w:rPr>
          <w:rFonts w:eastAsia="MS Mincho" w:cs="Times New Roman"/>
          <w:b w:val="0"/>
          <w:bCs w:val="0"/>
          <w:iCs w:val="0"/>
          <w:color w:val="auto"/>
          <w:sz w:val="21"/>
          <w:szCs w:val="24"/>
        </w:rPr>
        <w:t xml:space="preserve"> and vice-versa for pessimistic constrained mode. Hence, the GaR tool can also be used</w:t>
      </w:r>
      <w:r w:rsidR="00CC4AB4">
        <w:rPr>
          <w:rFonts w:eastAsia="MS Mincho" w:cs="Times New Roman"/>
          <w:b w:val="0"/>
          <w:bCs w:val="0"/>
          <w:iCs w:val="0"/>
          <w:color w:val="auto"/>
          <w:sz w:val="21"/>
          <w:szCs w:val="24"/>
        </w:rPr>
        <w:t xml:space="preserve"> as a “reality-check” to put into perspective the results of a</w:t>
      </w:r>
      <w:r w:rsidR="00AD139F">
        <w:rPr>
          <w:rFonts w:eastAsia="MS Mincho" w:cs="Times New Roman"/>
          <w:b w:val="0"/>
          <w:bCs w:val="0"/>
          <w:iCs w:val="0"/>
          <w:color w:val="auto"/>
          <w:sz w:val="21"/>
          <w:szCs w:val="24"/>
        </w:rPr>
        <w:t xml:space="preserve"> point-</w:t>
      </w:r>
      <w:r w:rsidR="00CC4AB4">
        <w:rPr>
          <w:rFonts w:eastAsia="MS Mincho" w:cs="Times New Roman"/>
          <w:b w:val="0"/>
          <w:bCs w:val="0"/>
          <w:iCs w:val="0"/>
          <w:color w:val="auto"/>
          <w:sz w:val="21"/>
          <w:szCs w:val="24"/>
        </w:rPr>
        <w:t>forecast model.</w:t>
      </w:r>
    </w:p>
    <w:p w14:paraId="0877DB98" w14:textId="5B191A59" w:rsidR="001B27A8" w:rsidRPr="007C62BB" w:rsidRDefault="001B27A8" w:rsidP="001B27A8">
      <w:pPr>
        <w:jc w:val="center"/>
      </w:pPr>
      <w:r w:rsidRPr="007C62BB">
        <w:rPr>
          <w:b/>
          <w:i/>
          <w:color w:val="31849B" w:themeColor="accent5" w:themeShade="BF"/>
        </w:rPr>
        <w:t xml:space="preserve">Figure </w:t>
      </w:r>
      <w:r w:rsidR="005F07E6">
        <w:rPr>
          <w:b/>
          <w:i/>
          <w:color w:val="31849B" w:themeColor="accent5" w:themeShade="BF"/>
        </w:rPr>
        <w:t>5.</w:t>
      </w:r>
      <w:r w:rsidRPr="007C62BB">
        <w:rPr>
          <w:b/>
          <w:i/>
          <w:color w:val="31849B" w:themeColor="accent5" w:themeShade="BF"/>
        </w:rPr>
        <w:t xml:space="preserve"> Output Example: Tskew Fit and GaR at 5- and 10-percent</w:t>
      </w:r>
      <w:r w:rsidRPr="007C62BB">
        <w:rPr>
          <w:noProof/>
        </w:rPr>
        <w:t xml:space="preserve"> </w:t>
      </w:r>
      <w:r>
        <w:rPr>
          <w:noProof/>
        </w:rPr>
        <w:drawing>
          <wp:anchor distT="0" distB="0" distL="114300" distR="114300" simplePos="0" relativeHeight="251837440" behindDoc="0" locked="0" layoutInCell="1" allowOverlap="1" wp14:anchorId="0E366708" wp14:editId="77CF9C3B">
            <wp:simplePos x="0" y="0"/>
            <wp:positionH relativeFrom="margin">
              <wp:align>right</wp:align>
            </wp:positionH>
            <wp:positionV relativeFrom="paragraph">
              <wp:posOffset>322263</wp:posOffset>
            </wp:positionV>
            <wp:extent cx="5906770" cy="2747645"/>
            <wp:effectExtent l="0" t="0" r="0" b="0"/>
            <wp:wrapTopAndBottom/>
            <wp:docPr id="10" name="MyPlot">
              <a:extLst xmlns:a="http://schemas.openxmlformats.org/drawingml/2006/main">
                <a:ext uri="{FF2B5EF4-FFF2-40B4-BE49-F238E27FC236}">
                  <a16:creationId xmlns:a16="http://schemas.microsoft.com/office/drawing/2014/main" id="{00000000-0008-0000-0600-00000B000000}"/>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MyPlot">
                      <a:extLst>
                        <a:ext uri="{FF2B5EF4-FFF2-40B4-BE49-F238E27FC236}">
                          <a16:creationId xmlns:a16="http://schemas.microsoft.com/office/drawing/2014/main" id="{00000000-0008-0000-0600-00000B000000}"/>
                        </a:ext>
                      </a:extLst>
                    </pic:cNvPr>
                    <pic:cNvPicPr>
                      <a:picLock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06770" cy="2747645"/>
                    </a:xfrm>
                    <a:prstGeom prst="rect">
                      <a:avLst/>
                    </a:prstGeom>
                  </pic:spPr>
                </pic:pic>
              </a:graphicData>
            </a:graphic>
            <wp14:sizeRelH relativeFrom="page">
              <wp14:pctWidth>0</wp14:pctWidth>
            </wp14:sizeRelH>
            <wp14:sizeRelV relativeFrom="page">
              <wp14:pctHeight>0</wp14:pctHeight>
            </wp14:sizeRelV>
          </wp:anchor>
        </w:drawing>
      </w:r>
    </w:p>
    <w:p w14:paraId="4404B6EC" w14:textId="03EA494A" w:rsidR="001B27A8" w:rsidRPr="007C62BB" w:rsidRDefault="001B27A8" w:rsidP="001B27A8"/>
    <w:p w14:paraId="4E0A4F48" w14:textId="798ECE87" w:rsidR="001B27A8" w:rsidRPr="007C62BB" w:rsidRDefault="001B27A8" w:rsidP="001B27A8"/>
    <w:p w14:paraId="2B919FCC" w14:textId="1B18EC53" w:rsidR="00522690" w:rsidRDefault="00DD1DF8" w:rsidP="00522690">
      <w:pPr>
        <w:pStyle w:val="ListParagraph"/>
        <w:numPr>
          <w:ilvl w:val="0"/>
          <w:numId w:val="19"/>
        </w:numPr>
        <w:spacing w:after="160" w:line="259" w:lineRule="auto"/>
        <w:rPr>
          <w:b/>
          <w:sz w:val="28"/>
        </w:rPr>
      </w:pPr>
      <w:r>
        <w:rPr>
          <w:b/>
          <w:sz w:val="28"/>
        </w:rPr>
        <w:t>P</w:t>
      </w:r>
      <w:r w:rsidR="00F217E4">
        <w:rPr>
          <w:b/>
          <w:sz w:val="28"/>
        </w:rPr>
        <w:t xml:space="preserve">arameters </w:t>
      </w:r>
      <w:r>
        <w:rPr>
          <w:b/>
          <w:sz w:val="28"/>
        </w:rPr>
        <w:t>Historical D</w:t>
      </w:r>
      <w:r w:rsidR="00522690">
        <w:rPr>
          <w:b/>
          <w:sz w:val="28"/>
        </w:rPr>
        <w:t>istribution</w:t>
      </w:r>
    </w:p>
    <w:p w14:paraId="12CDEAC4" w14:textId="3E7B3EB0" w:rsidR="00522690" w:rsidRDefault="00522690" w:rsidP="00522690">
      <w:pPr>
        <w:spacing w:after="160" w:line="259" w:lineRule="auto"/>
      </w:pPr>
      <w:r>
        <w:t xml:space="preserve">The fourth step is optional: it gives the possibility to re-run the Tskew fit </w:t>
      </w:r>
      <w:r w:rsidR="000E010E">
        <w:t>across time</w:t>
      </w:r>
      <w:r>
        <w:t xml:space="preserve">. The distribution fit is done with unconstrained parameters </w:t>
      </w:r>
      <w:r w:rsidR="000E010E">
        <w:t xml:space="preserve">(else it would require the user to </w:t>
      </w:r>
      <w:r w:rsidR="00720DC4">
        <w:t>the entire vintage series of</w:t>
      </w:r>
      <w:r w:rsidR="000E010E">
        <w:t xml:space="preserve"> mode forecast</w:t>
      </w:r>
      <w:r w:rsidR="00FE3937">
        <w:t>s</w:t>
      </w:r>
      <w:r w:rsidR="000E010E">
        <w:t xml:space="preserve"> over the </w:t>
      </w:r>
      <w:r w:rsidR="00FE3937">
        <w:t xml:space="preserve">entire </w:t>
      </w:r>
      <w:r w:rsidR="000E010E">
        <w:t xml:space="preserve">time horizon) based on the same approach as in step 3. However, as explained above, the conditional future growth density forecast depends on two sources of information: the beta coefficients from the quantile regression and the set of regressors from which the quantiles are computed upon. To make the GaR estimates </w:t>
      </w:r>
      <w:r w:rsidR="003B75B6">
        <w:t xml:space="preserve">easy to compare across time, and to avoid </w:t>
      </w:r>
      <w:r w:rsidR="0013466E">
        <w:t xml:space="preserve">estimating </w:t>
      </w:r>
      <w:r w:rsidR="003B75B6">
        <w:t>quantile regressions on very limited</w:t>
      </w:r>
      <w:r w:rsidR="00F22EEB">
        <w:t xml:space="preserve"> sample (especially at the beginning of the time series), the tool uses the same quantile coefficients as the ones obtained from step 2, using the </w:t>
      </w:r>
      <w:r w:rsidR="006F1444">
        <w:t>entire time-</w:t>
      </w:r>
      <w:r w:rsidR="00F22EEB">
        <w:t xml:space="preserve">series. Hence, the only source of heterogeneity is in the regressors. </w:t>
      </w:r>
    </w:p>
    <w:p w14:paraId="3A610590" w14:textId="1EE9BAA1" w:rsidR="00F22EEB" w:rsidRDefault="00F22EEB" w:rsidP="00522690">
      <w:pPr>
        <w:spacing w:after="160" w:line="259" w:lineRule="auto"/>
      </w:pPr>
      <w:r>
        <w:t>Technically, thi</w:t>
      </w:r>
      <w:r w:rsidR="00F17481">
        <w:t>s approach assumes that there are</w:t>
      </w:r>
      <w:r>
        <w:t xml:space="preserve"> no structural breaks</w:t>
      </w:r>
      <w:r w:rsidR="00002AEF">
        <w:t xml:space="preserve"> in the data</w:t>
      </w:r>
      <w:r>
        <w:t xml:space="preserve"> and therefore the quantile estimator is </w:t>
      </w:r>
      <w:r w:rsidR="004C2E9E">
        <w:t xml:space="preserve">asymptotically </w:t>
      </w:r>
      <w:r>
        <w:t>con</w:t>
      </w:r>
      <w:r w:rsidR="00015A2E">
        <w:t>sistent: by using the full time-</w:t>
      </w:r>
      <w:r>
        <w:t xml:space="preserve">series to estimate the beta coefficients, the tool assumes that the estimated </w:t>
      </w:r>
      <w:r w:rsidR="00AB1C42">
        <w:t xml:space="preserve">beta coefficients </w:t>
      </w:r>
      <w:r>
        <w:t>will converge to the true “</w:t>
      </w:r>
      <w:r w:rsidR="007411DF">
        <w:t>a</w:t>
      </w:r>
      <w:r w:rsidR="00137E6D">
        <w:t>-</w:t>
      </w:r>
      <w:r>
        <w:lastRenderedPageBreak/>
        <w:t>temporal” value</w:t>
      </w:r>
      <w:r w:rsidR="00656661">
        <w:t>, as</w:t>
      </w:r>
      <w:r>
        <w:t xml:space="preserve"> the sample size</w:t>
      </w:r>
      <w:r w:rsidR="00656661">
        <w:t xml:space="preserve"> increases</w:t>
      </w:r>
      <w:r>
        <w:t xml:space="preserve">. </w:t>
      </w:r>
      <w:r w:rsidR="00F217E4">
        <w:t>This is a reasonable assumption given the limited sample size in macro time series. However, should the user wish to recover the same beta as would be available to a forecaster i</w:t>
      </w:r>
      <w:r w:rsidR="004D6986">
        <w:t xml:space="preserve">n the past, it can simply restrict the input </w:t>
      </w:r>
      <w:r w:rsidR="00137E6D">
        <w:t xml:space="preserve">sample to </w:t>
      </w:r>
      <w:r w:rsidR="004D6986">
        <w:t>a particular point in time.</w:t>
      </w:r>
    </w:p>
    <w:p w14:paraId="07A96990" w14:textId="215A74C1" w:rsidR="005F07E6" w:rsidRPr="002163BD" w:rsidRDefault="005F07E6" w:rsidP="005F07E6">
      <w:pPr>
        <w:spacing w:after="160" w:line="259" w:lineRule="auto"/>
        <w:jc w:val="center"/>
        <w:rPr>
          <w:b/>
        </w:rPr>
      </w:pPr>
      <w:r w:rsidRPr="002163BD">
        <w:rPr>
          <w:b/>
          <w:i/>
          <w:color w:val="31849B" w:themeColor="accent5" w:themeShade="BF"/>
        </w:rPr>
        <w:t>Figure 6. Output Example: Historical Time-Series of GaR at 10-percent</w:t>
      </w:r>
    </w:p>
    <w:p w14:paraId="7D99D18E" w14:textId="1C087C07" w:rsidR="005F07E6" w:rsidRDefault="005F07E6" w:rsidP="00522690">
      <w:pPr>
        <w:spacing w:after="160" w:line="259" w:lineRule="auto"/>
      </w:pPr>
      <w:r>
        <w:rPr>
          <w:noProof/>
        </w:rPr>
        <w:drawing>
          <wp:inline distT="0" distB="0" distL="0" distR="0" wp14:anchorId="0C8ADADC" wp14:editId="514174D7">
            <wp:extent cx="5906770" cy="3236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6770" cy="3236595"/>
                    </a:xfrm>
                    <a:prstGeom prst="rect">
                      <a:avLst/>
                    </a:prstGeom>
                  </pic:spPr>
                </pic:pic>
              </a:graphicData>
            </a:graphic>
          </wp:inline>
        </w:drawing>
      </w:r>
    </w:p>
    <w:p w14:paraId="2A2F5010" w14:textId="741F4A2E" w:rsidR="005F07E6" w:rsidRDefault="005F07E6" w:rsidP="00522690">
      <w:pPr>
        <w:spacing w:after="160" w:line="259" w:lineRule="auto"/>
      </w:pPr>
    </w:p>
    <w:p w14:paraId="7FF6268F" w14:textId="7696DC73" w:rsidR="00B72607" w:rsidRDefault="00B72607" w:rsidP="00B72607">
      <w:pPr>
        <w:pStyle w:val="ListParagraph"/>
        <w:numPr>
          <w:ilvl w:val="0"/>
          <w:numId w:val="19"/>
        </w:numPr>
        <w:spacing w:after="160" w:line="259" w:lineRule="auto"/>
        <w:rPr>
          <w:b/>
          <w:sz w:val="28"/>
        </w:rPr>
      </w:pPr>
      <w:r>
        <w:rPr>
          <w:b/>
          <w:sz w:val="28"/>
        </w:rPr>
        <w:t>Counterfactual Scenarios Analysis</w:t>
      </w:r>
    </w:p>
    <w:p w14:paraId="14941853" w14:textId="7ACC39A1" w:rsidR="003C35F0" w:rsidRPr="003C35F0" w:rsidRDefault="003C35F0" w:rsidP="003C35F0">
      <w:pPr>
        <w:spacing w:after="160" w:line="259" w:lineRule="auto"/>
      </w:pPr>
      <w:r w:rsidRPr="003C35F0">
        <w:t>Final</w:t>
      </w:r>
      <w:r>
        <w:t>ly</w:t>
      </w:r>
      <w:r w:rsidR="00B218EE">
        <w:t>,</w:t>
      </w:r>
      <w:r>
        <w:t xml:space="preserve"> the tool offers the possibility to run counterfactual scenarios analysis</w:t>
      </w:r>
      <w:r w:rsidR="00B218EE">
        <w:t>, in a static way. It simulates the impact on a shock of the raw variables on the</w:t>
      </w:r>
      <w:r w:rsidR="0035201F">
        <w:t xml:space="preserve"> future growth distribution: it </w:t>
      </w:r>
      <w:r w:rsidR="00B218EE">
        <w:t>i</w:t>
      </w:r>
      <w:r w:rsidR="0035201F">
        <w:t>s a comparative static exercise in the sense that</w:t>
      </w:r>
      <w:r w:rsidR="00B218EE">
        <w:t xml:space="preserve"> other variables are held constant, the shock happens </w:t>
      </w:r>
      <w:r w:rsidR="00B218EE" w:rsidRPr="004B5F94">
        <w:rPr>
          <w:i/>
        </w:rPr>
        <w:t>ceteris paribus</w:t>
      </w:r>
      <w:r w:rsidR="00B218EE">
        <w:t xml:space="preserve">. The tool gives the possibility to shock one or multiple variables, either the raw variables or the partitions. </w:t>
      </w:r>
      <w:r w:rsidR="0059172A">
        <w:t>It provides two ways of shocking the variables: either in standard deviation term, or in percentage.</w:t>
      </w:r>
    </w:p>
    <w:p w14:paraId="25676E20" w14:textId="77777777" w:rsidR="0059172A" w:rsidRDefault="0059172A" w:rsidP="00C12C53">
      <w:pPr>
        <w:pStyle w:val="Heading2"/>
        <w:numPr>
          <w:ilvl w:val="0"/>
          <w:numId w:val="0"/>
        </w:numPr>
        <w:spacing w:after="240"/>
        <w:rPr>
          <w:rFonts w:eastAsia="MS Mincho" w:cs="Times New Roman"/>
          <w:i/>
          <w:iCs w:val="0"/>
          <w:color w:val="auto"/>
          <w:sz w:val="21"/>
        </w:rPr>
      </w:pPr>
      <w:r w:rsidRPr="0059172A">
        <w:rPr>
          <w:rFonts w:eastAsia="MS Mincho" w:cs="Times New Roman"/>
          <w:i/>
          <w:iCs w:val="0"/>
          <w:color w:val="auto"/>
          <w:sz w:val="21"/>
        </w:rPr>
        <w:t>Shock on the partitions</w:t>
      </w:r>
    </w:p>
    <w:p w14:paraId="0F21F6FA" w14:textId="26F18AAE" w:rsidR="00620304" w:rsidRDefault="0059172A" w:rsidP="00C12C53">
      <w:pPr>
        <w:pStyle w:val="Heading2"/>
        <w:numPr>
          <w:ilvl w:val="0"/>
          <w:numId w:val="0"/>
        </w:numPr>
        <w:spacing w:after="240"/>
        <w:rPr>
          <w:rFonts w:eastAsia="MS Mincho" w:cs="Times New Roman"/>
          <w:b w:val="0"/>
          <w:bCs w:val="0"/>
          <w:iCs w:val="0"/>
          <w:color w:val="auto"/>
          <w:sz w:val="21"/>
          <w:szCs w:val="24"/>
        </w:rPr>
      </w:pPr>
      <w:r w:rsidRPr="0059172A">
        <w:rPr>
          <w:rFonts w:eastAsia="MS Mincho" w:cs="Times New Roman"/>
          <w:b w:val="0"/>
          <w:bCs w:val="0"/>
          <w:iCs w:val="0"/>
          <w:color w:val="auto"/>
          <w:sz w:val="21"/>
          <w:szCs w:val="24"/>
        </w:rPr>
        <w:lastRenderedPageBreak/>
        <w:t>This is the easiest case</w:t>
      </w:r>
      <w:r>
        <w:rPr>
          <w:rFonts w:eastAsia="MS Mincho" w:cs="Times New Roman"/>
          <w:b w:val="0"/>
          <w:bCs w:val="0"/>
          <w:iCs w:val="0"/>
          <w:color w:val="auto"/>
          <w:sz w:val="21"/>
          <w:szCs w:val="24"/>
        </w:rPr>
        <w:t xml:space="preserve">. Using the quantile regressions estimated in step 2, the tool estimates conditional quantiles based on counterfactual partitions </w:t>
      </w:r>
      <m:oMath>
        <m:acc>
          <m:accPr>
            <m:chr m:val="̃"/>
            <m:ctrlPr>
              <w:rPr>
                <w:rFonts w:ascii="Cambria Math" w:eastAsia="MS Mincho" w:hAnsi="Cambria Math" w:cs="Times New Roman"/>
                <w:b w:val="0"/>
                <w:bCs w:val="0"/>
                <w:iCs w:val="0"/>
                <w:color w:val="auto"/>
                <w:sz w:val="21"/>
                <w:szCs w:val="24"/>
              </w:rPr>
            </m:ctrlPr>
          </m:accPr>
          <m:e>
            <m:sSub>
              <m:sSubPr>
                <m:ctrlPr>
                  <w:rPr>
                    <w:rFonts w:ascii="Cambria Math" w:eastAsia="MS Mincho" w:hAnsi="Cambria Math" w:cs="Times New Roman"/>
                    <w:b w:val="0"/>
                    <w:bCs w:val="0"/>
                    <w:iCs w:val="0"/>
                    <w:color w:val="auto"/>
                    <w:sz w:val="21"/>
                    <w:szCs w:val="24"/>
                  </w:rPr>
                </m:ctrlPr>
              </m:sSubPr>
              <m:e>
                <m:r>
                  <m:rPr>
                    <m:sty m:val="bi"/>
                  </m:rPr>
                  <w:rPr>
                    <w:rFonts w:ascii="Cambria Math" w:eastAsia="MS Mincho" w:hAnsi="Cambria Math" w:cs="Times New Roman"/>
                    <w:color w:val="auto"/>
                    <w:sz w:val="21"/>
                    <w:szCs w:val="24"/>
                  </w:rPr>
                  <m:t>X</m:t>
                </m:r>
              </m:e>
              <m:sub>
                <m:r>
                  <m:rPr>
                    <m:sty m:val="bi"/>
                  </m:rPr>
                  <w:rPr>
                    <w:rFonts w:ascii="Cambria Math" w:eastAsia="MS Mincho" w:hAnsi="Cambria Math" w:cs="Times New Roman"/>
                    <w:color w:val="auto"/>
                    <w:sz w:val="21"/>
                    <w:szCs w:val="24"/>
                  </w:rPr>
                  <m:t>i</m:t>
                </m:r>
                <m:r>
                  <m:rPr>
                    <m:sty m:val="b"/>
                  </m:rPr>
                  <w:rPr>
                    <w:rFonts w:ascii="Cambria Math" w:eastAsia="MS Mincho" w:hAnsi="Cambria Math" w:cs="Times New Roman"/>
                    <w:color w:val="auto"/>
                    <w:sz w:val="21"/>
                    <w:szCs w:val="24"/>
                  </w:rPr>
                  <m:t xml:space="preserve">, </m:t>
                </m:r>
                <m:r>
                  <m:rPr>
                    <m:sty m:val="bi"/>
                  </m:rPr>
                  <w:rPr>
                    <w:rFonts w:ascii="Cambria Math" w:eastAsia="MS Mincho" w:hAnsi="Cambria Math" w:cs="Times New Roman"/>
                    <w:color w:val="auto"/>
                    <w:sz w:val="21"/>
                    <w:szCs w:val="24"/>
                  </w:rPr>
                  <m:t>t</m:t>
                </m:r>
              </m:sub>
            </m:sSub>
          </m:e>
        </m:acc>
      </m:oMath>
      <w:r w:rsidR="00DB0470">
        <w:rPr>
          <w:rFonts w:eastAsia="MS Mincho" w:cs="Times New Roman"/>
          <w:b w:val="0"/>
          <w:bCs w:val="0"/>
          <w:iCs w:val="0"/>
          <w:color w:val="auto"/>
          <w:sz w:val="21"/>
          <w:szCs w:val="24"/>
        </w:rPr>
        <w:t xml:space="preserve"> = </w:t>
      </w:r>
      <m:oMath>
        <m:sSub>
          <m:sSubPr>
            <m:ctrlPr>
              <w:rPr>
                <w:rFonts w:ascii="Cambria Math" w:eastAsia="MS Mincho" w:hAnsi="Cambria Math" w:cs="Times New Roman"/>
                <w:b w:val="0"/>
                <w:bCs w:val="0"/>
                <w:iCs w:val="0"/>
                <w:color w:val="auto"/>
                <w:sz w:val="21"/>
                <w:szCs w:val="24"/>
              </w:rPr>
            </m:ctrlPr>
          </m:sSubPr>
          <m:e>
            <m:r>
              <m:rPr>
                <m:sty m:val="bi"/>
              </m:rPr>
              <w:rPr>
                <w:rFonts w:ascii="Cambria Math" w:eastAsia="MS Mincho" w:hAnsi="Cambria Math" w:cs="Times New Roman"/>
                <w:color w:val="auto"/>
                <w:sz w:val="21"/>
                <w:szCs w:val="24"/>
              </w:rPr>
              <m:t>X</m:t>
            </m:r>
          </m:e>
          <m:sub>
            <m:r>
              <m:rPr>
                <m:sty m:val="bi"/>
              </m:rPr>
              <w:rPr>
                <w:rFonts w:ascii="Cambria Math" w:eastAsia="MS Mincho" w:hAnsi="Cambria Math" w:cs="Times New Roman"/>
                <w:color w:val="auto"/>
                <w:sz w:val="21"/>
                <w:szCs w:val="24"/>
              </w:rPr>
              <m:t>i</m:t>
            </m:r>
            <m:r>
              <m:rPr>
                <m:sty m:val="b"/>
              </m:rPr>
              <w:rPr>
                <w:rFonts w:ascii="Cambria Math" w:eastAsia="MS Mincho" w:hAnsi="Cambria Math" w:cs="Times New Roman"/>
                <w:color w:val="auto"/>
                <w:sz w:val="21"/>
                <w:szCs w:val="24"/>
              </w:rPr>
              <m:t xml:space="preserve">, </m:t>
            </m:r>
            <m:r>
              <m:rPr>
                <m:sty m:val="bi"/>
              </m:rPr>
              <w:rPr>
                <w:rFonts w:ascii="Cambria Math" w:eastAsia="MS Mincho" w:hAnsi="Cambria Math" w:cs="Times New Roman"/>
                <w:color w:val="auto"/>
                <w:sz w:val="21"/>
                <w:szCs w:val="24"/>
              </w:rPr>
              <m:t>t</m:t>
            </m:r>
          </m:sub>
        </m:sSub>
        <m:r>
          <m:rPr>
            <m:sty m:val="b"/>
          </m:rPr>
          <w:rPr>
            <w:rFonts w:ascii="Cambria Math" w:eastAsia="MS Mincho" w:hAnsi="Cambria Math" w:cs="Times New Roman"/>
            <w:color w:val="auto"/>
            <w:sz w:val="21"/>
            <w:szCs w:val="24"/>
          </w:rPr>
          <m:t>*(1+</m:t>
        </m:r>
        <m:r>
          <m:rPr>
            <m:sty m:val="bi"/>
          </m:rPr>
          <w:rPr>
            <w:rFonts w:ascii="Cambria Math" w:eastAsia="MS Mincho" w:hAnsi="Cambria Math" w:cs="Times New Roman"/>
            <w:color w:val="auto"/>
            <w:sz w:val="21"/>
            <w:szCs w:val="24"/>
          </w:rPr>
          <m:t>shock</m:t>
        </m:r>
      </m:oMath>
      <w:r w:rsidR="007E1DBF" w:rsidRPr="007E1DBF">
        <w:rPr>
          <w:rFonts w:eastAsia="MS Mincho" w:cs="Times New Roman"/>
          <w:b w:val="0"/>
          <w:bCs w:val="0"/>
          <w:iCs w:val="0"/>
          <w:color w:val="auto"/>
          <w:sz w:val="21"/>
          <w:szCs w:val="24"/>
        </w:rPr>
        <w:t>)</w:t>
      </w:r>
    </w:p>
    <w:p w14:paraId="6D9D615C" w14:textId="06FA7F42" w:rsidR="00620304" w:rsidRPr="00420A49" w:rsidRDefault="00AE1FF5" w:rsidP="00620304">
      <w:pPr>
        <w:spacing w:after="160" w:line="259" w:lineRule="auto"/>
        <w:ind w:firstLine="360"/>
        <w:rPr>
          <w:rFonts w:ascii="Calibri" w:eastAsia="SimSun" w:hAnsi="Calibri"/>
          <w:sz w:val="22"/>
          <w:szCs w:val="22"/>
          <w:lang w:eastAsia="zh-CN"/>
        </w:rPr>
      </w:pPr>
      <m:oMathPara>
        <m:oMath>
          <m:acc>
            <m:accPr>
              <m:chr m:val="̃"/>
              <m:ctrlPr>
                <w:rPr>
                  <w:rFonts w:ascii="Cambria Math" w:eastAsia="SimSun" w:hAnsi="Cambria Math"/>
                  <w:i/>
                  <w:sz w:val="22"/>
                  <w:szCs w:val="22"/>
                  <w:lang w:eastAsia="zh-CN"/>
                </w:rPr>
              </m:ctrlPr>
            </m:accPr>
            <m:e>
              <m:r>
                <w:rPr>
                  <w:rFonts w:ascii="Cambria Math" w:eastAsia="SimSun" w:hAnsi="Cambria Math"/>
                  <w:sz w:val="22"/>
                  <w:szCs w:val="22"/>
                  <w:lang w:eastAsia="zh-CN"/>
                </w:rPr>
                <m:t>Q</m:t>
              </m:r>
            </m:e>
          </m:acc>
          <m:d>
            <m:dPr>
              <m:ctrlPr>
                <w:rPr>
                  <w:rFonts w:ascii="Cambria Math" w:eastAsia="SimSun" w:hAnsi="Cambria Math"/>
                  <w:i/>
                  <w:sz w:val="22"/>
                  <w:szCs w:val="22"/>
                  <w:lang w:eastAsia="zh-CN"/>
                </w:rPr>
              </m:ctrlPr>
            </m:dPr>
            <m:e>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y</m:t>
                  </m:r>
                </m:e>
                <m:sub>
                  <m:r>
                    <w:rPr>
                      <w:rFonts w:ascii="Cambria Math" w:eastAsia="SimSun" w:hAnsi="Cambria Math"/>
                      <w:sz w:val="22"/>
                      <w:szCs w:val="22"/>
                      <w:lang w:eastAsia="zh-CN"/>
                    </w:rPr>
                    <m:t>t+h</m:t>
                  </m:r>
                </m:sub>
              </m:sSub>
              <m:r>
                <w:rPr>
                  <w:rFonts w:ascii="Cambria Math" w:eastAsia="SimSun" w:hAnsi="Cambria Math"/>
                  <w:sz w:val="22"/>
                  <w:szCs w:val="22"/>
                  <w:lang w:eastAsia="zh-CN"/>
                </w:rPr>
                <m:t xml:space="preserve">, τ | </m:t>
              </m:r>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m:t>
                  </m:r>
                  <m:acc>
                    <m:accPr>
                      <m:chr m:val="̃"/>
                      <m:ctrlPr>
                        <w:rPr>
                          <w:rFonts w:ascii="Cambria Math" w:hAnsi="Cambria Math"/>
                          <w:i/>
                        </w:rPr>
                      </m:ctrlPr>
                    </m:accPr>
                    <m:e>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X</m:t>
                          </m:r>
                        </m:e>
                        <m:sub>
                          <m:r>
                            <w:rPr>
                              <w:rFonts w:ascii="Cambria Math" w:eastAsia="SimSun" w:hAnsi="Cambria Math"/>
                              <w:sz w:val="22"/>
                              <w:szCs w:val="22"/>
                              <w:lang w:eastAsia="zh-CN"/>
                            </w:rPr>
                            <m:t>i, t</m:t>
                          </m:r>
                        </m:sub>
                      </m:sSub>
                    </m:e>
                  </m:acc>
                  <m:r>
                    <w:rPr>
                      <w:rFonts w:ascii="Cambria Math" w:eastAsia="SimSun" w:hAnsi="Cambria Math"/>
                      <w:sz w:val="22"/>
                      <w:szCs w:val="22"/>
                      <w:lang w:eastAsia="zh-CN"/>
                    </w:rPr>
                    <m:t>}</m:t>
                  </m:r>
                </m:e>
                <m:sub>
                  <m:r>
                    <w:rPr>
                      <w:rFonts w:ascii="Cambria Math" w:eastAsia="SimSun" w:hAnsi="Cambria Math"/>
                      <w:sz w:val="22"/>
                      <w:szCs w:val="22"/>
                      <w:lang w:eastAsia="zh-CN"/>
                    </w:rPr>
                    <m:t>i ∈P</m:t>
                  </m:r>
                </m:sub>
              </m:sSub>
            </m:e>
          </m:d>
          <m:r>
            <w:rPr>
              <w:rFonts w:ascii="Cambria Math" w:eastAsia="SimSun" w:hAnsi="Cambria Math"/>
              <w:sz w:val="22"/>
              <w:szCs w:val="22"/>
              <w:lang w:eastAsia="zh-CN"/>
            </w:rPr>
            <m:t xml:space="preserve">= </m:t>
          </m:r>
          <m:sSup>
            <m:sSupPr>
              <m:ctrlPr>
                <w:rPr>
                  <w:rFonts w:ascii="Cambria Math" w:eastAsia="SimSun" w:hAnsi="Cambria Math"/>
                  <w:i/>
                  <w:sz w:val="22"/>
                  <w:szCs w:val="22"/>
                  <w:lang w:eastAsia="zh-CN"/>
                </w:rPr>
              </m:ctrlPr>
            </m:sSupPr>
            <m:e>
              <m:acc>
                <m:accPr>
                  <m:ctrlPr>
                    <w:rPr>
                      <w:rFonts w:ascii="Cambria Math" w:eastAsia="SimSun" w:hAnsi="Cambria Math"/>
                      <w:i/>
                      <w:sz w:val="22"/>
                      <w:szCs w:val="22"/>
                      <w:lang w:eastAsia="zh-CN"/>
                    </w:rPr>
                  </m:ctrlPr>
                </m:accPr>
                <m:e>
                  <m:r>
                    <w:rPr>
                      <w:rFonts w:ascii="Cambria Math" w:eastAsia="SimSun" w:hAnsi="Cambria Math"/>
                      <w:sz w:val="22"/>
                      <w:szCs w:val="22"/>
                      <w:lang w:eastAsia="zh-CN"/>
                    </w:rPr>
                    <m:t>α</m:t>
                  </m:r>
                </m:e>
              </m:acc>
            </m:e>
            <m:sup>
              <m:r>
                <w:rPr>
                  <w:rFonts w:ascii="Cambria Math" w:eastAsia="SimSun" w:hAnsi="Cambria Math"/>
                  <w:sz w:val="22"/>
                  <w:szCs w:val="22"/>
                  <w:lang w:eastAsia="zh-CN"/>
                </w:rPr>
                <m:t>τ</m:t>
              </m:r>
            </m:sup>
          </m:sSup>
          <m:r>
            <w:rPr>
              <w:rFonts w:ascii="Cambria Math" w:eastAsia="SimSun" w:hAnsi="Cambria Math"/>
              <w:sz w:val="22"/>
              <w:szCs w:val="22"/>
              <w:lang w:eastAsia="zh-CN"/>
            </w:rPr>
            <m:t xml:space="preserve">+ </m:t>
          </m:r>
          <m:nary>
            <m:naryPr>
              <m:chr m:val="∑"/>
              <m:limLoc m:val="undOvr"/>
              <m:supHide m:val="1"/>
              <m:ctrlPr>
                <w:rPr>
                  <w:rFonts w:ascii="Cambria Math" w:eastAsia="SimSun" w:hAnsi="Cambria Math"/>
                  <w:i/>
                  <w:sz w:val="22"/>
                  <w:szCs w:val="22"/>
                  <w:lang w:eastAsia="zh-CN"/>
                </w:rPr>
              </m:ctrlPr>
            </m:naryPr>
            <m:sub>
              <m:r>
                <w:rPr>
                  <w:rFonts w:ascii="Cambria Math" w:eastAsia="SimSun" w:hAnsi="Cambria Math"/>
                  <w:sz w:val="22"/>
                  <w:szCs w:val="22"/>
                  <w:lang w:eastAsia="zh-CN"/>
                </w:rPr>
                <m:t>i ∈P</m:t>
              </m:r>
            </m:sub>
            <m:sup/>
            <m:e>
              <m:sSubSup>
                <m:sSubSupPr>
                  <m:ctrlPr>
                    <w:rPr>
                      <w:rFonts w:ascii="Cambria Math" w:eastAsia="SimSun" w:hAnsi="Cambria Math"/>
                      <w:i/>
                      <w:sz w:val="22"/>
                      <w:szCs w:val="22"/>
                      <w:lang w:eastAsia="zh-CN"/>
                    </w:rPr>
                  </m:ctrlPr>
                </m:sSubSupPr>
                <m:e>
                  <m:acc>
                    <m:accPr>
                      <m:ctrlPr>
                        <w:rPr>
                          <w:rFonts w:ascii="Cambria Math" w:eastAsia="SimSun" w:hAnsi="Cambria Math"/>
                          <w:i/>
                          <w:sz w:val="22"/>
                          <w:szCs w:val="22"/>
                          <w:lang w:eastAsia="zh-CN"/>
                        </w:rPr>
                      </m:ctrlPr>
                    </m:accPr>
                    <m:e>
                      <m:r>
                        <w:rPr>
                          <w:rFonts w:ascii="Cambria Math" w:eastAsia="SimSun" w:hAnsi="Cambria Math"/>
                          <w:sz w:val="22"/>
                          <w:szCs w:val="22"/>
                          <w:lang w:eastAsia="zh-CN"/>
                        </w:rPr>
                        <m:t>β</m:t>
                      </m:r>
                    </m:e>
                  </m:acc>
                </m:e>
                <m:sub>
                  <m:r>
                    <w:rPr>
                      <w:rFonts w:ascii="Cambria Math" w:eastAsia="SimSun" w:hAnsi="Cambria Math"/>
                      <w:sz w:val="22"/>
                      <w:szCs w:val="22"/>
                      <w:lang w:eastAsia="zh-CN"/>
                    </w:rPr>
                    <m:t>i</m:t>
                  </m:r>
                </m:sub>
                <m:sup>
                  <m:r>
                    <w:rPr>
                      <w:rFonts w:ascii="Cambria Math" w:eastAsia="SimSun" w:hAnsi="Cambria Math"/>
                      <w:sz w:val="22"/>
                      <w:szCs w:val="22"/>
                      <w:lang w:eastAsia="zh-CN"/>
                    </w:rPr>
                    <m:t>τ</m:t>
                  </m:r>
                </m:sup>
              </m:sSubSup>
              <m:acc>
                <m:accPr>
                  <m:chr m:val="̃"/>
                  <m:ctrlPr>
                    <w:rPr>
                      <w:rFonts w:ascii="Cambria Math" w:hAnsi="Cambria Math"/>
                      <w:i/>
                    </w:rPr>
                  </m:ctrlPr>
                </m:accPr>
                <m:e>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X</m:t>
                      </m:r>
                    </m:e>
                    <m:sub>
                      <m:r>
                        <w:rPr>
                          <w:rFonts w:ascii="Cambria Math" w:eastAsia="SimSun" w:hAnsi="Cambria Math"/>
                          <w:sz w:val="22"/>
                          <w:szCs w:val="22"/>
                          <w:lang w:eastAsia="zh-CN"/>
                        </w:rPr>
                        <m:t>i, t</m:t>
                      </m:r>
                    </m:sub>
                  </m:sSub>
                </m:e>
              </m:acc>
            </m:e>
          </m:nary>
        </m:oMath>
      </m:oMathPara>
    </w:p>
    <w:p w14:paraId="05222BB2" w14:textId="77777777" w:rsidR="00370C66" w:rsidRDefault="00F235AC" w:rsidP="00C12C53">
      <w:pPr>
        <w:pStyle w:val="Heading2"/>
        <w:numPr>
          <w:ilvl w:val="0"/>
          <w:numId w:val="0"/>
        </w:numPr>
        <w:spacing w:after="240"/>
        <w:rPr>
          <w:rFonts w:eastAsia="MS Mincho" w:cs="Times New Roman"/>
          <w:b w:val="0"/>
          <w:bCs w:val="0"/>
          <w:iCs w:val="0"/>
          <w:color w:val="auto"/>
          <w:sz w:val="21"/>
          <w:szCs w:val="24"/>
        </w:rPr>
      </w:pPr>
      <w:r>
        <w:rPr>
          <w:rFonts w:eastAsia="MS Mincho" w:cs="Times New Roman"/>
          <w:b w:val="0"/>
          <w:bCs w:val="0"/>
          <w:iCs w:val="0"/>
          <w:color w:val="auto"/>
          <w:sz w:val="21"/>
          <w:szCs w:val="24"/>
        </w:rPr>
        <w:t xml:space="preserve">Note that the estimated beta coefficients are the same as in the baseline regressions, hence ensuring that the scenarios are indeed comparable. </w:t>
      </w:r>
      <w:r w:rsidR="00370C66">
        <w:rPr>
          <w:rFonts w:eastAsia="MS Mincho" w:cs="Times New Roman"/>
          <w:b w:val="0"/>
          <w:bCs w:val="0"/>
          <w:iCs w:val="0"/>
          <w:color w:val="auto"/>
          <w:sz w:val="21"/>
          <w:szCs w:val="24"/>
        </w:rPr>
        <w:t xml:space="preserve"> </w:t>
      </w:r>
      <w:r w:rsidR="00D4650C" w:rsidRPr="00D4650C">
        <w:rPr>
          <w:rFonts w:eastAsia="MS Mincho" w:cs="Times New Roman"/>
          <w:b w:val="0"/>
          <w:bCs w:val="0"/>
          <w:iCs w:val="0"/>
          <w:color w:val="auto"/>
          <w:sz w:val="21"/>
          <w:szCs w:val="24"/>
        </w:rPr>
        <w:t>Base</w:t>
      </w:r>
      <w:r w:rsidR="00D4650C">
        <w:rPr>
          <w:rFonts w:eastAsia="MS Mincho" w:cs="Times New Roman"/>
          <w:b w:val="0"/>
          <w:bCs w:val="0"/>
          <w:iCs w:val="0"/>
          <w:color w:val="auto"/>
          <w:sz w:val="21"/>
          <w:szCs w:val="24"/>
        </w:rPr>
        <w:t xml:space="preserve">d on the counterfactual quantiles </w:t>
      </w:r>
      <m:oMath>
        <m:acc>
          <m:accPr>
            <m:chr m:val="̃"/>
            <m:ctrlPr>
              <w:rPr>
                <w:rFonts w:ascii="Cambria Math" w:eastAsia="MS Mincho" w:hAnsi="Cambria Math" w:cs="Times New Roman"/>
                <w:b w:val="0"/>
                <w:bCs w:val="0"/>
                <w:iCs w:val="0"/>
                <w:color w:val="auto"/>
                <w:sz w:val="21"/>
                <w:szCs w:val="24"/>
              </w:rPr>
            </m:ctrlPr>
          </m:accPr>
          <m:e>
            <m:r>
              <m:rPr>
                <m:sty m:val="bi"/>
              </m:rPr>
              <w:rPr>
                <w:rFonts w:ascii="Cambria Math" w:eastAsia="MS Mincho" w:hAnsi="Cambria Math" w:cs="Times New Roman"/>
                <w:color w:val="auto"/>
                <w:sz w:val="21"/>
                <w:szCs w:val="24"/>
              </w:rPr>
              <m:t>Q</m:t>
            </m:r>
          </m:e>
        </m:acc>
        <m:d>
          <m:dPr>
            <m:ctrlPr>
              <w:rPr>
                <w:rFonts w:ascii="Cambria Math" w:eastAsia="MS Mincho" w:hAnsi="Cambria Math" w:cs="Times New Roman"/>
                <w:b w:val="0"/>
                <w:bCs w:val="0"/>
                <w:iCs w:val="0"/>
                <w:color w:val="auto"/>
                <w:sz w:val="21"/>
                <w:szCs w:val="24"/>
              </w:rPr>
            </m:ctrlPr>
          </m:dPr>
          <m:e>
            <m:sSub>
              <m:sSubPr>
                <m:ctrlPr>
                  <w:rPr>
                    <w:rFonts w:ascii="Cambria Math" w:eastAsia="MS Mincho" w:hAnsi="Cambria Math" w:cs="Times New Roman"/>
                    <w:b w:val="0"/>
                    <w:bCs w:val="0"/>
                    <w:iCs w:val="0"/>
                    <w:color w:val="auto"/>
                    <w:sz w:val="21"/>
                    <w:szCs w:val="24"/>
                  </w:rPr>
                </m:ctrlPr>
              </m:sSubPr>
              <m:e>
                <m:r>
                  <m:rPr>
                    <m:sty m:val="bi"/>
                  </m:rPr>
                  <w:rPr>
                    <w:rFonts w:ascii="Cambria Math" w:eastAsia="MS Mincho" w:hAnsi="Cambria Math" w:cs="Times New Roman"/>
                    <w:color w:val="auto"/>
                    <w:sz w:val="21"/>
                    <w:szCs w:val="24"/>
                  </w:rPr>
                  <m:t>y</m:t>
                </m:r>
              </m:e>
              <m:sub>
                <m:r>
                  <m:rPr>
                    <m:sty m:val="bi"/>
                  </m:rPr>
                  <w:rPr>
                    <w:rFonts w:ascii="Cambria Math" w:eastAsia="MS Mincho" w:hAnsi="Cambria Math" w:cs="Times New Roman"/>
                    <w:color w:val="auto"/>
                    <w:sz w:val="21"/>
                    <w:szCs w:val="24"/>
                  </w:rPr>
                  <m:t>t</m:t>
                </m:r>
                <m:r>
                  <m:rPr>
                    <m:sty m:val="b"/>
                  </m:rPr>
                  <w:rPr>
                    <w:rFonts w:ascii="Cambria Math" w:eastAsia="MS Mincho" w:hAnsi="Cambria Math" w:cs="Times New Roman"/>
                    <w:color w:val="auto"/>
                    <w:sz w:val="21"/>
                    <w:szCs w:val="24"/>
                  </w:rPr>
                  <m:t>+</m:t>
                </m:r>
                <m:r>
                  <m:rPr>
                    <m:sty m:val="bi"/>
                  </m:rPr>
                  <w:rPr>
                    <w:rFonts w:ascii="Cambria Math" w:eastAsia="MS Mincho" w:hAnsi="Cambria Math" w:cs="Times New Roman"/>
                    <w:color w:val="auto"/>
                    <w:sz w:val="21"/>
                    <w:szCs w:val="24"/>
                  </w:rPr>
                  <m:t>h</m:t>
                </m:r>
              </m:sub>
            </m:sSub>
            <m:r>
              <m:rPr>
                <m:sty m:val="b"/>
              </m:rPr>
              <w:rPr>
                <w:rFonts w:ascii="Cambria Math" w:eastAsia="MS Mincho" w:hAnsi="Cambria Math" w:cs="Times New Roman"/>
                <w:color w:val="auto"/>
                <w:sz w:val="21"/>
                <w:szCs w:val="24"/>
              </w:rPr>
              <m:t xml:space="preserve">, </m:t>
            </m:r>
            <m:r>
              <m:rPr>
                <m:sty m:val="bi"/>
              </m:rPr>
              <w:rPr>
                <w:rFonts w:ascii="Cambria Math" w:eastAsia="MS Mincho" w:hAnsi="Cambria Math" w:cs="Times New Roman"/>
                <w:color w:val="auto"/>
                <w:sz w:val="21"/>
                <w:szCs w:val="24"/>
              </w:rPr>
              <m:t>τ</m:t>
            </m:r>
            <m:r>
              <m:rPr>
                <m:sty m:val="b"/>
              </m:rPr>
              <w:rPr>
                <w:rFonts w:ascii="Cambria Math" w:eastAsia="MS Mincho" w:hAnsi="Cambria Math" w:cs="Times New Roman"/>
                <w:color w:val="auto"/>
                <w:sz w:val="21"/>
                <w:szCs w:val="24"/>
              </w:rPr>
              <m:t xml:space="preserve"> | </m:t>
            </m:r>
            <m:sSub>
              <m:sSubPr>
                <m:ctrlPr>
                  <w:rPr>
                    <w:rFonts w:ascii="Cambria Math" w:eastAsia="MS Mincho" w:hAnsi="Cambria Math" w:cs="Times New Roman"/>
                    <w:b w:val="0"/>
                    <w:bCs w:val="0"/>
                    <w:iCs w:val="0"/>
                    <w:color w:val="auto"/>
                    <w:sz w:val="21"/>
                    <w:szCs w:val="24"/>
                  </w:rPr>
                </m:ctrlPr>
              </m:sSubPr>
              <m:e>
                <m:r>
                  <m:rPr>
                    <m:sty m:val="b"/>
                  </m:rPr>
                  <w:rPr>
                    <w:rFonts w:ascii="Cambria Math" w:eastAsia="MS Mincho" w:hAnsi="Cambria Math" w:cs="Times New Roman"/>
                    <w:color w:val="auto"/>
                    <w:sz w:val="21"/>
                    <w:szCs w:val="24"/>
                  </w:rPr>
                  <m:t>{</m:t>
                </m:r>
                <m:acc>
                  <m:accPr>
                    <m:chr m:val="̃"/>
                    <m:ctrlPr>
                      <w:rPr>
                        <w:rFonts w:ascii="Cambria Math" w:eastAsia="MS Mincho" w:hAnsi="Cambria Math" w:cs="Times New Roman"/>
                        <w:b w:val="0"/>
                        <w:bCs w:val="0"/>
                        <w:iCs w:val="0"/>
                        <w:color w:val="auto"/>
                        <w:sz w:val="21"/>
                        <w:szCs w:val="24"/>
                      </w:rPr>
                    </m:ctrlPr>
                  </m:accPr>
                  <m:e>
                    <m:sSub>
                      <m:sSubPr>
                        <m:ctrlPr>
                          <w:rPr>
                            <w:rFonts w:ascii="Cambria Math" w:eastAsia="MS Mincho" w:hAnsi="Cambria Math" w:cs="Times New Roman"/>
                            <w:b w:val="0"/>
                            <w:bCs w:val="0"/>
                            <w:iCs w:val="0"/>
                            <w:color w:val="auto"/>
                            <w:sz w:val="21"/>
                            <w:szCs w:val="24"/>
                          </w:rPr>
                        </m:ctrlPr>
                      </m:sSubPr>
                      <m:e>
                        <m:r>
                          <m:rPr>
                            <m:sty m:val="bi"/>
                          </m:rPr>
                          <w:rPr>
                            <w:rFonts w:ascii="Cambria Math" w:eastAsia="MS Mincho" w:hAnsi="Cambria Math" w:cs="Times New Roman"/>
                            <w:color w:val="auto"/>
                            <w:sz w:val="21"/>
                            <w:szCs w:val="24"/>
                          </w:rPr>
                          <m:t>X</m:t>
                        </m:r>
                      </m:e>
                      <m:sub>
                        <m:r>
                          <m:rPr>
                            <m:sty m:val="bi"/>
                          </m:rPr>
                          <w:rPr>
                            <w:rFonts w:ascii="Cambria Math" w:eastAsia="MS Mincho" w:hAnsi="Cambria Math" w:cs="Times New Roman"/>
                            <w:color w:val="auto"/>
                            <w:sz w:val="21"/>
                            <w:szCs w:val="24"/>
                          </w:rPr>
                          <m:t>i</m:t>
                        </m:r>
                        <m:r>
                          <m:rPr>
                            <m:sty m:val="b"/>
                          </m:rPr>
                          <w:rPr>
                            <w:rFonts w:ascii="Cambria Math" w:eastAsia="MS Mincho" w:hAnsi="Cambria Math" w:cs="Times New Roman"/>
                            <w:color w:val="auto"/>
                            <w:sz w:val="21"/>
                            <w:szCs w:val="24"/>
                          </w:rPr>
                          <m:t xml:space="preserve">, </m:t>
                        </m:r>
                        <m:r>
                          <m:rPr>
                            <m:sty m:val="bi"/>
                          </m:rPr>
                          <w:rPr>
                            <w:rFonts w:ascii="Cambria Math" w:eastAsia="MS Mincho" w:hAnsi="Cambria Math" w:cs="Times New Roman"/>
                            <w:color w:val="auto"/>
                            <w:sz w:val="21"/>
                            <w:szCs w:val="24"/>
                          </w:rPr>
                          <m:t>t</m:t>
                        </m:r>
                      </m:sub>
                    </m:sSub>
                  </m:e>
                </m:acc>
                <m:r>
                  <m:rPr>
                    <m:sty m:val="b"/>
                  </m:rPr>
                  <w:rPr>
                    <w:rFonts w:ascii="Cambria Math" w:eastAsia="MS Mincho" w:hAnsi="Cambria Math" w:cs="Times New Roman"/>
                    <w:color w:val="auto"/>
                    <w:sz w:val="21"/>
                    <w:szCs w:val="24"/>
                  </w:rPr>
                  <m:t>}</m:t>
                </m:r>
              </m:e>
              <m:sub>
                <m:r>
                  <m:rPr>
                    <m:sty m:val="bi"/>
                  </m:rPr>
                  <w:rPr>
                    <w:rFonts w:ascii="Cambria Math" w:eastAsia="MS Mincho" w:hAnsi="Cambria Math" w:cs="Times New Roman"/>
                    <w:color w:val="auto"/>
                    <w:sz w:val="21"/>
                    <w:szCs w:val="24"/>
                  </w:rPr>
                  <m:t>i</m:t>
                </m:r>
                <m:r>
                  <m:rPr>
                    <m:sty m:val="b"/>
                  </m:rPr>
                  <w:rPr>
                    <w:rFonts w:ascii="Cambria Math" w:eastAsia="MS Mincho" w:hAnsi="Cambria Math" w:cs="Times New Roman"/>
                    <w:color w:val="auto"/>
                    <w:sz w:val="21"/>
                    <w:szCs w:val="24"/>
                  </w:rPr>
                  <m:t xml:space="preserve"> ∈</m:t>
                </m:r>
                <m:r>
                  <m:rPr>
                    <m:sty m:val="bi"/>
                  </m:rPr>
                  <w:rPr>
                    <w:rFonts w:ascii="Cambria Math" w:eastAsia="MS Mincho" w:hAnsi="Cambria Math" w:cs="Times New Roman"/>
                    <w:color w:val="auto"/>
                    <w:sz w:val="21"/>
                    <w:szCs w:val="24"/>
                  </w:rPr>
                  <m:t>P</m:t>
                </m:r>
              </m:sub>
            </m:sSub>
          </m:e>
        </m:d>
      </m:oMath>
      <w:r w:rsidR="00D4650C">
        <w:rPr>
          <w:rFonts w:eastAsia="MS Mincho" w:cs="Times New Roman"/>
          <w:b w:val="0"/>
          <w:bCs w:val="0"/>
          <w:iCs w:val="0"/>
          <w:color w:val="auto"/>
          <w:sz w:val="21"/>
          <w:szCs w:val="24"/>
        </w:rPr>
        <w:t xml:space="preserve">, the tool now estimates the </w:t>
      </w:r>
      <w:r w:rsidR="00EE049E">
        <w:rPr>
          <w:rFonts w:eastAsia="MS Mincho" w:cs="Times New Roman"/>
          <w:b w:val="0"/>
          <w:bCs w:val="0"/>
          <w:iCs w:val="0"/>
          <w:color w:val="auto"/>
          <w:sz w:val="21"/>
          <w:szCs w:val="24"/>
        </w:rPr>
        <w:t>Tskew distribution as in step 3 and also provides the possibility to have unconstrained and constrained mode.</w:t>
      </w:r>
    </w:p>
    <w:p w14:paraId="07EEC921" w14:textId="252B8506" w:rsidR="00370C66" w:rsidRDefault="00370C66" w:rsidP="00370C66">
      <w:pPr>
        <w:pStyle w:val="Heading2"/>
        <w:numPr>
          <w:ilvl w:val="0"/>
          <w:numId w:val="0"/>
        </w:numPr>
        <w:spacing w:after="240"/>
        <w:rPr>
          <w:rFonts w:eastAsia="MS Mincho" w:cs="Times New Roman"/>
          <w:i/>
          <w:iCs w:val="0"/>
          <w:color w:val="auto"/>
          <w:sz w:val="21"/>
        </w:rPr>
      </w:pPr>
      <w:r w:rsidRPr="0059172A">
        <w:rPr>
          <w:rFonts w:eastAsia="MS Mincho" w:cs="Times New Roman"/>
          <w:i/>
          <w:iCs w:val="0"/>
          <w:color w:val="auto"/>
          <w:sz w:val="21"/>
        </w:rPr>
        <w:t xml:space="preserve">Shock on the </w:t>
      </w:r>
      <w:r w:rsidR="007D3C49">
        <w:rPr>
          <w:rFonts w:eastAsia="MS Mincho" w:cs="Times New Roman"/>
          <w:i/>
          <w:iCs w:val="0"/>
          <w:color w:val="auto"/>
          <w:sz w:val="21"/>
        </w:rPr>
        <w:t>raw variables</w:t>
      </w:r>
    </w:p>
    <w:p w14:paraId="24AC16DA" w14:textId="6A07CBD8" w:rsidR="00370C66" w:rsidRDefault="007D3C49" w:rsidP="007D3C49">
      <w:pPr>
        <w:pStyle w:val="Heading2"/>
        <w:numPr>
          <w:ilvl w:val="0"/>
          <w:numId w:val="0"/>
        </w:numPr>
        <w:spacing w:after="240"/>
        <w:ind w:firstLine="720"/>
        <w:rPr>
          <w:rFonts w:eastAsia="MS Mincho" w:cs="Times New Roman"/>
          <w:b w:val="0"/>
          <w:bCs w:val="0"/>
          <w:iCs w:val="0"/>
          <w:color w:val="auto"/>
          <w:sz w:val="21"/>
          <w:szCs w:val="24"/>
        </w:rPr>
      </w:pPr>
      <w:r>
        <w:rPr>
          <w:rFonts w:eastAsia="MS Mincho" w:cs="Times New Roman"/>
          <w:b w:val="0"/>
          <w:bCs w:val="0"/>
          <w:iCs w:val="0"/>
          <w:color w:val="auto"/>
          <w:sz w:val="21"/>
          <w:szCs w:val="24"/>
        </w:rPr>
        <w:t xml:space="preserve">Since the quantile regressions are estimated on the partitions, and not on the variables directly, it is necessary to add an extra step to </w:t>
      </w:r>
      <w:r w:rsidR="00FF47B6">
        <w:rPr>
          <w:rFonts w:eastAsia="MS Mincho" w:cs="Times New Roman"/>
          <w:b w:val="0"/>
          <w:bCs w:val="0"/>
          <w:iCs w:val="0"/>
          <w:color w:val="auto"/>
          <w:sz w:val="21"/>
          <w:szCs w:val="24"/>
        </w:rPr>
        <w:t>estimate</w:t>
      </w:r>
      <w:r>
        <w:rPr>
          <w:rFonts w:eastAsia="MS Mincho" w:cs="Times New Roman"/>
          <w:b w:val="0"/>
          <w:bCs w:val="0"/>
          <w:iCs w:val="0"/>
          <w:color w:val="auto"/>
          <w:sz w:val="21"/>
          <w:szCs w:val="24"/>
        </w:rPr>
        <w:t xml:space="preserve"> how much the partition will change if one (or many) of its variables are shocked. Again, this is a comparative static </w:t>
      </w:r>
      <w:r w:rsidR="00A4366E">
        <w:rPr>
          <w:rFonts w:eastAsia="MS Mincho" w:cs="Times New Roman"/>
          <w:b w:val="0"/>
          <w:bCs w:val="0"/>
          <w:iCs w:val="0"/>
          <w:color w:val="auto"/>
          <w:sz w:val="21"/>
          <w:szCs w:val="24"/>
        </w:rPr>
        <w:t>analysis,</w:t>
      </w:r>
      <w:r>
        <w:rPr>
          <w:rFonts w:eastAsia="MS Mincho" w:cs="Times New Roman"/>
          <w:b w:val="0"/>
          <w:bCs w:val="0"/>
          <w:iCs w:val="0"/>
          <w:color w:val="auto"/>
          <w:sz w:val="21"/>
          <w:szCs w:val="24"/>
        </w:rPr>
        <w:t xml:space="preserve"> so the tool assumes that other variables in the partition will remained unchanged. </w:t>
      </w:r>
      <w:r w:rsidR="008719CE">
        <w:rPr>
          <w:rFonts w:eastAsia="MS Mincho" w:cs="Times New Roman"/>
          <w:b w:val="0"/>
          <w:bCs w:val="0"/>
          <w:iCs w:val="0"/>
          <w:color w:val="auto"/>
          <w:sz w:val="21"/>
          <w:szCs w:val="24"/>
        </w:rPr>
        <w:t xml:space="preserve">In this case, the shock on the partition is defined as the shock on the variable times the correlation coefficient between the variable and its partition: </w:t>
      </w:r>
    </w:p>
    <w:p w14:paraId="7AAE86BB" w14:textId="77777777" w:rsidR="00805C60" w:rsidRDefault="00AE1FF5" w:rsidP="00C24614">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 xml:space="preserve">, </m:t>
                </m:r>
                <m:r>
                  <w:rPr>
                    <w:rFonts w:ascii="Cambria Math" w:hAnsi="Cambria Math"/>
                  </w:rPr>
                  <m:t>t</m:t>
                </m:r>
              </m:sub>
            </m:sSub>
          </m:e>
        </m:acc>
      </m:oMath>
      <w:r w:rsidR="007E1DBF" w:rsidRPr="007E1DBF">
        <w:t xml:space="preserve"> =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 xml:space="preserve">, </m:t>
            </m:r>
            <m:r>
              <w:rPr>
                <w:rFonts w:ascii="Cambria Math" w:hAnsi="Cambria Math"/>
              </w:rPr>
              <m:t>t</m:t>
            </m:r>
          </m:sub>
        </m:sSub>
        <m:r>
          <m:rPr>
            <m:sty m:val="p"/>
          </m:rPr>
          <w:rPr>
            <w:rFonts w:ascii="Cambria Math" w:hAnsi="Cambria Math"/>
          </w:rPr>
          <m:t>*(</m:t>
        </m:r>
        <m:r>
          <m:rPr>
            <m:sty m:val="b"/>
          </m:rPr>
          <w:rPr>
            <w:rFonts w:ascii="Cambria Math" w:hAnsi="Cambria Math"/>
          </w:rPr>
          <m:t>1</m:t>
        </m:r>
        <m:r>
          <m:rPr>
            <m:sty m:val="p"/>
          </m:rPr>
          <w:rPr>
            <w:rFonts w:ascii="Cambria Math" w:hAnsi="Cambria Math"/>
          </w:rPr>
          <m:t>+</m:t>
        </m:r>
        <m:r>
          <m:rPr>
            <m:sty m:val="bi"/>
          </m:rPr>
          <w:rPr>
            <w:rFonts w:ascii="Cambria Math" w:hAnsi="Cambria Math"/>
          </w:rPr>
          <m:t>shock</m:t>
        </m:r>
        <m:r>
          <m:rPr>
            <m:sty m:val="p"/>
          </m:rPr>
          <w:rPr>
            <w:rFonts w:ascii="Cambria Math" w:hAnsi="Cambria Math"/>
          </w:rPr>
          <m:t>*</m:t>
        </m:r>
        <m:r>
          <m:rPr>
            <m:sty m:val="bi"/>
          </m:rPr>
          <w:rPr>
            <w:rFonts w:ascii="Cambria Math" w:hAnsi="Cambria Math"/>
          </w:rPr>
          <m:t>correlation</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 xml:space="preserve">, </m:t>
            </m:r>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V</m:t>
            </m:r>
          </m:e>
          <m:sub>
            <m:r>
              <m:rPr>
                <m:sty m:val="bi"/>
              </m:rPr>
              <w:rPr>
                <w:rFonts w:ascii="Cambria Math" w:hAnsi="Cambria Math"/>
              </w:rPr>
              <m:t>j</m:t>
            </m:r>
            <m:r>
              <m:rPr>
                <m:sty m:val="p"/>
              </m:rPr>
              <w:rPr>
                <w:rFonts w:ascii="Cambria Math" w:hAnsi="Cambria Math"/>
              </w:rPr>
              <m:t xml:space="preserve">, </m:t>
            </m:r>
            <m:r>
              <w:rPr>
                <w:rFonts w:ascii="Cambria Math" w:hAnsi="Cambria Math"/>
              </w:rPr>
              <m:t>t</m:t>
            </m:r>
          </m:sub>
        </m:sSub>
        <m:r>
          <m:rPr>
            <m:sty m:val="p"/>
          </m:rPr>
          <w:rPr>
            <w:rFonts w:ascii="Cambria Math" w:hAnsi="Cambria Math"/>
          </w:rPr>
          <m:t>)</m:t>
        </m:r>
      </m:oMath>
      <w:r w:rsidR="007E1DBF" w:rsidRPr="007E1DBF">
        <w:t xml:space="preserve">) where </w:t>
      </w:r>
      <m:oMath>
        <m:sSub>
          <m:sSubPr>
            <m:ctrlPr>
              <w:rPr>
                <w:rFonts w:ascii="Cambria Math" w:hAnsi="Cambria Math"/>
              </w:rPr>
            </m:ctrlPr>
          </m:sSubPr>
          <m:e>
            <m:r>
              <m:rPr>
                <m:sty m:val="bi"/>
              </m:rPr>
              <w:rPr>
                <w:rFonts w:ascii="Cambria Math" w:hAnsi="Cambria Math"/>
              </w:rPr>
              <m:t>V</m:t>
            </m:r>
          </m:e>
          <m:sub>
            <m:r>
              <m:rPr>
                <m:sty m:val="bi"/>
              </m:rPr>
              <w:rPr>
                <w:rFonts w:ascii="Cambria Math" w:hAnsi="Cambria Math"/>
              </w:rPr>
              <m:t>j</m:t>
            </m:r>
            <m:r>
              <m:rPr>
                <m:sty m:val="p"/>
              </m:rPr>
              <w:rPr>
                <w:rFonts w:ascii="Cambria Math" w:hAnsi="Cambria Math"/>
              </w:rPr>
              <m:t xml:space="preserve">, </m:t>
            </m:r>
            <m:r>
              <w:rPr>
                <w:rFonts w:ascii="Cambria Math" w:hAnsi="Cambria Math"/>
              </w:rPr>
              <m:t>t</m:t>
            </m:r>
          </m:sub>
        </m:sSub>
      </m:oMath>
      <w:r w:rsidR="007E1DBF">
        <w:t xml:space="preserve"> is the raw variable shocked entering into the partition </w:t>
      </w:r>
      <m:oMath>
        <m:sSub>
          <m:sSubPr>
            <m:ctrlPr>
              <w:rPr>
                <w:rFonts w:ascii="Cambria Math" w:hAnsi="Cambria Math"/>
              </w:rPr>
            </m:ctrlPr>
          </m:sSubPr>
          <m:e>
            <m:r>
              <w:rPr>
                <w:rFonts w:ascii="Cambria Math" w:hAnsi="Cambria Math"/>
              </w:rPr>
              <m:t>X</m:t>
            </m:r>
          </m:e>
          <m:sub>
            <m:r>
              <w:rPr>
                <w:rFonts w:ascii="Cambria Math" w:hAnsi="Cambria Math"/>
              </w:rPr>
              <m:t>j,t</m:t>
            </m:r>
          </m:sub>
        </m:sSub>
      </m:oMath>
      <w:r w:rsidR="007E1DBF">
        <w:t xml:space="preserve">. </w:t>
      </w:r>
    </w:p>
    <w:p w14:paraId="36035230" w14:textId="77777777" w:rsidR="00805C60" w:rsidRDefault="00805C60" w:rsidP="00C24614"/>
    <w:p w14:paraId="4095E233" w14:textId="1473B56A" w:rsidR="00C24614" w:rsidRPr="00C24614" w:rsidRDefault="007E1DBF" w:rsidP="00C24614">
      <w:r>
        <w:t>Using the correlation coefficient instead of the loading is necessary to avoid issues with the chained index partitions, where the loading of the variable and the partition changed across time</w:t>
      </w:r>
      <w:r w:rsidR="00805C60">
        <w:t>.</w:t>
      </w:r>
    </w:p>
    <w:p w14:paraId="78D9D9AD" w14:textId="34E1C811" w:rsidR="00370C66" w:rsidRDefault="00805C60" w:rsidP="00C12C53">
      <w:pPr>
        <w:pStyle w:val="Heading2"/>
        <w:numPr>
          <w:ilvl w:val="0"/>
          <w:numId w:val="0"/>
        </w:numPr>
        <w:spacing w:after="240"/>
        <w:rPr>
          <w:rFonts w:eastAsia="MS Mincho" w:cs="Times New Roman"/>
          <w:b w:val="0"/>
          <w:bCs w:val="0"/>
          <w:iCs w:val="0"/>
          <w:color w:val="auto"/>
          <w:sz w:val="21"/>
          <w:szCs w:val="24"/>
        </w:rPr>
      </w:pPr>
      <w:r>
        <w:rPr>
          <w:rFonts w:eastAsia="MS Mincho" w:cs="Times New Roman"/>
          <w:b w:val="0"/>
          <w:bCs w:val="0"/>
          <w:iCs w:val="0"/>
          <w:color w:val="auto"/>
          <w:sz w:val="21"/>
          <w:szCs w:val="24"/>
        </w:rPr>
        <w:t xml:space="preserve">Then again, the conditional quantiles are estimated as follows: </w:t>
      </w:r>
    </w:p>
    <w:p w14:paraId="22E62D19" w14:textId="77777777" w:rsidR="00805C60" w:rsidRPr="00420A49" w:rsidRDefault="00AE1FF5" w:rsidP="00805C60">
      <w:pPr>
        <w:spacing w:after="160" w:line="259" w:lineRule="auto"/>
        <w:ind w:firstLine="360"/>
        <w:rPr>
          <w:rFonts w:ascii="Calibri" w:eastAsia="SimSun" w:hAnsi="Calibri"/>
          <w:sz w:val="22"/>
          <w:szCs w:val="22"/>
          <w:lang w:eastAsia="zh-CN"/>
        </w:rPr>
      </w:pPr>
      <m:oMathPara>
        <m:oMath>
          <m:acc>
            <m:accPr>
              <m:chr m:val="̃"/>
              <m:ctrlPr>
                <w:rPr>
                  <w:rFonts w:ascii="Cambria Math" w:eastAsia="SimSun" w:hAnsi="Cambria Math"/>
                  <w:i/>
                  <w:sz w:val="22"/>
                  <w:szCs w:val="22"/>
                  <w:lang w:eastAsia="zh-CN"/>
                </w:rPr>
              </m:ctrlPr>
            </m:accPr>
            <m:e>
              <m:r>
                <w:rPr>
                  <w:rFonts w:ascii="Cambria Math" w:eastAsia="SimSun" w:hAnsi="Cambria Math"/>
                  <w:sz w:val="22"/>
                  <w:szCs w:val="22"/>
                  <w:lang w:eastAsia="zh-CN"/>
                </w:rPr>
                <m:t>Q</m:t>
              </m:r>
            </m:e>
          </m:acc>
          <m:d>
            <m:dPr>
              <m:ctrlPr>
                <w:rPr>
                  <w:rFonts w:ascii="Cambria Math" w:eastAsia="SimSun" w:hAnsi="Cambria Math"/>
                  <w:i/>
                  <w:sz w:val="22"/>
                  <w:szCs w:val="22"/>
                  <w:lang w:eastAsia="zh-CN"/>
                </w:rPr>
              </m:ctrlPr>
            </m:dPr>
            <m:e>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y</m:t>
                  </m:r>
                </m:e>
                <m:sub>
                  <m:r>
                    <w:rPr>
                      <w:rFonts w:ascii="Cambria Math" w:eastAsia="SimSun" w:hAnsi="Cambria Math"/>
                      <w:sz w:val="22"/>
                      <w:szCs w:val="22"/>
                      <w:lang w:eastAsia="zh-CN"/>
                    </w:rPr>
                    <m:t>t+h</m:t>
                  </m:r>
                </m:sub>
              </m:sSub>
              <m:r>
                <w:rPr>
                  <w:rFonts w:ascii="Cambria Math" w:eastAsia="SimSun" w:hAnsi="Cambria Math"/>
                  <w:sz w:val="22"/>
                  <w:szCs w:val="22"/>
                  <w:lang w:eastAsia="zh-CN"/>
                </w:rPr>
                <m:t xml:space="preserve">, τ | </m:t>
              </m:r>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m:t>
                  </m:r>
                  <m:acc>
                    <m:accPr>
                      <m:chr m:val="̃"/>
                      <m:ctrlPr>
                        <w:rPr>
                          <w:rFonts w:ascii="Cambria Math" w:hAnsi="Cambria Math"/>
                          <w:i/>
                        </w:rPr>
                      </m:ctrlPr>
                    </m:accPr>
                    <m:e>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X</m:t>
                          </m:r>
                        </m:e>
                        <m:sub>
                          <m:r>
                            <w:rPr>
                              <w:rFonts w:ascii="Cambria Math" w:eastAsia="SimSun" w:hAnsi="Cambria Math"/>
                              <w:sz w:val="22"/>
                              <w:szCs w:val="22"/>
                              <w:lang w:eastAsia="zh-CN"/>
                            </w:rPr>
                            <m:t>i, t</m:t>
                          </m:r>
                        </m:sub>
                      </m:sSub>
                    </m:e>
                  </m:acc>
                  <m:r>
                    <w:rPr>
                      <w:rFonts w:ascii="Cambria Math" w:eastAsia="SimSun" w:hAnsi="Cambria Math"/>
                      <w:sz w:val="22"/>
                      <w:szCs w:val="22"/>
                      <w:lang w:eastAsia="zh-CN"/>
                    </w:rPr>
                    <m:t>}</m:t>
                  </m:r>
                </m:e>
                <m:sub>
                  <m:r>
                    <w:rPr>
                      <w:rFonts w:ascii="Cambria Math" w:eastAsia="SimSun" w:hAnsi="Cambria Math"/>
                      <w:sz w:val="22"/>
                      <w:szCs w:val="22"/>
                      <w:lang w:eastAsia="zh-CN"/>
                    </w:rPr>
                    <m:t>i ∈P</m:t>
                  </m:r>
                </m:sub>
              </m:sSub>
            </m:e>
          </m:d>
          <m:r>
            <w:rPr>
              <w:rFonts w:ascii="Cambria Math" w:eastAsia="SimSun" w:hAnsi="Cambria Math"/>
              <w:sz w:val="22"/>
              <w:szCs w:val="22"/>
              <w:lang w:eastAsia="zh-CN"/>
            </w:rPr>
            <m:t xml:space="preserve">= </m:t>
          </m:r>
          <m:sSup>
            <m:sSupPr>
              <m:ctrlPr>
                <w:rPr>
                  <w:rFonts w:ascii="Cambria Math" w:eastAsia="SimSun" w:hAnsi="Cambria Math"/>
                  <w:i/>
                  <w:sz w:val="22"/>
                  <w:szCs w:val="22"/>
                  <w:lang w:eastAsia="zh-CN"/>
                </w:rPr>
              </m:ctrlPr>
            </m:sSupPr>
            <m:e>
              <m:acc>
                <m:accPr>
                  <m:ctrlPr>
                    <w:rPr>
                      <w:rFonts w:ascii="Cambria Math" w:eastAsia="SimSun" w:hAnsi="Cambria Math"/>
                      <w:i/>
                      <w:sz w:val="22"/>
                      <w:szCs w:val="22"/>
                      <w:lang w:eastAsia="zh-CN"/>
                    </w:rPr>
                  </m:ctrlPr>
                </m:accPr>
                <m:e>
                  <m:r>
                    <w:rPr>
                      <w:rFonts w:ascii="Cambria Math" w:eastAsia="SimSun" w:hAnsi="Cambria Math"/>
                      <w:sz w:val="22"/>
                      <w:szCs w:val="22"/>
                      <w:lang w:eastAsia="zh-CN"/>
                    </w:rPr>
                    <m:t>α</m:t>
                  </m:r>
                </m:e>
              </m:acc>
            </m:e>
            <m:sup>
              <m:r>
                <w:rPr>
                  <w:rFonts w:ascii="Cambria Math" w:eastAsia="SimSun" w:hAnsi="Cambria Math"/>
                  <w:sz w:val="22"/>
                  <w:szCs w:val="22"/>
                  <w:lang w:eastAsia="zh-CN"/>
                </w:rPr>
                <m:t>τ</m:t>
              </m:r>
            </m:sup>
          </m:sSup>
          <m:r>
            <w:rPr>
              <w:rFonts w:ascii="Cambria Math" w:eastAsia="SimSun" w:hAnsi="Cambria Math"/>
              <w:sz w:val="22"/>
              <w:szCs w:val="22"/>
              <w:lang w:eastAsia="zh-CN"/>
            </w:rPr>
            <m:t xml:space="preserve">+ </m:t>
          </m:r>
          <m:nary>
            <m:naryPr>
              <m:chr m:val="∑"/>
              <m:limLoc m:val="undOvr"/>
              <m:supHide m:val="1"/>
              <m:ctrlPr>
                <w:rPr>
                  <w:rFonts w:ascii="Cambria Math" w:eastAsia="SimSun" w:hAnsi="Cambria Math"/>
                  <w:i/>
                  <w:sz w:val="22"/>
                  <w:szCs w:val="22"/>
                  <w:lang w:eastAsia="zh-CN"/>
                </w:rPr>
              </m:ctrlPr>
            </m:naryPr>
            <m:sub>
              <m:r>
                <w:rPr>
                  <w:rFonts w:ascii="Cambria Math" w:eastAsia="SimSun" w:hAnsi="Cambria Math"/>
                  <w:sz w:val="22"/>
                  <w:szCs w:val="22"/>
                  <w:lang w:eastAsia="zh-CN"/>
                </w:rPr>
                <m:t>i ∈P</m:t>
              </m:r>
            </m:sub>
            <m:sup/>
            <m:e>
              <m:sSubSup>
                <m:sSubSupPr>
                  <m:ctrlPr>
                    <w:rPr>
                      <w:rFonts w:ascii="Cambria Math" w:eastAsia="SimSun" w:hAnsi="Cambria Math"/>
                      <w:i/>
                      <w:sz w:val="22"/>
                      <w:szCs w:val="22"/>
                      <w:lang w:eastAsia="zh-CN"/>
                    </w:rPr>
                  </m:ctrlPr>
                </m:sSubSupPr>
                <m:e>
                  <m:acc>
                    <m:accPr>
                      <m:ctrlPr>
                        <w:rPr>
                          <w:rFonts w:ascii="Cambria Math" w:eastAsia="SimSun" w:hAnsi="Cambria Math"/>
                          <w:i/>
                          <w:sz w:val="22"/>
                          <w:szCs w:val="22"/>
                          <w:lang w:eastAsia="zh-CN"/>
                        </w:rPr>
                      </m:ctrlPr>
                    </m:accPr>
                    <m:e>
                      <m:r>
                        <w:rPr>
                          <w:rFonts w:ascii="Cambria Math" w:eastAsia="SimSun" w:hAnsi="Cambria Math"/>
                          <w:sz w:val="22"/>
                          <w:szCs w:val="22"/>
                          <w:lang w:eastAsia="zh-CN"/>
                        </w:rPr>
                        <m:t>β</m:t>
                      </m:r>
                    </m:e>
                  </m:acc>
                </m:e>
                <m:sub>
                  <m:r>
                    <w:rPr>
                      <w:rFonts w:ascii="Cambria Math" w:eastAsia="SimSun" w:hAnsi="Cambria Math"/>
                      <w:sz w:val="22"/>
                      <w:szCs w:val="22"/>
                      <w:lang w:eastAsia="zh-CN"/>
                    </w:rPr>
                    <m:t>i</m:t>
                  </m:r>
                </m:sub>
                <m:sup>
                  <m:r>
                    <w:rPr>
                      <w:rFonts w:ascii="Cambria Math" w:eastAsia="SimSun" w:hAnsi="Cambria Math"/>
                      <w:sz w:val="22"/>
                      <w:szCs w:val="22"/>
                      <w:lang w:eastAsia="zh-CN"/>
                    </w:rPr>
                    <m:t>τ</m:t>
                  </m:r>
                </m:sup>
              </m:sSubSup>
              <m:acc>
                <m:accPr>
                  <m:chr m:val="̃"/>
                  <m:ctrlPr>
                    <w:rPr>
                      <w:rFonts w:ascii="Cambria Math" w:hAnsi="Cambria Math"/>
                      <w:i/>
                    </w:rPr>
                  </m:ctrlPr>
                </m:accPr>
                <m:e>
                  <m:sSub>
                    <m:sSubPr>
                      <m:ctrlPr>
                        <w:rPr>
                          <w:rFonts w:ascii="Cambria Math" w:eastAsia="SimSun" w:hAnsi="Cambria Math"/>
                          <w:i/>
                          <w:sz w:val="22"/>
                          <w:szCs w:val="22"/>
                          <w:lang w:eastAsia="zh-CN"/>
                        </w:rPr>
                      </m:ctrlPr>
                    </m:sSubPr>
                    <m:e>
                      <m:r>
                        <w:rPr>
                          <w:rFonts w:ascii="Cambria Math" w:eastAsia="SimSun" w:hAnsi="Cambria Math"/>
                          <w:sz w:val="22"/>
                          <w:szCs w:val="22"/>
                          <w:lang w:eastAsia="zh-CN"/>
                        </w:rPr>
                        <m:t>X</m:t>
                      </m:r>
                    </m:e>
                    <m:sub>
                      <m:r>
                        <w:rPr>
                          <w:rFonts w:ascii="Cambria Math" w:eastAsia="SimSun" w:hAnsi="Cambria Math"/>
                          <w:sz w:val="22"/>
                          <w:szCs w:val="22"/>
                          <w:lang w:eastAsia="zh-CN"/>
                        </w:rPr>
                        <m:t>i, t</m:t>
                      </m:r>
                    </m:sub>
                  </m:sSub>
                </m:e>
              </m:acc>
            </m:e>
          </m:nary>
        </m:oMath>
      </m:oMathPara>
    </w:p>
    <w:p w14:paraId="54C4F48A" w14:textId="637CFC76" w:rsidR="00805C60" w:rsidRPr="00805C60" w:rsidRDefault="00805C60" w:rsidP="00805C60">
      <w:r>
        <w:t>And the counterfactual Tskew distribution is estimated as in step 3.</w:t>
      </w:r>
    </w:p>
    <w:p w14:paraId="6EA6AC8F" w14:textId="18212496" w:rsidR="00370C66" w:rsidRDefault="00370C66" w:rsidP="00370C66">
      <w:pPr>
        <w:pStyle w:val="Heading2"/>
        <w:numPr>
          <w:ilvl w:val="0"/>
          <w:numId w:val="0"/>
        </w:numPr>
        <w:spacing w:after="240"/>
        <w:rPr>
          <w:rFonts w:eastAsia="MS Mincho" w:cs="Times New Roman"/>
          <w:i/>
          <w:iCs w:val="0"/>
          <w:color w:val="auto"/>
          <w:sz w:val="21"/>
        </w:rPr>
      </w:pPr>
      <w:r>
        <w:rPr>
          <w:rFonts w:eastAsia="MS Mincho" w:cs="Times New Roman"/>
          <w:i/>
          <w:iCs w:val="0"/>
          <w:color w:val="auto"/>
          <w:sz w:val="21"/>
        </w:rPr>
        <w:t>Interpretation</w:t>
      </w:r>
    </w:p>
    <w:p w14:paraId="6A9A935C" w14:textId="321C520E" w:rsidR="005F07E6" w:rsidRDefault="00370C66" w:rsidP="005F07E6">
      <w:pPr>
        <w:pStyle w:val="Heading2"/>
        <w:numPr>
          <w:ilvl w:val="0"/>
          <w:numId w:val="0"/>
        </w:numPr>
        <w:spacing w:after="240"/>
        <w:rPr>
          <w:rFonts w:eastAsia="MS Mincho" w:cs="Times New Roman"/>
          <w:b w:val="0"/>
          <w:bCs w:val="0"/>
          <w:iCs w:val="0"/>
          <w:color w:val="auto"/>
          <w:sz w:val="21"/>
          <w:szCs w:val="24"/>
        </w:rPr>
      </w:pPr>
      <w:r>
        <w:rPr>
          <w:rFonts w:eastAsia="MS Mincho" w:cs="Times New Roman"/>
          <w:b w:val="0"/>
          <w:bCs w:val="0"/>
          <w:iCs w:val="0"/>
          <w:color w:val="auto"/>
          <w:sz w:val="21"/>
          <w:szCs w:val="24"/>
        </w:rPr>
        <w:t xml:space="preserve">In both cases, the tool derives the counterfactual distribution and presents a plot with both the baseline and the shocked distributions. </w:t>
      </w:r>
      <w:r w:rsidR="00F83828">
        <w:rPr>
          <w:rFonts w:eastAsia="MS Mincho" w:cs="Times New Roman"/>
          <w:b w:val="0"/>
          <w:bCs w:val="0"/>
          <w:iCs w:val="0"/>
          <w:color w:val="auto"/>
          <w:sz w:val="21"/>
          <w:szCs w:val="24"/>
        </w:rPr>
        <w:t>This approach is interesting as it uncovers the impact of non-linearities (different beta for each quantile) on the future growth distribution</w:t>
      </w:r>
      <w:r w:rsidR="0058240D">
        <w:rPr>
          <w:rFonts w:eastAsia="MS Mincho" w:cs="Times New Roman"/>
          <w:b w:val="0"/>
          <w:bCs w:val="0"/>
          <w:iCs w:val="0"/>
          <w:color w:val="auto"/>
          <w:sz w:val="21"/>
          <w:szCs w:val="24"/>
        </w:rPr>
        <w:t xml:space="preserve">: the shock </w:t>
      </w:r>
      <w:r w:rsidR="007C62BB">
        <w:rPr>
          <w:rFonts w:eastAsia="MS Mincho" w:cs="Times New Roman"/>
          <w:b w:val="0"/>
          <w:bCs w:val="0"/>
          <w:iCs w:val="0"/>
          <w:color w:val="auto"/>
          <w:sz w:val="21"/>
          <w:szCs w:val="24"/>
        </w:rPr>
        <w:lastRenderedPageBreak/>
        <w:t>t</w:t>
      </w:r>
      <w:r w:rsidR="0058240D">
        <w:rPr>
          <w:rFonts w:eastAsia="MS Mincho" w:cs="Times New Roman"/>
          <w:b w:val="0"/>
          <w:bCs w:val="0"/>
          <w:iCs w:val="0"/>
          <w:color w:val="auto"/>
          <w:sz w:val="21"/>
          <w:szCs w:val="24"/>
        </w:rPr>
        <w:t xml:space="preserve">herefore propagates differently on different points of the distribution, for instance with different impacts on the tails and on the </w:t>
      </w:r>
      <w:r w:rsidR="003F0B38">
        <w:rPr>
          <w:rFonts w:eastAsia="MS Mincho" w:cs="Times New Roman"/>
          <w:b w:val="0"/>
          <w:bCs w:val="0"/>
          <w:iCs w:val="0"/>
          <w:color w:val="auto"/>
          <w:sz w:val="21"/>
          <w:szCs w:val="24"/>
        </w:rPr>
        <w:t xml:space="preserve">belly of the curve, hence </w:t>
      </w:r>
      <w:r w:rsidR="0072116F">
        <w:rPr>
          <w:rFonts w:eastAsia="MS Mincho" w:cs="Times New Roman"/>
          <w:b w:val="0"/>
          <w:bCs w:val="0"/>
          <w:iCs w:val="0"/>
          <w:color w:val="auto"/>
          <w:sz w:val="21"/>
          <w:szCs w:val="24"/>
        </w:rPr>
        <w:t>delivering</w:t>
      </w:r>
      <w:r w:rsidR="003F0B38">
        <w:rPr>
          <w:rFonts w:eastAsia="MS Mincho" w:cs="Times New Roman"/>
          <w:b w:val="0"/>
          <w:bCs w:val="0"/>
          <w:iCs w:val="0"/>
          <w:color w:val="auto"/>
          <w:sz w:val="21"/>
          <w:szCs w:val="24"/>
        </w:rPr>
        <w:t xml:space="preserve"> richer policy interpretation. </w:t>
      </w:r>
    </w:p>
    <w:p w14:paraId="47143113" w14:textId="6CB9CA61" w:rsidR="005F07E6" w:rsidRPr="002163BD" w:rsidRDefault="005F07E6" w:rsidP="002163BD">
      <w:pPr>
        <w:spacing w:after="160" w:line="259" w:lineRule="auto"/>
        <w:jc w:val="center"/>
        <w:rPr>
          <w:b/>
          <w:i/>
          <w:color w:val="31849B" w:themeColor="accent5" w:themeShade="BF"/>
        </w:rPr>
      </w:pPr>
      <w:r w:rsidRPr="002163BD">
        <w:rPr>
          <w:b/>
          <w:i/>
          <w:noProof/>
          <w:color w:val="31849B" w:themeColor="accent5" w:themeShade="BF"/>
        </w:rPr>
        <w:drawing>
          <wp:anchor distT="0" distB="0" distL="114300" distR="114300" simplePos="0" relativeHeight="251838464" behindDoc="0" locked="0" layoutInCell="1" allowOverlap="1" wp14:anchorId="75B5AF4A" wp14:editId="49890C36">
            <wp:simplePos x="0" y="0"/>
            <wp:positionH relativeFrom="page">
              <wp:posOffset>1028700</wp:posOffset>
            </wp:positionH>
            <wp:positionV relativeFrom="paragraph">
              <wp:posOffset>428625</wp:posOffset>
            </wp:positionV>
            <wp:extent cx="5562600" cy="27813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62600" cy="2781300"/>
                    </a:xfrm>
                    <a:prstGeom prst="rect">
                      <a:avLst/>
                    </a:prstGeom>
                    <a:noFill/>
                  </pic:spPr>
                </pic:pic>
              </a:graphicData>
            </a:graphic>
            <wp14:sizeRelH relativeFrom="page">
              <wp14:pctWidth>0</wp14:pctWidth>
            </wp14:sizeRelH>
            <wp14:sizeRelV relativeFrom="page">
              <wp14:pctHeight>0</wp14:pctHeight>
            </wp14:sizeRelV>
          </wp:anchor>
        </w:drawing>
      </w:r>
      <w:r w:rsidRPr="007C62BB">
        <w:rPr>
          <w:b/>
          <w:i/>
          <w:color w:val="31849B" w:themeColor="accent5" w:themeShade="BF"/>
        </w:rPr>
        <w:t xml:space="preserve">Figure </w:t>
      </w:r>
      <w:r w:rsidR="002163BD">
        <w:rPr>
          <w:b/>
          <w:i/>
          <w:color w:val="31849B" w:themeColor="accent5" w:themeShade="BF"/>
        </w:rPr>
        <w:t>7</w:t>
      </w:r>
      <w:r>
        <w:rPr>
          <w:b/>
          <w:i/>
          <w:color w:val="31849B" w:themeColor="accent5" w:themeShade="BF"/>
        </w:rPr>
        <w:t>.</w:t>
      </w:r>
      <w:r w:rsidRPr="007C62BB">
        <w:rPr>
          <w:b/>
          <w:i/>
          <w:color w:val="31849B" w:themeColor="accent5" w:themeShade="BF"/>
        </w:rPr>
        <w:t xml:space="preserve"> Output Example: </w:t>
      </w:r>
      <w:r>
        <w:rPr>
          <w:b/>
          <w:i/>
          <w:color w:val="31849B" w:themeColor="accent5" w:themeShade="BF"/>
        </w:rPr>
        <w:t>Counterfactual Scenario Analysis</w:t>
      </w:r>
    </w:p>
    <w:p w14:paraId="691B2718" w14:textId="77777777" w:rsidR="00F8139C" w:rsidRDefault="007C62BB" w:rsidP="007C62BB">
      <w:pPr>
        <w:pStyle w:val="Heading2"/>
        <w:numPr>
          <w:ilvl w:val="0"/>
          <w:numId w:val="0"/>
        </w:numPr>
        <w:spacing w:after="240"/>
        <w:rPr>
          <w:rFonts w:eastAsia="MS Mincho" w:cs="Times New Roman"/>
          <w:b w:val="0"/>
          <w:bCs w:val="0"/>
          <w:iCs w:val="0"/>
          <w:color w:val="auto"/>
          <w:sz w:val="21"/>
          <w:szCs w:val="24"/>
        </w:rPr>
      </w:pPr>
      <w:r w:rsidRPr="00D4650C">
        <w:rPr>
          <w:rFonts w:eastAsia="MS Mincho" w:cs="Times New Roman"/>
          <w:b w:val="0"/>
          <w:bCs w:val="0"/>
          <w:iCs w:val="0"/>
          <w:color w:val="auto"/>
          <w:sz w:val="21"/>
          <w:szCs w:val="24"/>
        </w:rPr>
        <w:t xml:space="preserve"> </w:t>
      </w:r>
    </w:p>
    <w:p w14:paraId="174023E8" w14:textId="77777777" w:rsidR="00F8139C" w:rsidRPr="00F8139C" w:rsidRDefault="00F8139C" w:rsidP="00F8139C">
      <w:pPr>
        <w:pStyle w:val="Heading2"/>
        <w:numPr>
          <w:ilvl w:val="0"/>
          <w:numId w:val="19"/>
        </w:numPr>
        <w:spacing w:after="240"/>
      </w:pPr>
      <w:r w:rsidRPr="00F8139C">
        <w:rPr>
          <w:rFonts w:eastAsia="MS Mincho" w:cs="Times New Roman"/>
          <w:bCs w:val="0"/>
          <w:iCs w:val="0"/>
          <w:color w:val="auto"/>
          <w:sz w:val="28"/>
          <w:szCs w:val="24"/>
        </w:rPr>
        <w:t>Multiple Horizons Projections</w:t>
      </w:r>
    </w:p>
    <w:p w14:paraId="409BE86C" w14:textId="5F0A35CE" w:rsidR="00600AB2" w:rsidRDefault="00F8139C" w:rsidP="00F8139C">
      <w:pPr>
        <w:pStyle w:val="Heading2"/>
        <w:numPr>
          <w:ilvl w:val="0"/>
          <w:numId w:val="0"/>
        </w:numPr>
        <w:spacing w:after="240"/>
        <w:rPr>
          <w:rFonts w:eastAsia="MS Mincho" w:cs="Times New Roman"/>
          <w:b w:val="0"/>
          <w:bCs w:val="0"/>
          <w:iCs w:val="0"/>
          <w:color w:val="auto"/>
          <w:sz w:val="21"/>
          <w:szCs w:val="24"/>
        </w:rPr>
      </w:pPr>
      <w:r>
        <w:rPr>
          <w:rFonts w:eastAsia="MS Mincho" w:cs="Times New Roman"/>
          <w:b w:val="0"/>
          <w:bCs w:val="0"/>
          <w:iCs w:val="0"/>
          <w:color w:val="auto"/>
          <w:sz w:val="21"/>
          <w:szCs w:val="24"/>
        </w:rPr>
        <w:t>This section allows the user to project the density forecast at different point in time, for different horizons</w:t>
      </w:r>
      <w:r w:rsidRPr="00F8139C">
        <w:rPr>
          <w:rFonts w:eastAsia="MS Mincho" w:cs="Times New Roman"/>
          <w:b w:val="0"/>
          <w:bCs w:val="0"/>
          <w:iCs w:val="0"/>
          <w:color w:val="auto"/>
          <w:sz w:val="21"/>
          <w:szCs w:val="24"/>
        </w:rPr>
        <w:t>, allowing the user to compare how densities evolve with the horizon considered (in a local projection sense).</w:t>
      </w:r>
      <w:r>
        <w:rPr>
          <w:b w:val="0"/>
          <w:sz w:val="21"/>
          <w:szCs w:val="21"/>
        </w:rPr>
        <w:t xml:space="preserve">  </w:t>
      </w:r>
      <w:r w:rsidRPr="00F8139C">
        <w:rPr>
          <w:rFonts w:eastAsia="MS Mincho" w:cs="Times New Roman"/>
          <w:b w:val="0"/>
          <w:bCs w:val="0"/>
          <w:iCs w:val="0"/>
          <w:color w:val="auto"/>
          <w:sz w:val="21"/>
          <w:szCs w:val="24"/>
        </w:rPr>
        <w:t xml:space="preserve"> The approach is si</w:t>
      </w:r>
      <w:r>
        <w:rPr>
          <w:rFonts w:eastAsia="MS Mincho" w:cs="Times New Roman"/>
          <w:b w:val="0"/>
          <w:bCs w:val="0"/>
          <w:iCs w:val="0"/>
          <w:color w:val="auto"/>
          <w:sz w:val="21"/>
          <w:szCs w:val="24"/>
        </w:rPr>
        <w:t xml:space="preserve">milar to the single date, single horizon </w:t>
      </w:r>
      <w:r w:rsidRPr="00F8139C">
        <w:rPr>
          <w:rFonts w:eastAsia="MS Mincho" w:cs="Times New Roman"/>
          <w:b w:val="0"/>
          <w:bCs w:val="0"/>
          <w:iCs w:val="0"/>
          <w:color w:val="auto"/>
          <w:sz w:val="21"/>
          <w:szCs w:val="24"/>
        </w:rPr>
        <w:t>t</w:t>
      </w:r>
      <w:r w:rsidR="00D430AE">
        <w:rPr>
          <w:rFonts w:eastAsia="MS Mincho" w:cs="Times New Roman"/>
          <w:b w:val="0"/>
          <w:bCs w:val="0"/>
          <w:iCs w:val="0"/>
          <w:color w:val="auto"/>
          <w:sz w:val="21"/>
          <w:szCs w:val="24"/>
        </w:rPr>
        <w:t>-</w:t>
      </w:r>
      <w:r w:rsidRPr="00F8139C">
        <w:rPr>
          <w:rFonts w:eastAsia="MS Mincho" w:cs="Times New Roman"/>
          <w:b w:val="0"/>
          <w:bCs w:val="0"/>
          <w:iCs w:val="0"/>
          <w:color w:val="auto"/>
          <w:sz w:val="21"/>
          <w:szCs w:val="24"/>
        </w:rPr>
        <w:t>skew fit</w:t>
      </w:r>
      <w:r>
        <w:rPr>
          <w:rFonts w:eastAsia="MS Mincho" w:cs="Times New Roman"/>
          <w:b w:val="0"/>
          <w:bCs w:val="0"/>
          <w:iCs w:val="0"/>
          <w:color w:val="auto"/>
          <w:sz w:val="21"/>
          <w:szCs w:val="24"/>
        </w:rPr>
        <w:t xml:space="preserve">. </w:t>
      </w:r>
      <w:r w:rsidRPr="00D4650C">
        <w:rPr>
          <w:rFonts w:eastAsia="MS Mincho" w:cs="Times New Roman"/>
          <w:b w:val="0"/>
          <w:bCs w:val="0"/>
          <w:iCs w:val="0"/>
          <w:color w:val="auto"/>
          <w:sz w:val="21"/>
          <w:szCs w:val="24"/>
        </w:rPr>
        <w:t xml:space="preserve"> </w:t>
      </w:r>
    </w:p>
    <w:p w14:paraId="25BF1613" w14:textId="2EBEA282" w:rsidR="00402C9F" w:rsidRDefault="00402C9F" w:rsidP="00402C9F"/>
    <w:p w14:paraId="626D1344" w14:textId="0D8900D5" w:rsidR="00402C9F" w:rsidRDefault="00402C9F" w:rsidP="00402C9F"/>
    <w:p w14:paraId="5BF198C9" w14:textId="5E7F33B4" w:rsidR="00402C9F" w:rsidRDefault="00402C9F" w:rsidP="00402C9F"/>
    <w:p w14:paraId="50EF74AE" w14:textId="0D5C0D75" w:rsidR="00402C9F" w:rsidRDefault="00402C9F" w:rsidP="00402C9F"/>
    <w:p w14:paraId="1F7CF79B" w14:textId="1833AE55" w:rsidR="00402C9F" w:rsidRDefault="00402C9F" w:rsidP="00402C9F"/>
    <w:p w14:paraId="11B3AF20" w14:textId="3552139A" w:rsidR="00402C9F" w:rsidRDefault="00402C9F" w:rsidP="00402C9F"/>
    <w:p w14:paraId="28C6BE88" w14:textId="6B883B19" w:rsidR="00402C9F" w:rsidRDefault="00402C9F" w:rsidP="00402C9F"/>
    <w:p w14:paraId="64502A29" w14:textId="726E5F4D" w:rsidR="00402C9F" w:rsidRDefault="00402C9F" w:rsidP="00402C9F"/>
    <w:p w14:paraId="0F4B0935" w14:textId="4CACF006" w:rsidR="00402C9F" w:rsidRDefault="00402C9F" w:rsidP="00402C9F"/>
    <w:p w14:paraId="2180F1BF" w14:textId="6AC6DE83" w:rsidR="00402C9F" w:rsidRDefault="00402C9F" w:rsidP="00402C9F"/>
    <w:p w14:paraId="6A533548" w14:textId="1530085D" w:rsidR="00402C9F" w:rsidRDefault="00402C9F" w:rsidP="00402C9F"/>
    <w:p w14:paraId="6EBD9F44" w14:textId="7B93D87A" w:rsidR="00402C9F" w:rsidRDefault="00402C9F" w:rsidP="00402C9F"/>
    <w:p w14:paraId="71E4CC5C" w14:textId="77777777" w:rsidR="00402C9F" w:rsidRPr="00402C9F" w:rsidRDefault="00402C9F" w:rsidP="00402C9F"/>
    <w:p w14:paraId="7353B43F" w14:textId="62E8B043" w:rsidR="00600AB2" w:rsidRDefault="00600AB2" w:rsidP="00402C9F">
      <w:pPr>
        <w:pStyle w:val="Heading2"/>
        <w:numPr>
          <w:ilvl w:val="0"/>
          <w:numId w:val="0"/>
        </w:numPr>
        <w:spacing w:after="240"/>
        <w:jc w:val="center"/>
        <w:rPr>
          <w:i/>
          <w:color w:val="31849B" w:themeColor="accent5" w:themeShade="BF"/>
        </w:rPr>
      </w:pPr>
      <w:r w:rsidRPr="007C62BB">
        <w:rPr>
          <w:i/>
          <w:color w:val="31849B" w:themeColor="accent5" w:themeShade="BF"/>
        </w:rPr>
        <w:lastRenderedPageBreak/>
        <w:t xml:space="preserve">Figure </w:t>
      </w:r>
      <w:r>
        <w:rPr>
          <w:i/>
          <w:color w:val="31849B" w:themeColor="accent5" w:themeShade="BF"/>
        </w:rPr>
        <w:t>8.</w:t>
      </w:r>
      <w:r w:rsidRPr="007C62BB">
        <w:rPr>
          <w:i/>
          <w:color w:val="31849B" w:themeColor="accent5" w:themeShade="BF"/>
        </w:rPr>
        <w:t xml:space="preserve"> Output Example: </w:t>
      </w:r>
      <w:r>
        <w:rPr>
          <w:i/>
          <w:color w:val="31849B" w:themeColor="accent5" w:themeShade="BF"/>
        </w:rPr>
        <w:t>Multiple Horizons Projections</w:t>
      </w:r>
      <w:r w:rsidR="005262E4">
        <w:rPr>
          <w:i/>
          <w:color w:val="31849B" w:themeColor="accent5" w:themeShade="BF"/>
        </w:rPr>
        <w:t>: pdf</w:t>
      </w:r>
    </w:p>
    <w:p w14:paraId="31AB8BAD" w14:textId="0B3E7EAB" w:rsidR="00600AB2" w:rsidRDefault="00402C9F" w:rsidP="00600AB2">
      <w:pPr>
        <w:pStyle w:val="Heading2"/>
        <w:numPr>
          <w:ilvl w:val="0"/>
          <w:numId w:val="0"/>
        </w:numPr>
        <w:spacing w:after="240"/>
        <w:rPr>
          <w:rFonts w:eastAsia="MS Mincho" w:cs="Times New Roman"/>
          <w:b w:val="0"/>
          <w:bCs w:val="0"/>
          <w:iCs w:val="0"/>
          <w:color w:val="auto"/>
          <w:sz w:val="21"/>
          <w:szCs w:val="24"/>
        </w:rPr>
      </w:pPr>
      <w:r>
        <w:rPr>
          <w:noProof/>
        </w:rPr>
        <w:drawing>
          <wp:anchor distT="0" distB="0" distL="114300" distR="114300" simplePos="0" relativeHeight="251839488" behindDoc="0" locked="0" layoutInCell="1" allowOverlap="1" wp14:anchorId="46D35EC6" wp14:editId="10ED56BB">
            <wp:simplePos x="0" y="0"/>
            <wp:positionH relativeFrom="margin">
              <wp:align>right</wp:align>
            </wp:positionH>
            <wp:positionV relativeFrom="paragraph">
              <wp:posOffset>9525</wp:posOffset>
            </wp:positionV>
            <wp:extent cx="5906770" cy="2953385"/>
            <wp:effectExtent l="0" t="0" r="0" b="0"/>
            <wp:wrapSquare wrapText="bothSides"/>
            <wp:docPr id="6" name="MyPlot">
              <a:extLst xmlns:a="http://schemas.openxmlformats.org/drawingml/2006/main">
                <a:ext uri="{FF2B5EF4-FFF2-40B4-BE49-F238E27FC236}">
                  <a16:creationId xmlns:a16="http://schemas.microsoft.com/office/drawing/2014/main" id="{00000000-0008-0000-0500-000003000000}"/>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MyPlot">
                      <a:extLst>
                        <a:ext uri="{FF2B5EF4-FFF2-40B4-BE49-F238E27FC236}">
                          <a16:creationId xmlns:a16="http://schemas.microsoft.com/office/drawing/2014/main" id="{00000000-0008-0000-0500-000003000000}"/>
                        </a:ext>
                      </a:extLst>
                    </pic:cNvPr>
                    <pic:cNvPicPr>
                      <a:picLock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06770" cy="2953385"/>
                    </a:xfrm>
                    <a:prstGeom prst="rect">
                      <a:avLst/>
                    </a:prstGeom>
                  </pic:spPr>
                </pic:pic>
              </a:graphicData>
            </a:graphic>
            <wp14:sizeRelH relativeFrom="page">
              <wp14:pctWidth>0</wp14:pctWidth>
            </wp14:sizeRelH>
            <wp14:sizeRelV relativeFrom="page">
              <wp14:pctHeight>0</wp14:pctHeight>
            </wp14:sizeRelV>
          </wp:anchor>
        </w:drawing>
      </w:r>
      <w:r w:rsidR="00600AB2">
        <w:rPr>
          <w:noProof/>
        </w:rPr>
        <w:t xml:space="preserve"> </w:t>
      </w:r>
    </w:p>
    <w:p w14:paraId="1F008ACB" w14:textId="33E27817" w:rsidR="005262E4" w:rsidRDefault="005262E4" w:rsidP="00402C9F">
      <w:pPr>
        <w:pStyle w:val="Heading2"/>
        <w:numPr>
          <w:ilvl w:val="0"/>
          <w:numId w:val="0"/>
        </w:numPr>
        <w:spacing w:after="240"/>
        <w:jc w:val="center"/>
        <w:rPr>
          <w:i/>
          <w:color w:val="31849B" w:themeColor="accent5" w:themeShade="BF"/>
        </w:rPr>
      </w:pPr>
      <w:r w:rsidRPr="007C62BB">
        <w:rPr>
          <w:i/>
          <w:color w:val="31849B" w:themeColor="accent5" w:themeShade="BF"/>
        </w:rPr>
        <w:t xml:space="preserve">Figure </w:t>
      </w:r>
      <w:r>
        <w:rPr>
          <w:i/>
          <w:color w:val="31849B" w:themeColor="accent5" w:themeShade="BF"/>
        </w:rPr>
        <w:t>9.</w:t>
      </w:r>
      <w:r w:rsidRPr="007C62BB">
        <w:rPr>
          <w:i/>
          <w:color w:val="31849B" w:themeColor="accent5" w:themeShade="BF"/>
        </w:rPr>
        <w:t xml:space="preserve"> Output Example: </w:t>
      </w:r>
      <w:r>
        <w:rPr>
          <w:i/>
          <w:color w:val="31849B" w:themeColor="accent5" w:themeShade="BF"/>
        </w:rPr>
        <w:t>Multiple Horizons Projections: cdf</w:t>
      </w:r>
    </w:p>
    <w:p w14:paraId="164DCF6F" w14:textId="2FB3488F" w:rsidR="005262E4" w:rsidRDefault="005262E4" w:rsidP="00F8139C">
      <w:pPr>
        <w:pStyle w:val="Heading2"/>
        <w:numPr>
          <w:ilvl w:val="0"/>
          <w:numId w:val="0"/>
        </w:numPr>
        <w:spacing w:after="240"/>
        <w:rPr>
          <w:rFonts w:eastAsia="MS Mincho" w:cs="Times New Roman"/>
          <w:b w:val="0"/>
          <w:bCs w:val="0"/>
          <w:iCs w:val="0"/>
          <w:color w:val="auto"/>
          <w:sz w:val="21"/>
          <w:szCs w:val="24"/>
        </w:rPr>
      </w:pPr>
      <w:r>
        <w:rPr>
          <w:noProof/>
        </w:rPr>
        <w:drawing>
          <wp:anchor distT="0" distB="0" distL="114300" distR="114300" simplePos="0" relativeHeight="251840512" behindDoc="0" locked="0" layoutInCell="1" allowOverlap="1" wp14:anchorId="50AF3B65" wp14:editId="3FCB59D6">
            <wp:simplePos x="0" y="0"/>
            <wp:positionH relativeFrom="column">
              <wp:posOffset>178435</wp:posOffset>
            </wp:positionH>
            <wp:positionV relativeFrom="paragraph">
              <wp:posOffset>279400</wp:posOffset>
            </wp:positionV>
            <wp:extent cx="5906770" cy="2953385"/>
            <wp:effectExtent l="0" t="0" r="0" b="0"/>
            <wp:wrapNone/>
            <wp:docPr id="8" name="MyPlot_2">
              <a:extLst xmlns:a="http://schemas.openxmlformats.org/drawingml/2006/main">
                <a:ext uri="{FF2B5EF4-FFF2-40B4-BE49-F238E27FC236}">
                  <a16:creationId xmlns:a16="http://schemas.microsoft.com/office/drawing/2014/main" id="{00000000-0008-0000-0500-000005000000}"/>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MyPlot_2">
                      <a:extLst>
                        <a:ext uri="{FF2B5EF4-FFF2-40B4-BE49-F238E27FC236}">
                          <a16:creationId xmlns:a16="http://schemas.microsoft.com/office/drawing/2014/main" id="{00000000-0008-0000-0500-000005000000}"/>
                        </a:ext>
                      </a:extLst>
                    </pic:cNvPr>
                    <pic:cNvPicPr>
                      <a:picLock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06770" cy="2953385"/>
                    </a:xfrm>
                    <a:prstGeom prst="rect">
                      <a:avLst/>
                    </a:prstGeom>
                  </pic:spPr>
                </pic:pic>
              </a:graphicData>
            </a:graphic>
            <wp14:sizeRelH relativeFrom="page">
              <wp14:pctWidth>0</wp14:pctWidth>
            </wp14:sizeRelH>
            <wp14:sizeRelV relativeFrom="page">
              <wp14:pctHeight>0</wp14:pctHeight>
            </wp14:sizeRelV>
          </wp:anchor>
        </w:drawing>
      </w:r>
    </w:p>
    <w:p w14:paraId="34845BD8" w14:textId="77777777" w:rsidR="005262E4" w:rsidRDefault="005262E4" w:rsidP="00F8139C">
      <w:pPr>
        <w:pStyle w:val="Heading2"/>
        <w:numPr>
          <w:ilvl w:val="0"/>
          <w:numId w:val="0"/>
        </w:numPr>
        <w:spacing w:after="240"/>
        <w:rPr>
          <w:rFonts w:eastAsia="MS Mincho" w:cs="Times New Roman"/>
          <w:b w:val="0"/>
          <w:bCs w:val="0"/>
          <w:iCs w:val="0"/>
          <w:color w:val="auto"/>
          <w:sz w:val="21"/>
          <w:szCs w:val="24"/>
        </w:rPr>
      </w:pPr>
    </w:p>
    <w:p w14:paraId="09329066" w14:textId="5C1BC076" w:rsidR="005262E4" w:rsidRDefault="005262E4" w:rsidP="00F8139C">
      <w:pPr>
        <w:pStyle w:val="Heading2"/>
        <w:numPr>
          <w:ilvl w:val="0"/>
          <w:numId w:val="0"/>
        </w:numPr>
        <w:spacing w:after="240"/>
        <w:rPr>
          <w:rFonts w:eastAsia="MS Mincho" w:cs="Times New Roman"/>
          <w:b w:val="0"/>
          <w:bCs w:val="0"/>
          <w:iCs w:val="0"/>
          <w:color w:val="auto"/>
          <w:sz w:val="21"/>
          <w:szCs w:val="24"/>
        </w:rPr>
      </w:pPr>
    </w:p>
    <w:p w14:paraId="1BB08CCF" w14:textId="77777777" w:rsidR="005262E4" w:rsidRDefault="005262E4" w:rsidP="00F8139C">
      <w:pPr>
        <w:pStyle w:val="Heading2"/>
        <w:numPr>
          <w:ilvl w:val="0"/>
          <w:numId w:val="0"/>
        </w:numPr>
        <w:spacing w:after="240"/>
        <w:rPr>
          <w:rFonts w:eastAsia="MS Mincho" w:cs="Times New Roman"/>
          <w:b w:val="0"/>
          <w:bCs w:val="0"/>
          <w:iCs w:val="0"/>
          <w:color w:val="auto"/>
          <w:sz w:val="21"/>
          <w:szCs w:val="24"/>
        </w:rPr>
      </w:pPr>
    </w:p>
    <w:p w14:paraId="0354DFDD" w14:textId="77777777" w:rsidR="005262E4" w:rsidRDefault="005262E4" w:rsidP="00F8139C">
      <w:pPr>
        <w:pStyle w:val="Heading2"/>
        <w:numPr>
          <w:ilvl w:val="0"/>
          <w:numId w:val="0"/>
        </w:numPr>
        <w:spacing w:after="240"/>
        <w:rPr>
          <w:rFonts w:eastAsia="MS Mincho" w:cs="Times New Roman"/>
          <w:b w:val="0"/>
          <w:bCs w:val="0"/>
          <w:iCs w:val="0"/>
          <w:color w:val="auto"/>
          <w:sz w:val="21"/>
          <w:szCs w:val="24"/>
        </w:rPr>
      </w:pPr>
    </w:p>
    <w:p w14:paraId="70404152" w14:textId="77777777" w:rsidR="005262E4" w:rsidRDefault="005262E4" w:rsidP="00F8139C">
      <w:pPr>
        <w:pStyle w:val="Heading2"/>
        <w:numPr>
          <w:ilvl w:val="0"/>
          <w:numId w:val="0"/>
        </w:numPr>
        <w:spacing w:after="240"/>
        <w:rPr>
          <w:rFonts w:eastAsia="MS Mincho" w:cs="Times New Roman"/>
          <w:b w:val="0"/>
          <w:bCs w:val="0"/>
          <w:iCs w:val="0"/>
          <w:color w:val="auto"/>
          <w:sz w:val="21"/>
          <w:szCs w:val="24"/>
        </w:rPr>
      </w:pPr>
    </w:p>
    <w:p w14:paraId="11C47035" w14:textId="77777777" w:rsidR="005262E4" w:rsidRDefault="005262E4" w:rsidP="00F8139C">
      <w:pPr>
        <w:pStyle w:val="Heading2"/>
        <w:numPr>
          <w:ilvl w:val="0"/>
          <w:numId w:val="0"/>
        </w:numPr>
        <w:spacing w:after="240"/>
      </w:pPr>
    </w:p>
    <w:p w14:paraId="0FD1CEBC" w14:textId="77777777" w:rsidR="005262E4" w:rsidRDefault="005262E4" w:rsidP="00F8139C">
      <w:pPr>
        <w:pStyle w:val="Heading2"/>
        <w:numPr>
          <w:ilvl w:val="0"/>
          <w:numId w:val="0"/>
        </w:numPr>
        <w:spacing w:after="240"/>
      </w:pPr>
    </w:p>
    <w:p w14:paraId="0B47B19E" w14:textId="142A2EE4" w:rsidR="005262E4" w:rsidRDefault="005262E4">
      <w:pPr>
        <w:spacing w:line="22" w:lineRule="auto"/>
        <w:rPr>
          <w:rFonts w:eastAsia="Segoe UI" w:cs="Arial"/>
          <w:b/>
          <w:bCs/>
          <w:iCs/>
          <w:color w:val="4B82AD"/>
          <w:sz w:val="26"/>
          <w:szCs w:val="28"/>
        </w:rPr>
      </w:pPr>
      <w:r>
        <w:br w:type="page"/>
      </w:r>
    </w:p>
    <w:p w14:paraId="31558E3C" w14:textId="77777777" w:rsidR="005262E4" w:rsidRDefault="005262E4" w:rsidP="00F8139C">
      <w:pPr>
        <w:pStyle w:val="Heading2"/>
        <w:numPr>
          <w:ilvl w:val="0"/>
          <w:numId w:val="0"/>
        </w:numPr>
        <w:spacing w:after="240"/>
      </w:pPr>
    </w:p>
    <w:p w14:paraId="12AC9A78" w14:textId="7EF4AAC1" w:rsidR="003D798F" w:rsidRDefault="00FA42E7" w:rsidP="00F8139C">
      <w:pPr>
        <w:pStyle w:val="Heading2"/>
        <w:numPr>
          <w:ilvl w:val="0"/>
          <w:numId w:val="0"/>
        </w:numPr>
        <w:spacing w:after="240"/>
      </w:pPr>
      <w:r>
        <w:t>R</w:t>
      </w:r>
      <w:r w:rsidR="00A22508">
        <w:t>eferences</w:t>
      </w:r>
    </w:p>
    <w:p w14:paraId="5FA4CBC2" w14:textId="616B3533" w:rsidR="004969CB" w:rsidRPr="004969CB" w:rsidRDefault="004969CB" w:rsidP="004969CB">
      <w:pPr>
        <w:spacing w:after="240"/>
        <w:ind w:left="540" w:hanging="540"/>
        <w:rPr>
          <w:rFonts w:cs="Segoe UI"/>
          <w:szCs w:val="21"/>
        </w:rPr>
      </w:pPr>
      <w:r w:rsidRPr="004969CB">
        <w:rPr>
          <w:rFonts w:cs="Segoe UI"/>
          <w:szCs w:val="21"/>
        </w:rPr>
        <w:t>Adrian, Tobias, Nina Boy</w:t>
      </w:r>
      <w:r w:rsidR="002B3C62">
        <w:rPr>
          <w:rFonts w:cs="Segoe UI"/>
          <w:szCs w:val="21"/>
        </w:rPr>
        <w:t>archenko, and Domenico Giannone</w:t>
      </w:r>
      <w:r w:rsidR="00600AB2">
        <w:rPr>
          <w:rFonts w:cs="Segoe UI"/>
          <w:szCs w:val="21"/>
        </w:rPr>
        <w:t>, 2018</w:t>
      </w:r>
      <w:r w:rsidRPr="004969CB">
        <w:rPr>
          <w:rFonts w:cs="Segoe UI"/>
          <w:szCs w:val="21"/>
        </w:rPr>
        <w:t xml:space="preserve"> “</w:t>
      </w:r>
      <w:r w:rsidRPr="002A7426">
        <w:rPr>
          <w:rFonts w:cs="Segoe UI"/>
          <w:szCs w:val="21"/>
        </w:rPr>
        <w:t>Vulnerable Growth</w:t>
      </w:r>
      <w:r w:rsidR="002A7426">
        <w:rPr>
          <w:rFonts w:cs="Segoe UI"/>
          <w:szCs w:val="21"/>
        </w:rPr>
        <w:t xml:space="preserve">.” </w:t>
      </w:r>
      <w:r w:rsidR="002A7426" w:rsidRPr="002A7426">
        <w:rPr>
          <w:rFonts w:cs="Segoe UI"/>
          <w:i/>
          <w:szCs w:val="21"/>
        </w:rPr>
        <w:t xml:space="preserve">American Economic Review, </w:t>
      </w:r>
      <w:r w:rsidR="002A7426" w:rsidRPr="00121A77">
        <w:rPr>
          <w:rFonts w:cs="Segoe UI"/>
          <w:szCs w:val="21"/>
        </w:rPr>
        <w:t>forthcoming</w:t>
      </w:r>
    </w:p>
    <w:p w14:paraId="4E720969" w14:textId="4E7261C2" w:rsidR="003163AD" w:rsidRPr="00A22508" w:rsidRDefault="003163AD" w:rsidP="004969CB">
      <w:pPr>
        <w:spacing w:after="240"/>
        <w:ind w:left="540" w:hanging="540"/>
        <w:rPr>
          <w:rFonts w:cs="Segoe UI"/>
          <w:szCs w:val="21"/>
        </w:rPr>
      </w:pPr>
      <w:r w:rsidRPr="00A22508">
        <w:rPr>
          <w:rFonts w:cs="Segoe UI"/>
          <w:szCs w:val="21"/>
        </w:rPr>
        <w:t>Azzalini, Adelchi and Antonella Capitanio. 2003. “</w:t>
      </w:r>
      <w:r w:rsidRPr="00A22508">
        <w:rPr>
          <w:rFonts w:cs="Segoe UI"/>
          <w:color w:val="000000" w:themeColor="text1"/>
          <w:szCs w:val="21"/>
        </w:rPr>
        <w:t xml:space="preserve">Distributions Generated by Perturbations of Symmetry with Emphasis on a Multivariate Skew t-distribution.” </w:t>
      </w:r>
      <w:r w:rsidRPr="00A22508">
        <w:rPr>
          <w:rFonts w:cs="Segoe UI"/>
          <w:i/>
          <w:color w:val="000000" w:themeColor="text1"/>
          <w:szCs w:val="21"/>
        </w:rPr>
        <w:t>Journal of the Royal Statistical Society: Series B</w:t>
      </w:r>
      <w:r w:rsidRPr="00A22508">
        <w:rPr>
          <w:rFonts w:cs="Segoe UI"/>
          <w:color w:val="000000" w:themeColor="text1"/>
          <w:szCs w:val="21"/>
        </w:rPr>
        <w:t>, 65: 367-89.</w:t>
      </w:r>
    </w:p>
    <w:p w14:paraId="19B46BED" w14:textId="77777777" w:rsidR="003163AD" w:rsidRPr="00A22508" w:rsidRDefault="003163AD" w:rsidP="00805FDD">
      <w:pPr>
        <w:spacing w:after="240"/>
        <w:ind w:left="540" w:hanging="540"/>
        <w:rPr>
          <w:rFonts w:cs="Segoe UI"/>
          <w:i/>
          <w:iCs/>
          <w:color w:val="222222"/>
          <w:szCs w:val="21"/>
        </w:rPr>
      </w:pPr>
      <w:r w:rsidRPr="00A22508">
        <w:rPr>
          <w:rFonts w:cs="Segoe UI"/>
          <w:szCs w:val="21"/>
        </w:rPr>
        <w:t xml:space="preserve">Duda, Richard O., Peter E. Hart, and David G. Stork. 2001. </w:t>
      </w:r>
      <w:r w:rsidRPr="00A22508">
        <w:rPr>
          <w:rFonts w:cs="Segoe UI"/>
          <w:i/>
          <w:szCs w:val="21"/>
        </w:rPr>
        <w:t>Pattern Classification</w:t>
      </w:r>
      <w:r w:rsidRPr="00A22508">
        <w:rPr>
          <w:rFonts w:cs="Segoe UI"/>
          <w:szCs w:val="21"/>
        </w:rPr>
        <w:t xml:space="preserve">. </w:t>
      </w:r>
      <w:r w:rsidRPr="00A22508">
        <w:rPr>
          <w:rFonts w:cs="Segoe UI"/>
          <w:iCs/>
          <w:szCs w:val="21"/>
        </w:rPr>
        <w:t>Wiley-Interscience</w:t>
      </w:r>
      <w:r w:rsidRPr="00A22508">
        <w:rPr>
          <w:rFonts w:cs="Segoe UI"/>
          <w:i/>
          <w:iCs/>
          <w:color w:val="222222"/>
          <w:szCs w:val="21"/>
        </w:rPr>
        <w:t>.</w:t>
      </w:r>
    </w:p>
    <w:p w14:paraId="1EF083F8" w14:textId="77777777" w:rsidR="003163AD" w:rsidRPr="00A22508" w:rsidRDefault="003163AD" w:rsidP="00805FDD">
      <w:pPr>
        <w:spacing w:after="240"/>
        <w:ind w:left="540" w:hanging="540"/>
        <w:rPr>
          <w:rFonts w:cs="Segoe UI"/>
          <w:color w:val="000000" w:themeColor="text1"/>
          <w:szCs w:val="21"/>
        </w:rPr>
      </w:pPr>
      <w:r w:rsidRPr="00A22508">
        <w:rPr>
          <w:rFonts w:cs="Segoe UI"/>
          <w:color w:val="000000" w:themeColor="text1"/>
          <w:szCs w:val="21"/>
        </w:rPr>
        <w:t>Fernandez,</w:t>
      </w:r>
      <w:r w:rsidRPr="00A22508">
        <w:rPr>
          <w:rFonts w:cs="Segoe UI"/>
          <w:color w:val="222222"/>
          <w:szCs w:val="21"/>
        </w:rPr>
        <w:t xml:space="preserve"> Carmen, and Mark FJ Steel</w:t>
      </w:r>
      <w:r w:rsidRPr="00A22508">
        <w:rPr>
          <w:rFonts w:cs="Segoe UI"/>
          <w:color w:val="000000" w:themeColor="text1"/>
          <w:szCs w:val="21"/>
        </w:rPr>
        <w:t xml:space="preserve">. 1998. “On Bayesian Modelling of Fat Tails and Skewness.” </w:t>
      </w:r>
      <w:r w:rsidRPr="00A22508">
        <w:rPr>
          <w:rFonts w:cs="Segoe UI"/>
          <w:i/>
          <w:color w:val="000000" w:themeColor="text1"/>
          <w:szCs w:val="21"/>
        </w:rPr>
        <w:t>Journal of the American Statistical Association</w:t>
      </w:r>
      <w:r w:rsidRPr="00A22508">
        <w:rPr>
          <w:rFonts w:cs="Segoe UI"/>
          <w:color w:val="000000" w:themeColor="text1"/>
          <w:szCs w:val="21"/>
        </w:rPr>
        <w:t>, 93 (441): 359</w:t>
      </w:r>
      <w:r w:rsidRPr="00A22508">
        <w:rPr>
          <w:rFonts w:cs="Segoe UI"/>
          <w:szCs w:val="21"/>
        </w:rPr>
        <w:t>–</w:t>
      </w:r>
      <w:r w:rsidRPr="00A22508">
        <w:rPr>
          <w:rFonts w:cs="Segoe UI"/>
          <w:color w:val="000000" w:themeColor="text1"/>
          <w:szCs w:val="21"/>
        </w:rPr>
        <w:t>71.</w:t>
      </w:r>
    </w:p>
    <w:p w14:paraId="1C9D8D81" w14:textId="77777777" w:rsidR="003163AD" w:rsidRPr="00A22508" w:rsidRDefault="003163AD" w:rsidP="00805FDD">
      <w:pPr>
        <w:spacing w:after="240"/>
        <w:ind w:left="540" w:hanging="540"/>
        <w:rPr>
          <w:rFonts w:cs="Segoe UI"/>
          <w:color w:val="000000" w:themeColor="text1"/>
          <w:szCs w:val="21"/>
        </w:rPr>
      </w:pPr>
      <w:r w:rsidRPr="00207E4A">
        <w:rPr>
          <w:rFonts w:cs="Segoe UI"/>
          <w:color w:val="000000" w:themeColor="text1"/>
          <w:szCs w:val="21"/>
        </w:rPr>
        <w:t>Giot, Pierre and</w:t>
      </w:r>
      <w:r w:rsidRPr="00207E4A">
        <w:rPr>
          <w:rFonts w:cs="Segoe UI"/>
          <w:color w:val="222222"/>
          <w:szCs w:val="21"/>
        </w:rPr>
        <w:t xml:space="preserve"> Sébastien</w:t>
      </w:r>
      <w:r w:rsidRPr="00207E4A">
        <w:rPr>
          <w:rFonts w:cs="Segoe UI"/>
          <w:color w:val="000000" w:themeColor="text1"/>
          <w:szCs w:val="21"/>
        </w:rPr>
        <w:t xml:space="preserve"> Laurent. </w:t>
      </w:r>
      <w:r w:rsidRPr="00A22508">
        <w:rPr>
          <w:rFonts w:cs="Segoe UI"/>
          <w:color w:val="000000" w:themeColor="text1"/>
          <w:szCs w:val="21"/>
        </w:rPr>
        <w:t xml:space="preserve">2003. “Value-at-Risk for Long and Short Trading Positions.” </w:t>
      </w:r>
      <w:r w:rsidRPr="00A22508">
        <w:rPr>
          <w:rFonts w:cs="Segoe UI"/>
          <w:i/>
          <w:color w:val="000000" w:themeColor="text1"/>
          <w:szCs w:val="21"/>
        </w:rPr>
        <w:t>Journal of Applied Econometrics</w:t>
      </w:r>
      <w:r w:rsidRPr="00A22508">
        <w:rPr>
          <w:rFonts w:cs="Segoe UI"/>
          <w:color w:val="000000" w:themeColor="text1"/>
          <w:szCs w:val="21"/>
        </w:rPr>
        <w:t xml:space="preserve"> 18 (6): 641</w:t>
      </w:r>
      <w:r w:rsidRPr="00A22508">
        <w:rPr>
          <w:rFonts w:cs="Segoe UI"/>
          <w:szCs w:val="21"/>
        </w:rPr>
        <w:t>–</w:t>
      </w:r>
      <w:r w:rsidRPr="00A22508">
        <w:rPr>
          <w:rFonts w:cs="Segoe UI"/>
          <w:color w:val="000000" w:themeColor="text1"/>
          <w:szCs w:val="21"/>
        </w:rPr>
        <w:t>64.</w:t>
      </w:r>
    </w:p>
    <w:p w14:paraId="0A5860F6" w14:textId="77777777" w:rsidR="003163AD" w:rsidRPr="00A22508" w:rsidRDefault="003163AD" w:rsidP="00805FDD">
      <w:pPr>
        <w:spacing w:after="240"/>
        <w:ind w:left="540" w:hanging="540"/>
        <w:rPr>
          <w:rFonts w:cs="Segoe UI"/>
          <w:szCs w:val="21"/>
        </w:rPr>
      </w:pPr>
      <w:r w:rsidRPr="00A22508">
        <w:rPr>
          <w:rFonts w:cs="Segoe UI"/>
          <w:szCs w:val="21"/>
        </w:rPr>
        <w:t xml:space="preserve">Izenman, Alan J. 2013. </w:t>
      </w:r>
      <w:r w:rsidRPr="00A22508">
        <w:rPr>
          <w:rFonts w:cs="Segoe UI"/>
          <w:i/>
          <w:szCs w:val="21"/>
        </w:rPr>
        <w:t>Modern Multivariate Statistical Techniques: Regression, Classification, and Manifold Learning</w:t>
      </w:r>
      <w:r w:rsidRPr="00A22508">
        <w:rPr>
          <w:rFonts w:cs="Segoe UI"/>
          <w:szCs w:val="21"/>
        </w:rPr>
        <w:t>. Springer-Verlag.</w:t>
      </w:r>
    </w:p>
    <w:p w14:paraId="427BE0E6" w14:textId="77777777" w:rsidR="003163AD" w:rsidRPr="00A22508" w:rsidRDefault="003163AD" w:rsidP="00805FDD">
      <w:pPr>
        <w:spacing w:after="240"/>
        <w:ind w:left="540" w:hanging="540"/>
        <w:rPr>
          <w:rFonts w:cs="Segoe UI"/>
          <w:color w:val="222222"/>
          <w:szCs w:val="21"/>
        </w:rPr>
      </w:pPr>
      <w:r w:rsidRPr="00A22508">
        <w:rPr>
          <w:rFonts w:cs="Segoe UI"/>
          <w:color w:val="222222"/>
          <w:szCs w:val="21"/>
        </w:rPr>
        <w:t xml:space="preserve">Koenker, Roger. 2005. </w:t>
      </w:r>
      <w:r w:rsidRPr="00A22508">
        <w:rPr>
          <w:rFonts w:cs="Segoe UI"/>
          <w:i/>
          <w:color w:val="222222"/>
          <w:szCs w:val="21"/>
        </w:rPr>
        <w:t>Quantile Regression</w:t>
      </w:r>
      <w:r w:rsidRPr="00A22508">
        <w:rPr>
          <w:rFonts w:cs="Segoe UI"/>
          <w:color w:val="222222"/>
          <w:szCs w:val="21"/>
        </w:rPr>
        <w:t>. Cambridge University Press.</w:t>
      </w:r>
    </w:p>
    <w:p w14:paraId="47AAB03C" w14:textId="77777777" w:rsidR="003163AD" w:rsidRPr="00A22508" w:rsidRDefault="003163AD" w:rsidP="00805FDD">
      <w:pPr>
        <w:spacing w:after="240"/>
        <w:ind w:left="540" w:hanging="540"/>
        <w:rPr>
          <w:rFonts w:cs="Segoe UI"/>
          <w:color w:val="222222"/>
          <w:szCs w:val="21"/>
        </w:rPr>
      </w:pPr>
      <w:r w:rsidRPr="00A22508">
        <w:rPr>
          <w:rFonts w:cs="Segoe UI"/>
          <w:color w:val="222222"/>
          <w:szCs w:val="21"/>
        </w:rPr>
        <w:t xml:space="preserve">Koop, Gary and Dimitris Korobilis. 2014. “A New Index of Financial Conditions.” </w:t>
      </w:r>
      <w:r w:rsidRPr="00A22508">
        <w:rPr>
          <w:rFonts w:cs="Segoe UI"/>
          <w:i/>
          <w:color w:val="222222"/>
          <w:szCs w:val="21"/>
        </w:rPr>
        <w:t>European Economic Review</w:t>
      </w:r>
      <w:r w:rsidRPr="00A22508">
        <w:rPr>
          <w:rFonts w:cs="Segoe UI"/>
          <w:color w:val="222222"/>
          <w:szCs w:val="21"/>
        </w:rPr>
        <w:t xml:space="preserve"> 71: 101</w:t>
      </w:r>
      <w:r w:rsidRPr="00A22508">
        <w:rPr>
          <w:rFonts w:cs="Segoe UI"/>
          <w:szCs w:val="21"/>
        </w:rPr>
        <w:t>–</w:t>
      </w:r>
      <w:r w:rsidRPr="00A22508">
        <w:rPr>
          <w:rFonts w:cs="Segoe UI"/>
          <w:color w:val="222222"/>
          <w:szCs w:val="21"/>
        </w:rPr>
        <w:t>16.</w:t>
      </w:r>
    </w:p>
    <w:p w14:paraId="7DC305CB" w14:textId="77777777" w:rsidR="003163AD" w:rsidRPr="005262E4" w:rsidRDefault="003163AD" w:rsidP="00805FDD">
      <w:pPr>
        <w:spacing w:after="240"/>
        <w:ind w:left="540" w:hanging="540"/>
        <w:rPr>
          <w:rFonts w:cs="Segoe UI"/>
          <w:color w:val="222222"/>
          <w:szCs w:val="21"/>
          <w:lang w:val="fr-FR"/>
        </w:rPr>
      </w:pPr>
      <w:r w:rsidRPr="00A22508">
        <w:rPr>
          <w:rFonts w:cs="Segoe UI"/>
          <w:color w:val="000000" w:themeColor="text1"/>
          <w:szCs w:val="21"/>
        </w:rPr>
        <w:t xml:space="preserve">Lambert, P. and S. Laurent. 2002. “Modelling Skewness Dynamics in Series of Financial Data using Skewed Location-Scale Distributions.” </w:t>
      </w:r>
      <w:r w:rsidRPr="005262E4">
        <w:rPr>
          <w:rFonts w:cs="Segoe UI"/>
          <w:color w:val="000000" w:themeColor="text1"/>
          <w:szCs w:val="21"/>
          <w:lang w:val="fr-FR"/>
        </w:rPr>
        <w:t>Discussion Paper, Institut de Statistique, Université Catholique de Louvain.</w:t>
      </w:r>
    </w:p>
    <w:p w14:paraId="22D1B0B6" w14:textId="12490DA7" w:rsidR="003163AD" w:rsidRPr="005262E4" w:rsidRDefault="00402C9F" w:rsidP="00805FDD">
      <w:pPr>
        <w:spacing w:after="240"/>
        <w:ind w:left="540" w:hanging="540"/>
        <w:rPr>
          <w:rFonts w:cs="Segoe UI"/>
          <w:szCs w:val="21"/>
        </w:rPr>
      </w:pPr>
      <w:r w:rsidRPr="00402C9F">
        <w:rPr>
          <w:rFonts w:cs="Segoe UI"/>
          <w:szCs w:val="21"/>
        </w:rPr>
        <w:t>Zhu, Dongming and John</w:t>
      </w:r>
      <w:r w:rsidR="005262E4" w:rsidRPr="00402C9F">
        <w:rPr>
          <w:rFonts w:cs="Segoe UI"/>
          <w:szCs w:val="21"/>
        </w:rPr>
        <w:t xml:space="preserve"> Galbraith. </w:t>
      </w:r>
      <w:r w:rsidR="005262E4" w:rsidRPr="005262E4">
        <w:rPr>
          <w:rFonts w:cs="Segoe UI"/>
          <w:szCs w:val="21"/>
        </w:rPr>
        <w:t>2010</w:t>
      </w:r>
      <w:r w:rsidR="005262E4">
        <w:rPr>
          <w:rFonts w:cs="Segoe UI"/>
          <w:szCs w:val="21"/>
        </w:rPr>
        <w:t xml:space="preserve"> “</w:t>
      </w:r>
      <w:r>
        <w:rPr>
          <w:rFonts w:cs="Segoe UI"/>
          <w:szCs w:val="21"/>
        </w:rPr>
        <w:t>A Generalized Asymmetric Student-t Distribution with Application to Financial E</w:t>
      </w:r>
      <w:r w:rsidR="005262E4" w:rsidRPr="005262E4">
        <w:rPr>
          <w:rFonts w:cs="Segoe UI"/>
          <w:szCs w:val="21"/>
        </w:rPr>
        <w:t>conometrics</w:t>
      </w:r>
      <w:r w:rsidR="005262E4" w:rsidRPr="005262E4">
        <w:rPr>
          <w:rFonts w:cs="Segoe UI"/>
          <w:i/>
          <w:szCs w:val="21"/>
        </w:rPr>
        <w:t>”. Journal of Econometrics</w:t>
      </w:r>
      <w:r w:rsidR="005262E4">
        <w:rPr>
          <w:rFonts w:cs="Segoe UI"/>
          <w:szCs w:val="21"/>
        </w:rPr>
        <w:t>, 2010, vol. 157(2), 297-305</w:t>
      </w:r>
    </w:p>
    <w:sectPr w:rsidR="003163AD" w:rsidRPr="005262E4" w:rsidSect="00EB2F68">
      <w:headerReference w:type="default" r:id="rId18"/>
      <w:headerReference w:type="first" r:id="rId19"/>
      <w:footerReference w:type="first" r:id="rId20"/>
      <w:pgSz w:w="12240" w:h="15840" w:code="1"/>
      <w:pgMar w:top="1440" w:right="1469" w:bottom="1440" w:left="1469"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DEFF8" w14:textId="77777777" w:rsidR="002B3C62" w:rsidRDefault="002B3C62">
      <w:r>
        <w:separator/>
      </w:r>
    </w:p>
  </w:endnote>
  <w:endnote w:type="continuationSeparator" w:id="0">
    <w:p w14:paraId="081814C0" w14:textId="77777777" w:rsidR="002B3C62" w:rsidRDefault="002B3C62">
      <w:r>
        <w:continuationSeparator/>
      </w:r>
    </w:p>
  </w:endnote>
  <w:endnote w:type="continuationNotice" w:id="1">
    <w:p w14:paraId="2EB40CA6" w14:textId="77777777" w:rsidR="002B3C62" w:rsidRDefault="002B3C6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 LT Std 55 Roman">
    <w:altName w:val="Calibri"/>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Helvetica">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6FCE9" w14:textId="77777777" w:rsidR="002B3C62" w:rsidRDefault="002B3C62" w:rsidP="001B1223">
    <w:pPr>
      <w:pStyle w:val="Footer"/>
      <w:tabs>
        <w:tab w:val="clear" w:pos="8640"/>
        <w:tab w:val="right" w:pos="9000"/>
      </w:tabs>
      <w:ind w:left="1440" w:firstLine="4320"/>
    </w:pPr>
    <w:r>
      <w:rPr>
        <w:noProof/>
      </w:rPr>
      <mc:AlternateContent>
        <mc:Choice Requires="wps">
          <w:drawing>
            <wp:anchor distT="0" distB="0" distL="114300" distR="114300" simplePos="0" relativeHeight="251659264" behindDoc="0" locked="0" layoutInCell="1" allowOverlap="1" wp14:anchorId="69797899" wp14:editId="74147CF1">
              <wp:simplePos x="0" y="0"/>
              <wp:positionH relativeFrom="column">
                <wp:posOffset>5410200</wp:posOffset>
              </wp:positionH>
              <wp:positionV relativeFrom="paragraph">
                <wp:posOffset>-16510</wp:posOffset>
              </wp:positionV>
              <wp:extent cx="295275" cy="180975"/>
              <wp:effectExtent l="9525" t="12065" r="9525" b="698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180975"/>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extLs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txbx>
                      <w:txbxContent>
                        <w:p w14:paraId="79D8C9BB" w14:textId="77777777" w:rsidR="002B3C62" w:rsidRDefault="002B3C62" w:rsidP="001B1223">
                          <w:r>
                            <w:fldChar w:fldCharType="begin"/>
                          </w:r>
                          <w:r>
                            <w:instrText xml:space="preserve"> PAGE </w:instrText>
                          </w:r>
                          <w:r>
                            <w:fldChar w:fldCharType="separate"/>
                          </w:r>
                          <w:r>
                            <w:rPr>
                              <w:noProof/>
                            </w:rPr>
                            <w:t>3</w:t>
                          </w:r>
                          <w:r>
                            <w:rPr>
                              <w:noProof/>
                            </w:rPr>
                            <w:fldChar w:fldCharType="end"/>
                          </w:r>
                          <w:r>
                            <w:t xml:space="preserve"> </w:t>
                          </w:r>
                        </w:p>
                        <w:p w14:paraId="0CBFF88F" w14:textId="77777777" w:rsidR="002B3C62" w:rsidRDefault="002B3C62"/>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797899" id="_x0000_t202" coordsize="21600,21600" o:spt="202" path="m,l,21600r21600,l21600,xe">
              <v:stroke joinstyle="miter"/>
              <v:path gradientshapeok="t" o:connecttype="rect"/>
            </v:shapetype>
            <v:shape id="Text Box 2" o:spid="_x0000_s1027" type="#_x0000_t202" style="position:absolute;left:0;text-align:left;margin-left:426pt;margin-top:-1.3pt;width:23.2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" fillcolor="#666 [1936]" strokecolor="#666 [1936]" strokeweight="1pt">
              <v:fill color2="#ccc [656]" angle="135" focus="50%" type="gradient"/>
              <v:shadow color="#7f7f7f [1601]" opacity=".5" offset="1pt"/>
              <v:textbox inset="5.85pt,.7pt,5.85pt,.7pt">
                <w:txbxContent>
                  <w:p w14:paraId="79D8C9BB" w14:textId="77777777" w:rsidR="00EC18C4" w:rsidRDefault="00EC18C4" w:rsidP="001B1223">
                    <w:r>
                      <w:fldChar w:fldCharType="begin"/>
                    </w:r>
                    <w:r>
                      <w:instrText xml:space="preserve"> PAGE </w:instrText>
                    </w:r>
                    <w:r>
                      <w:fldChar w:fldCharType="separate"/>
                    </w:r>
                    <w:r>
                      <w:rPr>
                        <w:noProof/>
                      </w:rPr>
                      <w:t>3</w:t>
                    </w:r>
                    <w:r>
                      <w:rPr>
                        <w:noProof/>
                      </w:rPr>
                      <w:fldChar w:fldCharType="end"/>
                    </w:r>
                    <w:r>
                      <w:t xml:space="preserve"> </w:t>
                    </w:r>
                  </w:p>
                  <w:p w14:paraId="0CBFF88F" w14:textId="77777777" w:rsidR="00EC18C4" w:rsidRDefault="00EC18C4"/>
                </w:txbxContent>
              </v:textbox>
            </v:shape>
          </w:pict>
        </mc:Fallback>
      </mc:AlternateContent>
    </w:r>
    <w:r>
      <w:t xml:space="preserve">International Monetary Fund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1FEED" w14:textId="77777777" w:rsidR="002B3C62" w:rsidRDefault="002B3C62">
      <w:r>
        <w:separator/>
      </w:r>
    </w:p>
  </w:footnote>
  <w:footnote w:type="continuationSeparator" w:id="0">
    <w:p w14:paraId="0C5DC4AA" w14:textId="77777777" w:rsidR="002B3C62" w:rsidRDefault="002B3C62">
      <w:r>
        <w:continuationSeparator/>
      </w:r>
    </w:p>
  </w:footnote>
  <w:footnote w:type="continuationNotice" w:id="1">
    <w:p w14:paraId="4EBE436A" w14:textId="77777777" w:rsidR="002B3C62" w:rsidRDefault="002B3C62">
      <w:pPr>
        <w:jc w:val="right"/>
      </w:pPr>
      <w:r>
        <w:t>(continued)</w:t>
      </w:r>
    </w:p>
  </w:footnote>
  <w:footnote w:id="2">
    <w:p w14:paraId="7891B8AC" w14:textId="5F4F09F8" w:rsidR="002B3C62" w:rsidRDefault="002B3C62">
      <w:pPr>
        <w:pStyle w:val="FootnoteText"/>
      </w:pPr>
      <w:r>
        <w:rPr>
          <w:rStyle w:val="FootnoteReference"/>
        </w:rPr>
        <w:footnoteRef/>
      </w:r>
      <w:r>
        <w:t xml:space="preserve"> This version: </w:t>
      </w:r>
      <w:r w:rsidR="00AE1FF5">
        <w:t>February</w:t>
      </w:r>
      <w:bookmarkStart w:id="1" w:name="_GoBack"/>
      <w:bookmarkEnd w:id="1"/>
      <w:r w:rsidR="00F83EC6">
        <w:t xml:space="preserve"> 2019</w:t>
      </w:r>
      <w:r>
        <w:t>. Drafted by Romain Lafarguette</w:t>
      </w:r>
      <w:r w:rsidR="00F83EC6">
        <w:t xml:space="preserve"> (IMF)</w:t>
      </w:r>
      <w:r>
        <w:t xml:space="preserve">. Technical questions and clarifications about the empirical strategy should be addressed to: </w:t>
      </w:r>
      <w:hyperlink r:id="rId1" w:history="1">
        <w:r w:rsidRPr="00096F4C">
          <w:rPr>
            <w:rStyle w:val="Hyperlink"/>
          </w:rPr>
          <w:t>rlafarguette@imf.org</w:t>
        </w:r>
      </w:hyperlink>
      <w:r>
        <w:t xml:space="preserve">; questions about the Excel interface should be addressed to Changchun Wang at </w:t>
      </w:r>
      <w:hyperlink r:id="rId2" w:history="1">
        <w:r w:rsidR="00853D7D" w:rsidRPr="001860BD">
          <w:rPr>
            <w:rStyle w:val="Hyperlink"/>
          </w:rPr>
          <w:t>cwang2@imf.org</w:t>
        </w:r>
      </w:hyperlink>
      <w:r w:rsidR="00853D7D">
        <w:t xml:space="preserve">. </w:t>
      </w:r>
      <w:r w:rsidR="00AE1FF5" w:rsidRPr="00AE1FF5">
        <w:t>Reuse of this tool and IMF data does not imply any endorsement of the research and/or product. Any research presented should not be reported as representing the views of the IMF, its Executive Board, or member governments.</w:t>
      </w:r>
    </w:p>
  </w:footnote>
  <w:footnote w:id="3">
    <w:p w14:paraId="10FCE905" w14:textId="48659BBD" w:rsidR="002B3C62" w:rsidRDefault="002B3C62">
      <w:pPr>
        <w:pStyle w:val="FootnoteText"/>
      </w:pPr>
      <w:r>
        <w:rPr>
          <w:rStyle w:val="FootnoteReference"/>
        </w:rPr>
        <w:footnoteRef/>
      </w:r>
      <w:r>
        <w:t xml:space="preserve"> The Python version should be at least 3.5. The tool automatically manages paths and packages; the easiest way is to install the most recent Python Anaconda distribution, which contains by default all the packages needed for the GaR tool. For IMF users, the </w:t>
      </w:r>
      <w:r w:rsidR="005C587E">
        <w:t xml:space="preserve">IMF </w:t>
      </w:r>
      <w:r>
        <w:t>software center already has a full-fledged Anaconda distribution available which fits all the requirements of the GaR tool.</w:t>
      </w:r>
    </w:p>
  </w:footnote>
  <w:footnote w:id="4">
    <w:p w14:paraId="63B026AF" w14:textId="2539DEB6" w:rsidR="002B3C62" w:rsidRDefault="002B3C62">
      <w:pPr>
        <w:pStyle w:val="FootnoteText"/>
      </w:pPr>
      <w:r>
        <w:rPr>
          <w:rStyle w:val="FootnoteReference"/>
        </w:rPr>
        <w:footnoteRef/>
      </w:r>
      <w:r>
        <w:t xml:space="preserve"> Plots are available in the Excel spreadsheet, and also in the </w:t>
      </w:r>
      <w:r w:rsidR="00306C33">
        <w:t>subfolder “f</w:t>
      </w:r>
      <w:r>
        <w:t>igures”</w:t>
      </w:r>
    </w:p>
  </w:footnote>
  <w:footnote w:id="5">
    <w:p w14:paraId="7AECDDC0" w14:textId="447EF814" w:rsidR="002B3C62" w:rsidRDefault="002B3C62">
      <w:pPr>
        <w:pStyle w:val="FootnoteText"/>
      </w:pPr>
      <w:r>
        <w:rPr>
          <w:rStyle w:val="FootnoteReference"/>
        </w:rPr>
        <w:footnoteRef/>
      </w:r>
      <w:r>
        <w:t xml:space="preserve"> Simply by creating a partition with only one variable in it: the tool will keep it unchanged.</w:t>
      </w:r>
    </w:p>
  </w:footnote>
  <w:footnote w:id="6">
    <w:p w14:paraId="42583C8A" w14:textId="1D424861" w:rsidR="002B3C62" w:rsidRDefault="002B3C62">
      <w:pPr>
        <w:pStyle w:val="FootnoteText"/>
      </w:pPr>
      <w:r>
        <w:rPr>
          <w:rStyle w:val="FootnoteReference"/>
        </w:rPr>
        <w:footnoteRef/>
      </w:r>
      <w:r>
        <w:t xml:space="preserve"> Some papers have been using more advanced technics: for instance, t</w:t>
      </w:r>
      <w:r w:rsidRPr="00722FDA">
        <w:t>he FCIs computed in chapter 3 of the GFSR April 2017 were derived from a FAVAR model</w:t>
      </w:r>
      <w:r>
        <w:t xml:space="preserve"> (cf. Koop and Korobilis 2004)</w:t>
      </w:r>
      <w:r w:rsidRPr="00722FDA">
        <w:t xml:space="preserve"> using Kalman filtering, which tries to capture the joint dynamic of </w:t>
      </w:r>
      <w:r>
        <w:t>GDP and FCI, over 20 variables; however, FAVAR-derived and PCA-derived FCIs are very similar , as the correlation between the two across time for 43 countries was above 95%</w:t>
      </w:r>
    </w:p>
  </w:footnote>
  <w:footnote w:id="7">
    <w:p w14:paraId="2538389F" w14:textId="6B51F1D8" w:rsidR="002B3C62" w:rsidRPr="00CC6042" w:rsidRDefault="002B3C62" w:rsidP="00FE1DDA">
      <w:pPr>
        <w:pStyle w:val="FootnoteText"/>
      </w:pPr>
      <w:r>
        <w:rPr>
          <w:rStyle w:val="FootnoteReference"/>
        </w:rPr>
        <w:footnoteRef/>
      </w:r>
      <w:r>
        <w:t xml:space="preserve"> A thorough exposition of the linear discriminant analysis can be found in Izenman, </w:t>
      </w:r>
      <w:r w:rsidRPr="00CC6042">
        <w:rPr>
          <w:i/>
        </w:rPr>
        <w:t>Modern Multivariate Statistical Techniques: Regression, Classification, and Manifold Learning</w:t>
      </w:r>
      <w:r>
        <w:rPr>
          <w:i/>
        </w:rPr>
        <w:t xml:space="preserve"> </w:t>
      </w:r>
      <w:r>
        <w:t xml:space="preserve">(2013). A practical and intuitive guide for implementation of the LDA using Python is available on Sebastian Raschka’s excellent website: </w:t>
      </w:r>
      <w:r w:rsidRPr="003D7C93">
        <w:t xml:space="preserve"> http://sebastianraschka.com/Articles/2014_python_lda.html</w:t>
      </w:r>
    </w:p>
  </w:footnote>
  <w:footnote w:id="8">
    <w:p w14:paraId="78E0E2FB" w14:textId="77777777" w:rsidR="002B3C62" w:rsidRDefault="002B3C62" w:rsidP="00FE1DDA">
      <w:pPr>
        <w:pStyle w:val="FootnoteText"/>
      </w:pPr>
      <w:r>
        <w:rPr>
          <w:rStyle w:val="FootnoteReference"/>
        </w:rPr>
        <w:footnoteRef/>
      </w:r>
      <w:r>
        <w:t xml:space="preserve"> In machine learning terminology, the X set is called the </w:t>
      </w:r>
      <w:r w:rsidRPr="00727B24">
        <w:rPr>
          <w:i/>
        </w:rPr>
        <w:t>training set</w:t>
      </w:r>
      <w:r>
        <w:t xml:space="preserve">. The individual variables </w:t>
      </w:r>
      <m:oMath>
        <m:sSub>
          <m:sSubPr>
            <m:ctrlPr>
              <w:rPr>
                <w:rFonts w:ascii="Cambria Math" w:hAnsi="Cambria Math"/>
                <w:i/>
                <w:sz w:val="22"/>
                <w:szCs w:val="22"/>
              </w:rPr>
            </m:ctrlPr>
          </m:sSubPr>
          <m:e>
            <m:r>
              <w:rPr>
                <w:rFonts w:ascii="Cambria Math" w:hAnsi="Cambria Math"/>
              </w:rPr>
              <m:t>X</m:t>
            </m:r>
          </m:e>
          <m:sub>
            <m:r>
              <w:rPr>
                <w:rFonts w:ascii="Cambria Math" w:hAnsi="Cambria Math"/>
              </w:rPr>
              <m:t>i</m:t>
            </m:r>
          </m:sub>
        </m:sSub>
      </m:oMath>
      <w:r>
        <w:rPr>
          <w:sz w:val="22"/>
          <w:szCs w:val="22"/>
        </w:rPr>
        <w:t xml:space="preserve"> </w:t>
      </w:r>
      <w:r>
        <w:t xml:space="preserve">are called features or attributes. </w:t>
      </w:r>
    </w:p>
  </w:footnote>
  <w:footnote w:id="9">
    <w:p w14:paraId="6670B25D" w14:textId="77777777" w:rsidR="002B3C62" w:rsidRDefault="002B3C62" w:rsidP="00FE1DDA">
      <w:pPr>
        <w:pStyle w:val="FootnoteText"/>
      </w:pPr>
      <w:r>
        <w:rPr>
          <w:rStyle w:val="FootnoteReference"/>
        </w:rPr>
        <w:footnoteRef/>
      </w:r>
      <w:r>
        <w:t xml:space="preserve"> </w:t>
      </w:r>
      <w:r w:rsidRPr="00C74107">
        <w:t>Duda, Richard O, Peter E Hart, and David G Stork. 2001. Pattern Classification. New York: Wiley.</w:t>
      </w:r>
    </w:p>
  </w:footnote>
  <w:footnote w:id="10">
    <w:p w14:paraId="46E5938D" w14:textId="7520F43B" w:rsidR="002B3C62" w:rsidRDefault="002B3C62">
      <w:pPr>
        <w:pStyle w:val="FootnoteText"/>
      </w:pPr>
      <w:r>
        <w:rPr>
          <w:rStyle w:val="FootnoteReference"/>
        </w:rPr>
        <w:footnoteRef/>
      </w:r>
      <w:r>
        <w:t xml:space="preserve"> Given that the PCA components are z-scored, they are often close to 0. Using growth rate would in this case give very volatile values.</w:t>
      </w:r>
    </w:p>
  </w:footnote>
  <w:footnote w:id="11">
    <w:p w14:paraId="1F088BA6" w14:textId="77777777" w:rsidR="002B3C62" w:rsidRDefault="002B3C62" w:rsidP="00D338DB">
      <w:pPr>
        <w:pStyle w:val="FootnoteText"/>
      </w:pPr>
      <w:r>
        <w:rPr>
          <w:rStyle w:val="FootnoteReference"/>
        </w:rPr>
        <w:footnoteRef/>
      </w:r>
      <w:r>
        <w:t xml:space="preserve"> The date </w:t>
      </w:r>
      <w:r w:rsidRPr="005233B4">
        <w:rPr>
          <w:i/>
        </w:rPr>
        <w:t>t</w:t>
      </w:r>
      <w:r>
        <w:t xml:space="preserve"> for the variables </w:t>
      </w:r>
      <m:oMath>
        <m:sSub>
          <m:sSubPr>
            <m:ctrlPr>
              <w:rPr>
                <w:rFonts w:ascii="Cambria Math" w:hAnsi="Cambria Math"/>
                <w:i/>
              </w:rPr>
            </m:ctrlPr>
          </m:sSubPr>
          <m:e>
            <m:r>
              <w:rPr>
                <w:rFonts w:ascii="Cambria Math" w:hAnsi="Cambria Math"/>
              </w:rPr>
              <m:t>X</m:t>
            </m:r>
          </m:e>
          <m:sub>
            <m:r>
              <w:rPr>
                <w:rFonts w:ascii="Cambria Math" w:hAnsi="Cambria Math"/>
              </w:rPr>
              <m:t>i, t</m:t>
            </m:r>
          </m:sub>
        </m:sSub>
      </m:oMath>
      <w:r>
        <w:t xml:space="preserve"> should be provided by the user. </w:t>
      </w:r>
    </w:p>
  </w:footnote>
  <w:footnote w:id="12">
    <w:p w14:paraId="65ED7672" w14:textId="30EC598B" w:rsidR="002B3C62" w:rsidRDefault="002B3C62">
      <w:pPr>
        <w:pStyle w:val="FootnoteText"/>
      </w:pPr>
      <w:r>
        <w:rPr>
          <w:rStyle w:val="FootnoteReference"/>
        </w:rPr>
        <w:footnoteRef/>
      </w:r>
      <w:r>
        <w:t xml:space="preserve"> To avoid that the t-skew parametrization converges towards a Gaussian (infinite degrees of freedom), the tool anchors the degrees of freedom at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EB92F" w14:textId="7294F047" w:rsidR="002B3C62" w:rsidRDefault="002B3C62" w:rsidP="00C06D9A">
    <w:pPr>
      <w:pStyle w:val="Header"/>
      <w:tabs>
        <w:tab w:val="clear" w:pos="4320"/>
        <w:tab w:val="clear" w:pos="8640"/>
        <w:tab w:val="right" w:pos="2430"/>
      </w:tabs>
      <w:wordWrap w:val="0"/>
      <w:ind w:right="29"/>
      <w:jc w:val="right"/>
      <w:rPr>
        <w:rFonts w:cs="Segoe UI"/>
        <w:caps/>
        <w:color w:val="4B82AD"/>
        <w:sz w:val="16"/>
        <w:szCs w:val="16"/>
        <w:lang w:val="fr-FR"/>
      </w:rPr>
    </w:pPr>
    <w:r>
      <w:rPr>
        <w:rFonts w:cs="Segoe UI"/>
        <w:caps/>
        <w:color w:val="4B82AD"/>
        <w:sz w:val="16"/>
        <w:szCs w:val="16"/>
        <w:lang w:val="fr-FR"/>
      </w:rPr>
      <w:t>Gar</w:t>
    </w:r>
  </w:p>
  <w:p w14:paraId="56D2BEB7" w14:textId="77777777" w:rsidR="002B3C62" w:rsidRPr="009C1C67" w:rsidRDefault="002B3C62" w:rsidP="00016649">
    <w:pPr>
      <w:pStyle w:val="Header"/>
      <w:tabs>
        <w:tab w:val="clear" w:pos="4320"/>
        <w:tab w:val="clear" w:pos="8640"/>
        <w:tab w:val="right" w:pos="2430"/>
      </w:tabs>
      <w:wordWrap w:val="0"/>
      <w:ind w:right="109"/>
      <w:jc w:val="right"/>
      <w:rPr>
        <w:rFonts w:cs="Segoe UI"/>
        <w:caps/>
        <w:sz w:val="16"/>
        <w:szCs w:val="16"/>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9D675" w14:textId="77777777" w:rsidR="002B3C62" w:rsidRPr="008745EA" w:rsidRDefault="002B3C62" w:rsidP="00D53492">
    <w:pPr>
      <w:pStyle w:val="Header"/>
      <w:ind w:firstLineChars="1500" w:firstLine="3150"/>
    </w:pPr>
    <w:r>
      <w:rPr>
        <w:noProof/>
      </w:rPr>
      <mc:AlternateContent>
        <mc:Choice Requires="wps">
          <w:drawing>
            <wp:anchor distT="0" distB="0" distL="114300" distR="114300" simplePos="0" relativeHeight="251657216" behindDoc="0" locked="0" layoutInCell="1" allowOverlap="1" wp14:anchorId="5F8A5500" wp14:editId="58EBCF38">
              <wp:simplePos x="0" y="0"/>
              <wp:positionH relativeFrom="column">
                <wp:posOffset>5705475</wp:posOffset>
              </wp:positionH>
              <wp:positionV relativeFrom="paragraph">
                <wp:posOffset>47625</wp:posOffset>
              </wp:positionV>
              <wp:extent cx="885825" cy="952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9525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44493008" w14:textId="77777777" w:rsidR="002B3C62" w:rsidRDefault="002B3C62"/>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8A5500" id="_x0000_t202" coordsize="21600,21600" o:spt="202" path="m,l,21600r21600,l21600,xe">
              <v:stroke joinstyle="miter"/>
              <v:path gradientshapeok="t" o:connecttype="rect"/>
            </v:shapetype>
            <v:shape id="Text Box 1" o:spid="_x0000_s1026" type="#_x0000_t202" style="position:absolute;left:0;text-align:left;margin-left:449.25pt;margin-top:3.75pt;width:69.75pt;height: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" fillcolor="#4f81bd [3204]" stroked="f" strokecolor="#f2f2f2 [3041]" strokeweight="3pt">
              <v:shadow color="#243f60 [1604]" opacity=".5" offset="1pt"/>
              <v:textbox inset="5.85pt,.7pt,5.85pt,.7pt">
                <w:txbxContent>
                  <w:p w14:paraId="44493008" w14:textId="77777777" w:rsidR="00EC18C4" w:rsidRDefault="00EC18C4"/>
                </w:txbxContent>
              </v:textbox>
            </v:shape>
          </w:pict>
        </mc:Fallback>
      </mc:AlternateContent>
    </w:r>
    <w:r>
      <w:tab/>
    </w:r>
    <w:fldSimple w:instr=" FILENAME ">
      <w:r>
        <w:rPr>
          <w:noProof/>
        </w:rPr>
        <w:t>DMSDR1S-#6396202-v1-Peru_2018_FSAP__TN_Growth_at_Risk.docx</w:t>
      </w:r>
    </w:fldSimple>
    <w:r>
      <w:t xml:space="preserve">   2010  Article IV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C7EA0B6A"/>
    <w:lvl w:ilvl="0">
      <w:start w:val="5"/>
      <w:numFmt w:val="decimal"/>
      <w:pStyle w:val="ListNumber"/>
      <w:lvlText w:val="%1."/>
      <w:lvlJc w:val="left"/>
      <w:pPr>
        <w:tabs>
          <w:tab w:val="num" w:pos="360"/>
        </w:tabs>
        <w:ind w:left="360" w:hanging="360"/>
      </w:pPr>
      <w:rPr>
        <w:rFonts w:hint="default"/>
        <w:b/>
      </w:rPr>
    </w:lvl>
  </w:abstractNum>
  <w:abstractNum w:abstractNumId="5" w15:restartNumberingAfterBreak="0">
    <w:nsid w:val="FFFFFF89"/>
    <w:multiLevelType w:val="singleLevel"/>
    <w:tmpl w:val="845E9A4E"/>
    <w:lvl w:ilvl="0">
      <w:start w:val="1"/>
      <w:numFmt w:val="bullet"/>
      <w:pStyle w:val="ListBullet"/>
      <w:lvlText w:val=""/>
      <w:lvlJc w:val="left"/>
      <w:pPr>
        <w:ind w:left="360" w:hanging="360"/>
      </w:pPr>
      <w:rPr>
        <w:rFonts w:ascii="Symbol" w:hAnsi="Symbol" w:hint="default"/>
        <w:color w:val="4B82AD"/>
        <w:sz w:val="21"/>
      </w:rPr>
    </w:lvl>
  </w:abstractNum>
  <w:abstractNum w:abstractNumId="6" w15:restartNumberingAfterBreak="0">
    <w:nsid w:val="04D352E7"/>
    <w:multiLevelType w:val="hybridMultilevel"/>
    <w:tmpl w:val="D0AE4974"/>
    <w:lvl w:ilvl="0" w:tplc="66C06F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05CA9"/>
    <w:multiLevelType w:val="hybridMultilevel"/>
    <w:tmpl w:val="31C02244"/>
    <w:lvl w:ilvl="0" w:tplc="3CF28AFA">
      <w:start w:val="1"/>
      <w:numFmt w:val="decimal"/>
      <w:lvlText w:val="%1.     "/>
      <w:lvlJc w:val="left"/>
      <w:pPr>
        <w:tabs>
          <w:tab w:val="num" w:pos="720"/>
        </w:tabs>
        <w:ind w:left="0"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311FD2"/>
    <w:multiLevelType w:val="hybridMultilevel"/>
    <w:tmpl w:val="D0AE4974"/>
    <w:lvl w:ilvl="0" w:tplc="66C06F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D6BF5"/>
    <w:multiLevelType w:val="hybridMultilevel"/>
    <w:tmpl w:val="A378ABA2"/>
    <w:lvl w:ilvl="0" w:tplc="EF02E5FA">
      <w:start w:val="1"/>
      <w:numFmt w:val="bullet"/>
      <w:pStyle w:val="BoxBullet"/>
      <w:lvlText w:val=""/>
      <w:lvlJc w:val="left"/>
      <w:pPr>
        <w:ind w:left="720" w:hanging="360"/>
      </w:pPr>
      <w:rPr>
        <w:rFonts w:ascii="Symbol" w:hAnsi="Symbol" w:hint="default"/>
        <w:color w:val="4B82AD"/>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BB4A2B"/>
    <w:multiLevelType w:val="hybridMultilevel"/>
    <w:tmpl w:val="684A422C"/>
    <w:lvl w:ilvl="0" w:tplc="9B0C9C7A">
      <w:start w:val="1"/>
      <w:numFmt w:val="decimal"/>
      <w:pStyle w:val="AnnAppParagraphNumbering"/>
      <w:lvlText w:val="%1.     "/>
      <w:lvlJc w:val="left"/>
      <w:pPr>
        <w:ind w:left="360" w:hanging="360"/>
      </w:pPr>
      <w:rPr>
        <w:rFonts w:ascii="Segoe UI" w:hAnsi="Segoe UI" w:hint="default"/>
        <w:b/>
        <w:bCs/>
        <w:i w:val="0"/>
        <w:iCs w:val="0"/>
        <w:sz w:val="21"/>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3D7BB7"/>
    <w:multiLevelType w:val="hybridMultilevel"/>
    <w:tmpl w:val="A634AF5E"/>
    <w:lvl w:ilvl="0" w:tplc="A8C28EE6">
      <w:start w:val="1"/>
      <w:numFmt w:val="decimal"/>
      <w:pStyle w:val="ParagraphNumbering"/>
      <w:lvlText w:val="%1.     "/>
      <w:lvlJc w:val="left"/>
      <w:pPr>
        <w:ind w:left="1620" w:hanging="360"/>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2D6A99"/>
    <w:multiLevelType w:val="hybridMultilevel"/>
    <w:tmpl w:val="A0764970"/>
    <w:lvl w:ilvl="0" w:tplc="7638D8F2">
      <w:start w:val="1"/>
      <w:numFmt w:val="bullet"/>
      <w:pStyle w:val="AnnAppListBullets"/>
      <w:lvlText w:val=""/>
      <w:lvlJc w:val="left"/>
      <w:pPr>
        <w:ind w:left="720" w:hanging="360"/>
      </w:pPr>
      <w:rPr>
        <w:rFonts w:ascii="Symbol" w:hAnsi="Symbol" w:hint="default"/>
        <w:color w:val="4B82AD"/>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718CF"/>
    <w:multiLevelType w:val="hybridMultilevel"/>
    <w:tmpl w:val="F8581220"/>
    <w:lvl w:ilvl="0" w:tplc="99F6F24A">
      <w:start w:val="1"/>
      <w:numFmt w:val="upperLetter"/>
      <w:pStyle w:val="AnnAppHeading2"/>
      <w:lvlText w:val="%1."/>
      <w:lvlJc w:val="left"/>
      <w:pPr>
        <w:ind w:left="720" w:hanging="360"/>
      </w:pPr>
      <w:rPr>
        <w:rFonts w:ascii="Segoe UI" w:hAnsi="Segoe UI" w:cs="Segoe UI" w:hint="default"/>
        <w:b/>
        <w:i w:val="0"/>
        <w:color w:val="4B82AD"/>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D87F66"/>
    <w:multiLevelType w:val="hybridMultilevel"/>
    <w:tmpl w:val="684A4B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92402EE"/>
    <w:multiLevelType w:val="hybridMultilevel"/>
    <w:tmpl w:val="FD8A32C2"/>
    <w:lvl w:ilvl="0" w:tplc="F07C7E2C">
      <w:start w:val="1"/>
      <w:numFmt w:val="decimal"/>
      <w:lvlText w:val="%1."/>
      <w:lvlJc w:val="left"/>
      <w:pPr>
        <w:ind w:left="720" w:hanging="360"/>
      </w:pPr>
      <w:rPr>
        <w:rFonts w:hint="default"/>
        <w:b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5A5D18"/>
    <w:multiLevelType w:val="hybridMultilevel"/>
    <w:tmpl w:val="F37EBC1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FB37B35"/>
    <w:multiLevelType w:val="hybridMultilevel"/>
    <w:tmpl w:val="926E0808"/>
    <w:lvl w:ilvl="0" w:tplc="04E29DCE">
      <w:start w:val="1"/>
      <w:numFmt w:val="bullet"/>
      <w:lvlText w:val="-"/>
      <w:lvlJc w:val="left"/>
      <w:pPr>
        <w:ind w:left="720" w:hanging="360"/>
      </w:pPr>
      <w:rPr>
        <w:rFonts w:ascii="Segoe UI" w:eastAsia="MS Mincho"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EA15A1"/>
    <w:multiLevelType w:val="multilevel"/>
    <w:tmpl w:val="DD3AA34E"/>
    <w:lvl w:ilvl="0">
      <w:start w:val="1"/>
      <w:numFmt w:val="upperRoman"/>
      <w:suff w:val="nothing"/>
      <w:lvlText w:val="%1.   "/>
      <w:lvlJc w:val="left"/>
      <w:pPr>
        <w:ind w:left="0" w:firstLine="0"/>
      </w:pPr>
      <w:rPr>
        <w:rFonts w:hint="default"/>
      </w:rPr>
    </w:lvl>
    <w:lvl w:ilvl="1">
      <w:start w:val="1"/>
      <w:numFmt w:val="upperLetter"/>
      <w:pStyle w:val="Heading2"/>
      <w:suff w:val="nothing"/>
      <w:lvlText w:val="%2.   "/>
      <w:lvlJc w:val="left"/>
      <w:pPr>
        <w:ind w:left="4770" w:firstLine="0"/>
      </w:pPr>
      <w:rPr>
        <w:rFonts w:hint="default"/>
        <w:b/>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19" w15:restartNumberingAfterBreak="0">
    <w:nsid w:val="761C730C"/>
    <w:multiLevelType w:val="hybridMultilevel"/>
    <w:tmpl w:val="D0AE4974"/>
    <w:lvl w:ilvl="0" w:tplc="66C06F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8"/>
  </w:num>
  <w:num w:numId="4">
    <w:abstractNumId w:val="5"/>
  </w:num>
  <w:num w:numId="5">
    <w:abstractNumId w:val="3"/>
  </w:num>
  <w:num w:numId="6">
    <w:abstractNumId w:val="2"/>
  </w:num>
  <w:num w:numId="7">
    <w:abstractNumId w:val="1"/>
  </w:num>
  <w:num w:numId="8">
    <w:abstractNumId w:val="0"/>
  </w:num>
  <w:num w:numId="9">
    <w:abstractNumId w:val="11"/>
  </w:num>
  <w:num w:numId="10">
    <w:abstractNumId w:val="9"/>
  </w:num>
  <w:num w:numId="11">
    <w:abstractNumId w:val="10"/>
  </w:num>
  <w:num w:numId="12">
    <w:abstractNumId w:val="13"/>
  </w:num>
  <w:num w:numId="13">
    <w:abstractNumId w:val="12"/>
  </w:num>
  <w:num w:numId="14">
    <w:abstractNumId w:val="14"/>
  </w:num>
  <w:num w:numId="15">
    <w:abstractNumId w:val="16"/>
  </w:num>
  <w:num w:numId="16">
    <w:abstractNumId w:val="4"/>
  </w:num>
  <w:num w:numId="17">
    <w:abstractNumId w:val="10"/>
  </w:num>
  <w:num w:numId="18">
    <w:abstractNumId w:val="15"/>
  </w:num>
  <w:num w:numId="19">
    <w:abstractNumId w:val="19"/>
  </w:num>
  <w:num w:numId="20">
    <w:abstractNumId w:val="17"/>
  </w:num>
  <w:num w:numId="21">
    <w:abstractNumId w:val="6"/>
  </w:num>
  <w:num w:numId="22">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05"/>
  <w:displayHorizontalDrawingGridEvery w:val="2"/>
  <w:displayVerticalDrawingGridEvery w:val="2"/>
  <w:noPunctuationKerning/>
  <w:characterSpacingControl w:val="doNotCompress"/>
  <w:hdrShapeDefaults>
    <o:shapedefaults v:ext="edit" spidmax="18433">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015"/>
    <w:rsid w:val="0000049F"/>
    <w:rsid w:val="00001A16"/>
    <w:rsid w:val="00001BCD"/>
    <w:rsid w:val="00001F30"/>
    <w:rsid w:val="00002AEF"/>
    <w:rsid w:val="0000371A"/>
    <w:rsid w:val="00004536"/>
    <w:rsid w:val="00004836"/>
    <w:rsid w:val="00005375"/>
    <w:rsid w:val="00006741"/>
    <w:rsid w:val="00007177"/>
    <w:rsid w:val="00007462"/>
    <w:rsid w:val="000078AE"/>
    <w:rsid w:val="00010C94"/>
    <w:rsid w:val="00012078"/>
    <w:rsid w:val="00012738"/>
    <w:rsid w:val="0001395A"/>
    <w:rsid w:val="00015A2E"/>
    <w:rsid w:val="00016083"/>
    <w:rsid w:val="00016649"/>
    <w:rsid w:val="00017341"/>
    <w:rsid w:val="000203AF"/>
    <w:rsid w:val="000226CD"/>
    <w:rsid w:val="00023928"/>
    <w:rsid w:val="00023D5C"/>
    <w:rsid w:val="00023E1B"/>
    <w:rsid w:val="00025B12"/>
    <w:rsid w:val="00030A28"/>
    <w:rsid w:val="00030F7E"/>
    <w:rsid w:val="0003368A"/>
    <w:rsid w:val="00033EC7"/>
    <w:rsid w:val="00034B2B"/>
    <w:rsid w:val="00035C27"/>
    <w:rsid w:val="00040723"/>
    <w:rsid w:val="00040A74"/>
    <w:rsid w:val="00040D64"/>
    <w:rsid w:val="000416E9"/>
    <w:rsid w:val="0004374E"/>
    <w:rsid w:val="000442C9"/>
    <w:rsid w:val="00044942"/>
    <w:rsid w:val="0004523E"/>
    <w:rsid w:val="00045F56"/>
    <w:rsid w:val="00046ED3"/>
    <w:rsid w:val="00052899"/>
    <w:rsid w:val="0005402F"/>
    <w:rsid w:val="00055C4E"/>
    <w:rsid w:val="00056CBC"/>
    <w:rsid w:val="00056EA1"/>
    <w:rsid w:val="000606E3"/>
    <w:rsid w:val="00060746"/>
    <w:rsid w:val="00060F6D"/>
    <w:rsid w:val="0006211B"/>
    <w:rsid w:val="00063DA5"/>
    <w:rsid w:val="000641EC"/>
    <w:rsid w:val="000653A0"/>
    <w:rsid w:val="0006647B"/>
    <w:rsid w:val="000665FA"/>
    <w:rsid w:val="000675DC"/>
    <w:rsid w:val="000721F7"/>
    <w:rsid w:val="00073535"/>
    <w:rsid w:val="00075F8D"/>
    <w:rsid w:val="00076117"/>
    <w:rsid w:val="00076122"/>
    <w:rsid w:val="000824CA"/>
    <w:rsid w:val="00082E5B"/>
    <w:rsid w:val="0008465E"/>
    <w:rsid w:val="00084748"/>
    <w:rsid w:val="00084FF8"/>
    <w:rsid w:val="00085560"/>
    <w:rsid w:val="00090338"/>
    <w:rsid w:val="00090E13"/>
    <w:rsid w:val="000926EA"/>
    <w:rsid w:val="00092A16"/>
    <w:rsid w:val="00092C62"/>
    <w:rsid w:val="00093198"/>
    <w:rsid w:val="00093350"/>
    <w:rsid w:val="000947FC"/>
    <w:rsid w:val="000952A0"/>
    <w:rsid w:val="000960A3"/>
    <w:rsid w:val="0009630B"/>
    <w:rsid w:val="000A02F0"/>
    <w:rsid w:val="000A2A0B"/>
    <w:rsid w:val="000A7AB5"/>
    <w:rsid w:val="000A7E0C"/>
    <w:rsid w:val="000B112C"/>
    <w:rsid w:val="000B38E8"/>
    <w:rsid w:val="000B5C6E"/>
    <w:rsid w:val="000B66AA"/>
    <w:rsid w:val="000B67FB"/>
    <w:rsid w:val="000B6D62"/>
    <w:rsid w:val="000B7977"/>
    <w:rsid w:val="000C0785"/>
    <w:rsid w:val="000C0E90"/>
    <w:rsid w:val="000C3F1F"/>
    <w:rsid w:val="000C660E"/>
    <w:rsid w:val="000C7665"/>
    <w:rsid w:val="000C7F5C"/>
    <w:rsid w:val="000D25C3"/>
    <w:rsid w:val="000D2F50"/>
    <w:rsid w:val="000D3B43"/>
    <w:rsid w:val="000D44F0"/>
    <w:rsid w:val="000D4A51"/>
    <w:rsid w:val="000D6692"/>
    <w:rsid w:val="000D695B"/>
    <w:rsid w:val="000D78B2"/>
    <w:rsid w:val="000E010E"/>
    <w:rsid w:val="000E3791"/>
    <w:rsid w:val="000E4648"/>
    <w:rsid w:val="000E7F0B"/>
    <w:rsid w:val="000F2A5E"/>
    <w:rsid w:val="000F2CB0"/>
    <w:rsid w:val="000F3AB3"/>
    <w:rsid w:val="000F43A0"/>
    <w:rsid w:val="000F604B"/>
    <w:rsid w:val="000F69ED"/>
    <w:rsid w:val="000F7676"/>
    <w:rsid w:val="000F77A7"/>
    <w:rsid w:val="000F7BD4"/>
    <w:rsid w:val="00100B91"/>
    <w:rsid w:val="00101A6D"/>
    <w:rsid w:val="00103DEC"/>
    <w:rsid w:val="001045A3"/>
    <w:rsid w:val="001056DA"/>
    <w:rsid w:val="0010724F"/>
    <w:rsid w:val="0010796A"/>
    <w:rsid w:val="00107A91"/>
    <w:rsid w:val="00107FB9"/>
    <w:rsid w:val="00110085"/>
    <w:rsid w:val="001104A9"/>
    <w:rsid w:val="00111B25"/>
    <w:rsid w:val="00112288"/>
    <w:rsid w:val="00112761"/>
    <w:rsid w:val="00112A03"/>
    <w:rsid w:val="00112BE7"/>
    <w:rsid w:val="00113C3D"/>
    <w:rsid w:val="001201DB"/>
    <w:rsid w:val="0012097A"/>
    <w:rsid w:val="00120FBA"/>
    <w:rsid w:val="00121A77"/>
    <w:rsid w:val="00121F07"/>
    <w:rsid w:val="0012222E"/>
    <w:rsid w:val="00122D61"/>
    <w:rsid w:val="001239D3"/>
    <w:rsid w:val="00124B84"/>
    <w:rsid w:val="0012605A"/>
    <w:rsid w:val="00126959"/>
    <w:rsid w:val="001271DF"/>
    <w:rsid w:val="00127644"/>
    <w:rsid w:val="001303D8"/>
    <w:rsid w:val="0013051D"/>
    <w:rsid w:val="001317DE"/>
    <w:rsid w:val="00131BFC"/>
    <w:rsid w:val="00131E63"/>
    <w:rsid w:val="0013253A"/>
    <w:rsid w:val="00132BD7"/>
    <w:rsid w:val="0013466E"/>
    <w:rsid w:val="00134D6A"/>
    <w:rsid w:val="00137E6D"/>
    <w:rsid w:val="001420CA"/>
    <w:rsid w:val="001420E0"/>
    <w:rsid w:val="00142DBA"/>
    <w:rsid w:val="001437B9"/>
    <w:rsid w:val="00143E1F"/>
    <w:rsid w:val="00144CA8"/>
    <w:rsid w:val="00145588"/>
    <w:rsid w:val="00147030"/>
    <w:rsid w:val="001472A9"/>
    <w:rsid w:val="00147FC2"/>
    <w:rsid w:val="00150595"/>
    <w:rsid w:val="001508CC"/>
    <w:rsid w:val="00151A90"/>
    <w:rsid w:val="0015268B"/>
    <w:rsid w:val="00152D21"/>
    <w:rsid w:val="001549CA"/>
    <w:rsid w:val="00154C4D"/>
    <w:rsid w:val="00154F8C"/>
    <w:rsid w:val="00156486"/>
    <w:rsid w:val="001566B1"/>
    <w:rsid w:val="001632D2"/>
    <w:rsid w:val="0016436B"/>
    <w:rsid w:val="00165E61"/>
    <w:rsid w:val="00166CDC"/>
    <w:rsid w:val="0016793C"/>
    <w:rsid w:val="00167AF6"/>
    <w:rsid w:val="00167B74"/>
    <w:rsid w:val="00170438"/>
    <w:rsid w:val="00170952"/>
    <w:rsid w:val="00170EDD"/>
    <w:rsid w:val="0017325E"/>
    <w:rsid w:val="001761C4"/>
    <w:rsid w:val="001762DA"/>
    <w:rsid w:val="001777FF"/>
    <w:rsid w:val="00177B32"/>
    <w:rsid w:val="00177F0A"/>
    <w:rsid w:val="001800D5"/>
    <w:rsid w:val="001807BF"/>
    <w:rsid w:val="00180A4F"/>
    <w:rsid w:val="00181590"/>
    <w:rsid w:val="00182FC6"/>
    <w:rsid w:val="00183E67"/>
    <w:rsid w:val="0018409B"/>
    <w:rsid w:val="00186761"/>
    <w:rsid w:val="001877C6"/>
    <w:rsid w:val="001902CD"/>
    <w:rsid w:val="001903B2"/>
    <w:rsid w:val="00190671"/>
    <w:rsid w:val="00192F07"/>
    <w:rsid w:val="00194969"/>
    <w:rsid w:val="00194B58"/>
    <w:rsid w:val="00195047"/>
    <w:rsid w:val="00195149"/>
    <w:rsid w:val="001962BE"/>
    <w:rsid w:val="0019688F"/>
    <w:rsid w:val="001A025D"/>
    <w:rsid w:val="001A15C9"/>
    <w:rsid w:val="001A16ED"/>
    <w:rsid w:val="001A283C"/>
    <w:rsid w:val="001A2C7F"/>
    <w:rsid w:val="001A3887"/>
    <w:rsid w:val="001A41E5"/>
    <w:rsid w:val="001A4EF8"/>
    <w:rsid w:val="001A7085"/>
    <w:rsid w:val="001A75F8"/>
    <w:rsid w:val="001B1223"/>
    <w:rsid w:val="001B207F"/>
    <w:rsid w:val="001B2650"/>
    <w:rsid w:val="001B27A8"/>
    <w:rsid w:val="001B2E11"/>
    <w:rsid w:val="001B33A6"/>
    <w:rsid w:val="001B41F6"/>
    <w:rsid w:val="001B78F6"/>
    <w:rsid w:val="001C1CE8"/>
    <w:rsid w:val="001C247C"/>
    <w:rsid w:val="001C2A4F"/>
    <w:rsid w:val="001C2DFB"/>
    <w:rsid w:val="001C3114"/>
    <w:rsid w:val="001C3809"/>
    <w:rsid w:val="001C513B"/>
    <w:rsid w:val="001C59A0"/>
    <w:rsid w:val="001C641C"/>
    <w:rsid w:val="001D0F05"/>
    <w:rsid w:val="001D1797"/>
    <w:rsid w:val="001D2A08"/>
    <w:rsid w:val="001D2C80"/>
    <w:rsid w:val="001D346D"/>
    <w:rsid w:val="001D50CB"/>
    <w:rsid w:val="001E04DD"/>
    <w:rsid w:val="001E0D8E"/>
    <w:rsid w:val="001E101C"/>
    <w:rsid w:val="001E3D38"/>
    <w:rsid w:val="001E3F90"/>
    <w:rsid w:val="001E5354"/>
    <w:rsid w:val="001E5D39"/>
    <w:rsid w:val="001E697E"/>
    <w:rsid w:val="001E6DCB"/>
    <w:rsid w:val="001E781A"/>
    <w:rsid w:val="001E7986"/>
    <w:rsid w:val="001F0020"/>
    <w:rsid w:val="001F0828"/>
    <w:rsid w:val="001F1194"/>
    <w:rsid w:val="001F13AB"/>
    <w:rsid w:val="001F2CF1"/>
    <w:rsid w:val="001F448B"/>
    <w:rsid w:val="001F7AEF"/>
    <w:rsid w:val="001F7B50"/>
    <w:rsid w:val="00200021"/>
    <w:rsid w:val="00201E18"/>
    <w:rsid w:val="002030FD"/>
    <w:rsid w:val="00203AAB"/>
    <w:rsid w:val="00205146"/>
    <w:rsid w:val="002053C2"/>
    <w:rsid w:val="00205E24"/>
    <w:rsid w:val="00206D20"/>
    <w:rsid w:val="00207E4A"/>
    <w:rsid w:val="00212633"/>
    <w:rsid w:val="00212C41"/>
    <w:rsid w:val="002133A4"/>
    <w:rsid w:val="00213962"/>
    <w:rsid w:val="00213D20"/>
    <w:rsid w:val="00214066"/>
    <w:rsid w:val="00215346"/>
    <w:rsid w:val="0021608F"/>
    <w:rsid w:val="002163BD"/>
    <w:rsid w:val="00216D83"/>
    <w:rsid w:val="002174E1"/>
    <w:rsid w:val="0022058B"/>
    <w:rsid w:val="002221C9"/>
    <w:rsid w:val="0022265A"/>
    <w:rsid w:val="00222E3C"/>
    <w:rsid w:val="00223476"/>
    <w:rsid w:val="002239C9"/>
    <w:rsid w:val="00223E8B"/>
    <w:rsid w:val="002243F5"/>
    <w:rsid w:val="002249BC"/>
    <w:rsid w:val="002251BB"/>
    <w:rsid w:val="002258F4"/>
    <w:rsid w:val="00226C8B"/>
    <w:rsid w:val="00227792"/>
    <w:rsid w:val="002279AB"/>
    <w:rsid w:val="00230DB1"/>
    <w:rsid w:val="00232935"/>
    <w:rsid w:val="00232AB2"/>
    <w:rsid w:val="00233860"/>
    <w:rsid w:val="00234403"/>
    <w:rsid w:val="00237AF9"/>
    <w:rsid w:val="0024124D"/>
    <w:rsid w:val="00242986"/>
    <w:rsid w:val="00243ED1"/>
    <w:rsid w:val="002447B7"/>
    <w:rsid w:val="00245EF4"/>
    <w:rsid w:val="00246060"/>
    <w:rsid w:val="002461F7"/>
    <w:rsid w:val="0024633F"/>
    <w:rsid w:val="002463BA"/>
    <w:rsid w:val="002463BB"/>
    <w:rsid w:val="00250A7C"/>
    <w:rsid w:val="00251ADD"/>
    <w:rsid w:val="0025238F"/>
    <w:rsid w:val="00253028"/>
    <w:rsid w:val="002535F1"/>
    <w:rsid w:val="002563A3"/>
    <w:rsid w:val="002567AC"/>
    <w:rsid w:val="002571EF"/>
    <w:rsid w:val="00257BE1"/>
    <w:rsid w:val="00260EF0"/>
    <w:rsid w:val="00261C4F"/>
    <w:rsid w:val="00261CC7"/>
    <w:rsid w:val="00261E08"/>
    <w:rsid w:val="0026301D"/>
    <w:rsid w:val="002632EE"/>
    <w:rsid w:val="002635E0"/>
    <w:rsid w:val="00263D10"/>
    <w:rsid w:val="002670CC"/>
    <w:rsid w:val="00267537"/>
    <w:rsid w:val="00267D62"/>
    <w:rsid w:val="00270147"/>
    <w:rsid w:val="00271016"/>
    <w:rsid w:val="00271B76"/>
    <w:rsid w:val="00271F2E"/>
    <w:rsid w:val="00272AB8"/>
    <w:rsid w:val="00274089"/>
    <w:rsid w:val="002743A7"/>
    <w:rsid w:val="00274EC0"/>
    <w:rsid w:val="00276A15"/>
    <w:rsid w:val="00281C7B"/>
    <w:rsid w:val="002821FA"/>
    <w:rsid w:val="00283445"/>
    <w:rsid w:val="00285A2D"/>
    <w:rsid w:val="0028661E"/>
    <w:rsid w:val="00286B4C"/>
    <w:rsid w:val="002871FC"/>
    <w:rsid w:val="00287527"/>
    <w:rsid w:val="00291A32"/>
    <w:rsid w:val="00291BFE"/>
    <w:rsid w:val="00291D36"/>
    <w:rsid w:val="00291DB6"/>
    <w:rsid w:val="00291F06"/>
    <w:rsid w:val="00294B76"/>
    <w:rsid w:val="00295049"/>
    <w:rsid w:val="002954F8"/>
    <w:rsid w:val="002958D5"/>
    <w:rsid w:val="002967C2"/>
    <w:rsid w:val="00296B6A"/>
    <w:rsid w:val="00296BD4"/>
    <w:rsid w:val="002A09A0"/>
    <w:rsid w:val="002A0CDE"/>
    <w:rsid w:val="002A0EA8"/>
    <w:rsid w:val="002A0EE8"/>
    <w:rsid w:val="002A1331"/>
    <w:rsid w:val="002A16EB"/>
    <w:rsid w:val="002A2923"/>
    <w:rsid w:val="002A3387"/>
    <w:rsid w:val="002A3393"/>
    <w:rsid w:val="002A412B"/>
    <w:rsid w:val="002A512E"/>
    <w:rsid w:val="002A593F"/>
    <w:rsid w:val="002A6377"/>
    <w:rsid w:val="002A6CEA"/>
    <w:rsid w:val="002A7426"/>
    <w:rsid w:val="002B0CD0"/>
    <w:rsid w:val="002B3C62"/>
    <w:rsid w:val="002B604F"/>
    <w:rsid w:val="002B7B6B"/>
    <w:rsid w:val="002C078F"/>
    <w:rsid w:val="002C30B4"/>
    <w:rsid w:val="002C47FD"/>
    <w:rsid w:val="002C48F1"/>
    <w:rsid w:val="002C4932"/>
    <w:rsid w:val="002C4F8C"/>
    <w:rsid w:val="002C7410"/>
    <w:rsid w:val="002D252B"/>
    <w:rsid w:val="002D37D6"/>
    <w:rsid w:val="002D53A1"/>
    <w:rsid w:val="002D67E6"/>
    <w:rsid w:val="002D784C"/>
    <w:rsid w:val="002D7D01"/>
    <w:rsid w:val="002E0D6C"/>
    <w:rsid w:val="002E15E1"/>
    <w:rsid w:val="002E1845"/>
    <w:rsid w:val="002E19FD"/>
    <w:rsid w:val="002E2D03"/>
    <w:rsid w:val="002E47BD"/>
    <w:rsid w:val="002E4A69"/>
    <w:rsid w:val="002E4BC6"/>
    <w:rsid w:val="002E641E"/>
    <w:rsid w:val="002E6D5E"/>
    <w:rsid w:val="002F16EA"/>
    <w:rsid w:val="002F38AF"/>
    <w:rsid w:val="002F3F62"/>
    <w:rsid w:val="002F4200"/>
    <w:rsid w:val="002F563D"/>
    <w:rsid w:val="002F6201"/>
    <w:rsid w:val="00300DF2"/>
    <w:rsid w:val="0030103C"/>
    <w:rsid w:val="0030307D"/>
    <w:rsid w:val="00303108"/>
    <w:rsid w:val="00303A3C"/>
    <w:rsid w:val="003046E7"/>
    <w:rsid w:val="003064BE"/>
    <w:rsid w:val="00306C33"/>
    <w:rsid w:val="00306CED"/>
    <w:rsid w:val="003072F0"/>
    <w:rsid w:val="00310116"/>
    <w:rsid w:val="00310817"/>
    <w:rsid w:val="00310AF2"/>
    <w:rsid w:val="00311FE2"/>
    <w:rsid w:val="00311FF7"/>
    <w:rsid w:val="00312C33"/>
    <w:rsid w:val="00313954"/>
    <w:rsid w:val="00313AD3"/>
    <w:rsid w:val="00313D72"/>
    <w:rsid w:val="00314D50"/>
    <w:rsid w:val="00315AC3"/>
    <w:rsid w:val="00315FE4"/>
    <w:rsid w:val="003163AD"/>
    <w:rsid w:val="00316565"/>
    <w:rsid w:val="00316A16"/>
    <w:rsid w:val="00316F8E"/>
    <w:rsid w:val="003178A1"/>
    <w:rsid w:val="003213F3"/>
    <w:rsid w:val="00322501"/>
    <w:rsid w:val="00322F7E"/>
    <w:rsid w:val="00324125"/>
    <w:rsid w:val="0032429B"/>
    <w:rsid w:val="003249FC"/>
    <w:rsid w:val="00324BDA"/>
    <w:rsid w:val="00327493"/>
    <w:rsid w:val="00327D60"/>
    <w:rsid w:val="00330B04"/>
    <w:rsid w:val="0033182F"/>
    <w:rsid w:val="003319BF"/>
    <w:rsid w:val="0033205E"/>
    <w:rsid w:val="00334721"/>
    <w:rsid w:val="00334EF7"/>
    <w:rsid w:val="003358F1"/>
    <w:rsid w:val="003363AE"/>
    <w:rsid w:val="003364F0"/>
    <w:rsid w:val="00337206"/>
    <w:rsid w:val="00342C5D"/>
    <w:rsid w:val="00344752"/>
    <w:rsid w:val="00344F4F"/>
    <w:rsid w:val="00345148"/>
    <w:rsid w:val="00345E47"/>
    <w:rsid w:val="003473A8"/>
    <w:rsid w:val="00351139"/>
    <w:rsid w:val="0035196B"/>
    <w:rsid w:val="0035201F"/>
    <w:rsid w:val="00352C00"/>
    <w:rsid w:val="00353252"/>
    <w:rsid w:val="003552E4"/>
    <w:rsid w:val="0036036D"/>
    <w:rsid w:val="00360C60"/>
    <w:rsid w:val="00361643"/>
    <w:rsid w:val="0036243D"/>
    <w:rsid w:val="00363BAD"/>
    <w:rsid w:val="0036403B"/>
    <w:rsid w:val="003647D8"/>
    <w:rsid w:val="003650B7"/>
    <w:rsid w:val="00366A7C"/>
    <w:rsid w:val="00367516"/>
    <w:rsid w:val="0037092C"/>
    <w:rsid w:val="00370C66"/>
    <w:rsid w:val="00371171"/>
    <w:rsid w:val="0037124D"/>
    <w:rsid w:val="00371D01"/>
    <w:rsid w:val="00373ACF"/>
    <w:rsid w:val="003743C5"/>
    <w:rsid w:val="00375E31"/>
    <w:rsid w:val="00376987"/>
    <w:rsid w:val="00377974"/>
    <w:rsid w:val="0038082B"/>
    <w:rsid w:val="00381281"/>
    <w:rsid w:val="003817C5"/>
    <w:rsid w:val="00381D85"/>
    <w:rsid w:val="00384253"/>
    <w:rsid w:val="00385396"/>
    <w:rsid w:val="00385B3B"/>
    <w:rsid w:val="0038706B"/>
    <w:rsid w:val="003877F8"/>
    <w:rsid w:val="0039155D"/>
    <w:rsid w:val="00392BA6"/>
    <w:rsid w:val="0039301D"/>
    <w:rsid w:val="00393D50"/>
    <w:rsid w:val="003960EB"/>
    <w:rsid w:val="00397FCE"/>
    <w:rsid w:val="003A44D4"/>
    <w:rsid w:val="003A5D75"/>
    <w:rsid w:val="003A693B"/>
    <w:rsid w:val="003B012E"/>
    <w:rsid w:val="003B0607"/>
    <w:rsid w:val="003B291C"/>
    <w:rsid w:val="003B2F37"/>
    <w:rsid w:val="003B3113"/>
    <w:rsid w:val="003B45AB"/>
    <w:rsid w:val="003B6C59"/>
    <w:rsid w:val="003B75B6"/>
    <w:rsid w:val="003B76D1"/>
    <w:rsid w:val="003B7D37"/>
    <w:rsid w:val="003C0113"/>
    <w:rsid w:val="003C02B9"/>
    <w:rsid w:val="003C14CB"/>
    <w:rsid w:val="003C2768"/>
    <w:rsid w:val="003C35F0"/>
    <w:rsid w:val="003C3799"/>
    <w:rsid w:val="003C56B6"/>
    <w:rsid w:val="003C6BB9"/>
    <w:rsid w:val="003C6D78"/>
    <w:rsid w:val="003C722E"/>
    <w:rsid w:val="003D0015"/>
    <w:rsid w:val="003D3380"/>
    <w:rsid w:val="003D3FB7"/>
    <w:rsid w:val="003D4042"/>
    <w:rsid w:val="003D4F2B"/>
    <w:rsid w:val="003D63BD"/>
    <w:rsid w:val="003D798F"/>
    <w:rsid w:val="003E166B"/>
    <w:rsid w:val="003E2D7F"/>
    <w:rsid w:val="003E33A0"/>
    <w:rsid w:val="003E3F0D"/>
    <w:rsid w:val="003E4056"/>
    <w:rsid w:val="003E5EA6"/>
    <w:rsid w:val="003E6803"/>
    <w:rsid w:val="003E73BC"/>
    <w:rsid w:val="003E7BE2"/>
    <w:rsid w:val="003F0032"/>
    <w:rsid w:val="003F009C"/>
    <w:rsid w:val="003F0971"/>
    <w:rsid w:val="003F09E9"/>
    <w:rsid w:val="003F0B38"/>
    <w:rsid w:val="003F1B39"/>
    <w:rsid w:val="003F1EE1"/>
    <w:rsid w:val="003F27E8"/>
    <w:rsid w:val="003F6145"/>
    <w:rsid w:val="003F62BA"/>
    <w:rsid w:val="003F6359"/>
    <w:rsid w:val="003F6FF9"/>
    <w:rsid w:val="003F6FFD"/>
    <w:rsid w:val="003F77D0"/>
    <w:rsid w:val="0040000B"/>
    <w:rsid w:val="00400ABF"/>
    <w:rsid w:val="00402C9F"/>
    <w:rsid w:val="00403285"/>
    <w:rsid w:val="0040368D"/>
    <w:rsid w:val="00404B5E"/>
    <w:rsid w:val="0040584E"/>
    <w:rsid w:val="00405BCC"/>
    <w:rsid w:val="004065DE"/>
    <w:rsid w:val="00407C89"/>
    <w:rsid w:val="004128E9"/>
    <w:rsid w:val="00412AA4"/>
    <w:rsid w:val="00412EE5"/>
    <w:rsid w:val="00414177"/>
    <w:rsid w:val="00417D0C"/>
    <w:rsid w:val="00420A49"/>
    <w:rsid w:val="0042144C"/>
    <w:rsid w:val="00421527"/>
    <w:rsid w:val="00422D10"/>
    <w:rsid w:val="00424673"/>
    <w:rsid w:val="0042492F"/>
    <w:rsid w:val="00430110"/>
    <w:rsid w:val="00431C26"/>
    <w:rsid w:val="00431E77"/>
    <w:rsid w:val="004328CE"/>
    <w:rsid w:val="0043486E"/>
    <w:rsid w:val="0043584D"/>
    <w:rsid w:val="00436C19"/>
    <w:rsid w:val="00437B6E"/>
    <w:rsid w:val="00440F55"/>
    <w:rsid w:val="0044147F"/>
    <w:rsid w:val="00443253"/>
    <w:rsid w:val="004438ED"/>
    <w:rsid w:val="00445E4D"/>
    <w:rsid w:val="00445F05"/>
    <w:rsid w:val="00446A99"/>
    <w:rsid w:val="004511B2"/>
    <w:rsid w:val="00452FC0"/>
    <w:rsid w:val="00453010"/>
    <w:rsid w:val="00455E01"/>
    <w:rsid w:val="0045773D"/>
    <w:rsid w:val="00457D01"/>
    <w:rsid w:val="0046026D"/>
    <w:rsid w:val="00460478"/>
    <w:rsid w:val="00460DB3"/>
    <w:rsid w:val="00461F3E"/>
    <w:rsid w:val="00466BC0"/>
    <w:rsid w:val="00466DD6"/>
    <w:rsid w:val="00467C82"/>
    <w:rsid w:val="00470176"/>
    <w:rsid w:val="004707C3"/>
    <w:rsid w:val="004717EF"/>
    <w:rsid w:val="00471DB6"/>
    <w:rsid w:val="00473A18"/>
    <w:rsid w:val="00480275"/>
    <w:rsid w:val="00480533"/>
    <w:rsid w:val="00480CA3"/>
    <w:rsid w:val="00481646"/>
    <w:rsid w:val="004845A6"/>
    <w:rsid w:val="00484F15"/>
    <w:rsid w:val="004867A4"/>
    <w:rsid w:val="00486EFB"/>
    <w:rsid w:val="004872AE"/>
    <w:rsid w:val="004927AA"/>
    <w:rsid w:val="00492BC3"/>
    <w:rsid w:val="0049339A"/>
    <w:rsid w:val="004969CB"/>
    <w:rsid w:val="00497DC9"/>
    <w:rsid w:val="004A43C3"/>
    <w:rsid w:val="004B1653"/>
    <w:rsid w:val="004B2094"/>
    <w:rsid w:val="004B29D6"/>
    <w:rsid w:val="004B2A92"/>
    <w:rsid w:val="004B2C14"/>
    <w:rsid w:val="004B385F"/>
    <w:rsid w:val="004B4968"/>
    <w:rsid w:val="004B54D0"/>
    <w:rsid w:val="004B5F94"/>
    <w:rsid w:val="004B63FC"/>
    <w:rsid w:val="004B69C4"/>
    <w:rsid w:val="004B7657"/>
    <w:rsid w:val="004C0D7B"/>
    <w:rsid w:val="004C0E15"/>
    <w:rsid w:val="004C0ECC"/>
    <w:rsid w:val="004C2004"/>
    <w:rsid w:val="004C2E9E"/>
    <w:rsid w:val="004C489F"/>
    <w:rsid w:val="004C66CF"/>
    <w:rsid w:val="004D043B"/>
    <w:rsid w:val="004D09B0"/>
    <w:rsid w:val="004D09E9"/>
    <w:rsid w:val="004D1545"/>
    <w:rsid w:val="004D5665"/>
    <w:rsid w:val="004D5FD9"/>
    <w:rsid w:val="004D607B"/>
    <w:rsid w:val="004D61AE"/>
    <w:rsid w:val="004D6986"/>
    <w:rsid w:val="004D6A26"/>
    <w:rsid w:val="004D7BFC"/>
    <w:rsid w:val="004E0267"/>
    <w:rsid w:val="004E1A70"/>
    <w:rsid w:val="004E591B"/>
    <w:rsid w:val="004E5972"/>
    <w:rsid w:val="004E5F8A"/>
    <w:rsid w:val="004E6B3A"/>
    <w:rsid w:val="004E7868"/>
    <w:rsid w:val="004F152D"/>
    <w:rsid w:val="004F3FB0"/>
    <w:rsid w:val="004F435E"/>
    <w:rsid w:val="004F452C"/>
    <w:rsid w:val="004F61A3"/>
    <w:rsid w:val="004F61DE"/>
    <w:rsid w:val="004F6E82"/>
    <w:rsid w:val="004F71BF"/>
    <w:rsid w:val="004F73C2"/>
    <w:rsid w:val="00500225"/>
    <w:rsid w:val="00501B8B"/>
    <w:rsid w:val="0050298E"/>
    <w:rsid w:val="00504361"/>
    <w:rsid w:val="00504F0A"/>
    <w:rsid w:val="005056BD"/>
    <w:rsid w:val="00505E7C"/>
    <w:rsid w:val="00511411"/>
    <w:rsid w:val="00511663"/>
    <w:rsid w:val="00511CC1"/>
    <w:rsid w:val="0051397F"/>
    <w:rsid w:val="005174C5"/>
    <w:rsid w:val="00521BCF"/>
    <w:rsid w:val="0052241C"/>
    <w:rsid w:val="00522690"/>
    <w:rsid w:val="00522DBC"/>
    <w:rsid w:val="005233B4"/>
    <w:rsid w:val="00524055"/>
    <w:rsid w:val="005247EE"/>
    <w:rsid w:val="005262E4"/>
    <w:rsid w:val="005269D2"/>
    <w:rsid w:val="00526C0C"/>
    <w:rsid w:val="00526C8B"/>
    <w:rsid w:val="005271CD"/>
    <w:rsid w:val="005272B2"/>
    <w:rsid w:val="005301E7"/>
    <w:rsid w:val="00530765"/>
    <w:rsid w:val="005329A8"/>
    <w:rsid w:val="00533D94"/>
    <w:rsid w:val="005340A4"/>
    <w:rsid w:val="00534B30"/>
    <w:rsid w:val="0053561B"/>
    <w:rsid w:val="00535628"/>
    <w:rsid w:val="0053623D"/>
    <w:rsid w:val="00536E16"/>
    <w:rsid w:val="00541726"/>
    <w:rsid w:val="00542029"/>
    <w:rsid w:val="005428A6"/>
    <w:rsid w:val="00542914"/>
    <w:rsid w:val="00545C79"/>
    <w:rsid w:val="00546A6D"/>
    <w:rsid w:val="00547CA4"/>
    <w:rsid w:val="00547CDC"/>
    <w:rsid w:val="00551AD2"/>
    <w:rsid w:val="005523A2"/>
    <w:rsid w:val="005527BA"/>
    <w:rsid w:val="00552A2E"/>
    <w:rsid w:val="00554096"/>
    <w:rsid w:val="00555D35"/>
    <w:rsid w:val="0055621D"/>
    <w:rsid w:val="00556379"/>
    <w:rsid w:val="00560D0A"/>
    <w:rsid w:val="00561C2C"/>
    <w:rsid w:val="00566718"/>
    <w:rsid w:val="005668F7"/>
    <w:rsid w:val="00570A7C"/>
    <w:rsid w:val="00571FFC"/>
    <w:rsid w:val="00572812"/>
    <w:rsid w:val="0057398A"/>
    <w:rsid w:val="0057617B"/>
    <w:rsid w:val="0058240D"/>
    <w:rsid w:val="00584074"/>
    <w:rsid w:val="00585315"/>
    <w:rsid w:val="00586E69"/>
    <w:rsid w:val="005875B9"/>
    <w:rsid w:val="005911BB"/>
    <w:rsid w:val="0059172A"/>
    <w:rsid w:val="00593884"/>
    <w:rsid w:val="0059466B"/>
    <w:rsid w:val="0059535C"/>
    <w:rsid w:val="00595861"/>
    <w:rsid w:val="005968C7"/>
    <w:rsid w:val="00597A3B"/>
    <w:rsid w:val="005A06BA"/>
    <w:rsid w:val="005A2CAC"/>
    <w:rsid w:val="005A2DDE"/>
    <w:rsid w:val="005A33E8"/>
    <w:rsid w:val="005A40B5"/>
    <w:rsid w:val="005A5779"/>
    <w:rsid w:val="005B00F5"/>
    <w:rsid w:val="005B197F"/>
    <w:rsid w:val="005B1C24"/>
    <w:rsid w:val="005B27FC"/>
    <w:rsid w:val="005B2E85"/>
    <w:rsid w:val="005B37B3"/>
    <w:rsid w:val="005B3FD8"/>
    <w:rsid w:val="005C0BCE"/>
    <w:rsid w:val="005C2481"/>
    <w:rsid w:val="005C2AE8"/>
    <w:rsid w:val="005C2D98"/>
    <w:rsid w:val="005C3036"/>
    <w:rsid w:val="005C382A"/>
    <w:rsid w:val="005C3AA5"/>
    <w:rsid w:val="005C41BA"/>
    <w:rsid w:val="005C4224"/>
    <w:rsid w:val="005C486B"/>
    <w:rsid w:val="005C587E"/>
    <w:rsid w:val="005C5929"/>
    <w:rsid w:val="005C5A52"/>
    <w:rsid w:val="005C5B16"/>
    <w:rsid w:val="005C63FC"/>
    <w:rsid w:val="005C708C"/>
    <w:rsid w:val="005C779B"/>
    <w:rsid w:val="005C7ED3"/>
    <w:rsid w:val="005D1C25"/>
    <w:rsid w:val="005D1D51"/>
    <w:rsid w:val="005D2215"/>
    <w:rsid w:val="005D3468"/>
    <w:rsid w:val="005D4420"/>
    <w:rsid w:val="005D48D3"/>
    <w:rsid w:val="005D56B5"/>
    <w:rsid w:val="005D5DFC"/>
    <w:rsid w:val="005D60FC"/>
    <w:rsid w:val="005E1A1A"/>
    <w:rsid w:val="005E43E2"/>
    <w:rsid w:val="005E5561"/>
    <w:rsid w:val="005E56F5"/>
    <w:rsid w:val="005F01D1"/>
    <w:rsid w:val="005F07E6"/>
    <w:rsid w:val="005F0F20"/>
    <w:rsid w:val="005F126D"/>
    <w:rsid w:val="005F15DE"/>
    <w:rsid w:val="005F16C2"/>
    <w:rsid w:val="005F2409"/>
    <w:rsid w:val="005F242E"/>
    <w:rsid w:val="005F28E4"/>
    <w:rsid w:val="005F2A80"/>
    <w:rsid w:val="005F2B28"/>
    <w:rsid w:val="005F2CA1"/>
    <w:rsid w:val="005F380A"/>
    <w:rsid w:val="005F4276"/>
    <w:rsid w:val="005F4ABA"/>
    <w:rsid w:val="005F502E"/>
    <w:rsid w:val="005F5203"/>
    <w:rsid w:val="005F60AB"/>
    <w:rsid w:val="005F6680"/>
    <w:rsid w:val="005F7161"/>
    <w:rsid w:val="005F7407"/>
    <w:rsid w:val="00600AB2"/>
    <w:rsid w:val="006031F9"/>
    <w:rsid w:val="00603493"/>
    <w:rsid w:val="00604030"/>
    <w:rsid w:val="00605A6D"/>
    <w:rsid w:val="00610262"/>
    <w:rsid w:val="00610463"/>
    <w:rsid w:val="006112E7"/>
    <w:rsid w:val="00611DD2"/>
    <w:rsid w:val="00614249"/>
    <w:rsid w:val="00614A0B"/>
    <w:rsid w:val="006159D3"/>
    <w:rsid w:val="006176C4"/>
    <w:rsid w:val="00620304"/>
    <w:rsid w:val="006206F3"/>
    <w:rsid w:val="006209F1"/>
    <w:rsid w:val="00625ED5"/>
    <w:rsid w:val="006307DE"/>
    <w:rsid w:val="006323D9"/>
    <w:rsid w:val="006325E2"/>
    <w:rsid w:val="00632A4A"/>
    <w:rsid w:val="006359AD"/>
    <w:rsid w:val="00636A2D"/>
    <w:rsid w:val="0063716D"/>
    <w:rsid w:val="0064017D"/>
    <w:rsid w:val="00643B19"/>
    <w:rsid w:val="00643ECC"/>
    <w:rsid w:val="00647B6E"/>
    <w:rsid w:val="006509AD"/>
    <w:rsid w:val="00654912"/>
    <w:rsid w:val="006554C7"/>
    <w:rsid w:val="00656661"/>
    <w:rsid w:val="0066043E"/>
    <w:rsid w:val="00660913"/>
    <w:rsid w:val="006622FC"/>
    <w:rsid w:val="0066301D"/>
    <w:rsid w:val="0066323E"/>
    <w:rsid w:val="006637C3"/>
    <w:rsid w:val="00663C88"/>
    <w:rsid w:val="006641C3"/>
    <w:rsid w:val="00664862"/>
    <w:rsid w:val="00666B2F"/>
    <w:rsid w:val="00670809"/>
    <w:rsid w:val="006724CB"/>
    <w:rsid w:val="00672A5E"/>
    <w:rsid w:val="00673F76"/>
    <w:rsid w:val="0067425B"/>
    <w:rsid w:val="00674327"/>
    <w:rsid w:val="00674F25"/>
    <w:rsid w:val="00675C1F"/>
    <w:rsid w:val="00675FE5"/>
    <w:rsid w:val="006765AE"/>
    <w:rsid w:val="00680069"/>
    <w:rsid w:val="00680DC0"/>
    <w:rsid w:val="006819CE"/>
    <w:rsid w:val="00683340"/>
    <w:rsid w:val="006840C3"/>
    <w:rsid w:val="00685A63"/>
    <w:rsid w:val="0068656D"/>
    <w:rsid w:val="00687AAB"/>
    <w:rsid w:val="00687E1E"/>
    <w:rsid w:val="0069021A"/>
    <w:rsid w:val="006912D1"/>
    <w:rsid w:val="00695721"/>
    <w:rsid w:val="00696A13"/>
    <w:rsid w:val="006A1253"/>
    <w:rsid w:val="006A50B5"/>
    <w:rsid w:val="006A6138"/>
    <w:rsid w:val="006A73DE"/>
    <w:rsid w:val="006B098D"/>
    <w:rsid w:val="006B1604"/>
    <w:rsid w:val="006B2694"/>
    <w:rsid w:val="006B3D9A"/>
    <w:rsid w:val="006B3F60"/>
    <w:rsid w:val="006B4A6F"/>
    <w:rsid w:val="006B4D1D"/>
    <w:rsid w:val="006B55DC"/>
    <w:rsid w:val="006B57F6"/>
    <w:rsid w:val="006B6B0C"/>
    <w:rsid w:val="006B6E65"/>
    <w:rsid w:val="006B7E88"/>
    <w:rsid w:val="006C08EB"/>
    <w:rsid w:val="006C344D"/>
    <w:rsid w:val="006C3B41"/>
    <w:rsid w:val="006C6338"/>
    <w:rsid w:val="006C70D4"/>
    <w:rsid w:val="006D1197"/>
    <w:rsid w:val="006D189D"/>
    <w:rsid w:val="006D2BCA"/>
    <w:rsid w:val="006D2BFA"/>
    <w:rsid w:val="006D3CFA"/>
    <w:rsid w:val="006D4A85"/>
    <w:rsid w:val="006E0330"/>
    <w:rsid w:val="006E2009"/>
    <w:rsid w:val="006E2845"/>
    <w:rsid w:val="006E3234"/>
    <w:rsid w:val="006E42ED"/>
    <w:rsid w:val="006E5D4A"/>
    <w:rsid w:val="006E6F1E"/>
    <w:rsid w:val="006F00CB"/>
    <w:rsid w:val="006F01BF"/>
    <w:rsid w:val="006F1303"/>
    <w:rsid w:val="006F1444"/>
    <w:rsid w:val="006F14FC"/>
    <w:rsid w:val="006F5730"/>
    <w:rsid w:val="006F602A"/>
    <w:rsid w:val="006F62C9"/>
    <w:rsid w:val="006F7163"/>
    <w:rsid w:val="007009C9"/>
    <w:rsid w:val="00700C91"/>
    <w:rsid w:val="00701888"/>
    <w:rsid w:val="00701F46"/>
    <w:rsid w:val="00703112"/>
    <w:rsid w:val="007033ED"/>
    <w:rsid w:val="00704CF5"/>
    <w:rsid w:val="00705086"/>
    <w:rsid w:val="00705FD3"/>
    <w:rsid w:val="00707D58"/>
    <w:rsid w:val="00707DCA"/>
    <w:rsid w:val="0071086E"/>
    <w:rsid w:val="00710D9F"/>
    <w:rsid w:val="00711AB7"/>
    <w:rsid w:val="00712DBE"/>
    <w:rsid w:val="007138B7"/>
    <w:rsid w:val="007141E9"/>
    <w:rsid w:val="00720DC4"/>
    <w:rsid w:val="0072116F"/>
    <w:rsid w:val="00722FDA"/>
    <w:rsid w:val="0072339C"/>
    <w:rsid w:val="00723FB1"/>
    <w:rsid w:val="007246CF"/>
    <w:rsid w:val="0072573B"/>
    <w:rsid w:val="00725CF8"/>
    <w:rsid w:val="0072638B"/>
    <w:rsid w:val="00732BCE"/>
    <w:rsid w:val="0073515D"/>
    <w:rsid w:val="00737437"/>
    <w:rsid w:val="007376A5"/>
    <w:rsid w:val="007411DF"/>
    <w:rsid w:val="007417E7"/>
    <w:rsid w:val="007437B7"/>
    <w:rsid w:val="00743D29"/>
    <w:rsid w:val="00744760"/>
    <w:rsid w:val="00744B1A"/>
    <w:rsid w:val="007502A4"/>
    <w:rsid w:val="0075030A"/>
    <w:rsid w:val="00753700"/>
    <w:rsid w:val="00753BBA"/>
    <w:rsid w:val="0075554C"/>
    <w:rsid w:val="00755C3B"/>
    <w:rsid w:val="0075679E"/>
    <w:rsid w:val="00756BBF"/>
    <w:rsid w:val="007600FF"/>
    <w:rsid w:val="0076025D"/>
    <w:rsid w:val="00760662"/>
    <w:rsid w:val="0076114E"/>
    <w:rsid w:val="00762316"/>
    <w:rsid w:val="00762FE5"/>
    <w:rsid w:val="007642F0"/>
    <w:rsid w:val="00765256"/>
    <w:rsid w:val="00766211"/>
    <w:rsid w:val="00770A8B"/>
    <w:rsid w:val="007715E9"/>
    <w:rsid w:val="007734C6"/>
    <w:rsid w:val="007745F3"/>
    <w:rsid w:val="0077483B"/>
    <w:rsid w:val="00775C54"/>
    <w:rsid w:val="00775F7F"/>
    <w:rsid w:val="0077776A"/>
    <w:rsid w:val="00780411"/>
    <w:rsid w:val="00782916"/>
    <w:rsid w:val="00783BE5"/>
    <w:rsid w:val="00784203"/>
    <w:rsid w:val="007853B4"/>
    <w:rsid w:val="007873BC"/>
    <w:rsid w:val="00787F1C"/>
    <w:rsid w:val="00791184"/>
    <w:rsid w:val="00792902"/>
    <w:rsid w:val="007929EA"/>
    <w:rsid w:val="007944FD"/>
    <w:rsid w:val="00795358"/>
    <w:rsid w:val="007A00D7"/>
    <w:rsid w:val="007A15EF"/>
    <w:rsid w:val="007A16D2"/>
    <w:rsid w:val="007A1B0F"/>
    <w:rsid w:val="007A6853"/>
    <w:rsid w:val="007B13AD"/>
    <w:rsid w:val="007B27FE"/>
    <w:rsid w:val="007B2974"/>
    <w:rsid w:val="007B35D5"/>
    <w:rsid w:val="007B3BE3"/>
    <w:rsid w:val="007B3E04"/>
    <w:rsid w:val="007B699C"/>
    <w:rsid w:val="007B7B77"/>
    <w:rsid w:val="007B7E49"/>
    <w:rsid w:val="007C02E0"/>
    <w:rsid w:val="007C127D"/>
    <w:rsid w:val="007C4578"/>
    <w:rsid w:val="007C4A16"/>
    <w:rsid w:val="007C62BB"/>
    <w:rsid w:val="007C6D66"/>
    <w:rsid w:val="007C7AA7"/>
    <w:rsid w:val="007D0ED7"/>
    <w:rsid w:val="007D1433"/>
    <w:rsid w:val="007D1C81"/>
    <w:rsid w:val="007D2CC9"/>
    <w:rsid w:val="007D3223"/>
    <w:rsid w:val="007D3A99"/>
    <w:rsid w:val="007D3C49"/>
    <w:rsid w:val="007D5324"/>
    <w:rsid w:val="007D6230"/>
    <w:rsid w:val="007D6B5A"/>
    <w:rsid w:val="007E0A22"/>
    <w:rsid w:val="007E12E2"/>
    <w:rsid w:val="007E19B8"/>
    <w:rsid w:val="007E1DBF"/>
    <w:rsid w:val="007E3300"/>
    <w:rsid w:val="007E43C2"/>
    <w:rsid w:val="007E44F4"/>
    <w:rsid w:val="007E5813"/>
    <w:rsid w:val="007E5BEC"/>
    <w:rsid w:val="007E74D2"/>
    <w:rsid w:val="007F23D4"/>
    <w:rsid w:val="007F4BA0"/>
    <w:rsid w:val="007F5131"/>
    <w:rsid w:val="008006ED"/>
    <w:rsid w:val="00801AE2"/>
    <w:rsid w:val="00801BE9"/>
    <w:rsid w:val="00803E08"/>
    <w:rsid w:val="00804097"/>
    <w:rsid w:val="008058DB"/>
    <w:rsid w:val="00805C60"/>
    <w:rsid w:val="00805FDD"/>
    <w:rsid w:val="00811654"/>
    <w:rsid w:val="00811689"/>
    <w:rsid w:val="0081184D"/>
    <w:rsid w:val="00811951"/>
    <w:rsid w:val="00811B5B"/>
    <w:rsid w:val="008122B0"/>
    <w:rsid w:val="0081242C"/>
    <w:rsid w:val="00813F37"/>
    <w:rsid w:val="00814756"/>
    <w:rsid w:val="00815FC9"/>
    <w:rsid w:val="00823B0E"/>
    <w:rsid w:val="00824376"/>
    <w:rsid w:val="00824428"/>
    <w:rsid w:val="00826945"/>
    <w:rsid w:val="00827A1A"/>
    <w:rsid w:val="00831690"/>
    <w:rsid w:val="00831D16"/>
    <w:rsid w:val="00832405"/>
    <w:rsid w:val="00834A7E"/>
    <w:rsid w:val="00836136"/>
    <w:rsid w:val="00840E44"/>
    <w:rsid w:val="00841EE3"/>
    <w:rsid w:val="008425D1"/>
    <w:rsid w:val="00844DAE"/>
    <w:rsid w:val="00845B0E"/>
    <w:rsid w:val="008472E7"/>
    <w:rsid w:val="00847690"/>
    <w:rsid w:val="00847E8A"/>
    <w:rsid w:val="00850109"/>
    <w:rsid w:val="008528CE"/>
    <w:rsid w:val="00852D89"/>
    <w:rsid w:val="00852DBB"/>
    <w:rsid w:val="0085323B"/>
    <w:rsid w:val="00853B2E"/>
    <w:rsid w:val="00853D7D"/>
    <w:rsid w:val="008572AD"/>
    <w:rsid w:val="00857EFD"/>
    <w:rsid w:val="00860616"/>
    <w:rsid w:val="00861D23"/>
    <w:rsid w:val="00864551"/>
    <w:rsid w:val="008647B0"/>
    <w:rsid w:val="008651AB"/>
    <w:rsid w:val="00865323"/>
    <w:rsid w:val="008676DE"/>
    <w:rsid w:val="00867E2A"/>
    <w:rsid w:val="00870061"/>
    <w:rsid w:val="00870891"/>
    <w:rsid w:val="008719CE"/>
    <w:rsid w:val="00871FC4"/>
    <w:rsid w:val="00873412"/>
    <w:rsid w:val="008737C3"/>
    <w:rsid w:val="00873E38"/>
    <w:rsid w:val="00874592"/>
    <w:rsid w:val="008745EA"/>
    <w:rsid w:val="008754E0"/>
    <w:rsid w:val="008808DF"/>
    <w:rsid w:val="008828C0"/>
    <w:rsid w:val="00882B10"/>
    <w:rsid w:val="00884E58"/>
    <w:rsid w:val="00890E49"/>
    <w:rsid w:val="008929AE"/>
    <w:rsid w:val="0089505A"/>
    <w:rsid w:val="008951FF"/>
    <w:rsid w:val="0089645C"/>
    <w:rsid w:val="00897678"/>
    <w:rsid w:val="008A054D"/>
    <w:rsid w:val="008A0B29"/>
    <w:rsid w:val="008A1C40"/>
    <w:rsid w:val="008A394E"/>
    <w:rsid w:val="008A4032"/>
    <w:rsid w:val="008A40B9"/>
    <w:rsid w:val="008A4EBF"/>
    <w:rsid w:val="008A572B"/>
    <w:rsid w:val="008A597B"/>
    <w:rsid w:val="008A5E8C"/>
    <w:rsid w:val="008A7337"/>
    <w:rsid w:val="008B0B62"/>
    <w:rsid w:val="008B295B"/>
    <w:rsid w:val="008B30F4"/>
    <w:rsid w:val="008B3906"/>
    <w:rsid w:val="008B4F69"/>
    <w:rsid w:val="008B50E9"/>
    <w:rsid w:val="008B5BAE"/>
    <w:rsid w:val="008B66BA"/>
    <w:rsid w:val="008B67CA"/>
    <w:rsid w:val="008C2C62"/>
    <w:rsid w:val="008C543E"/>
    <w:rsid w:val="008C5CF6"/>
    <w:rsid w:val="008C771C"/>
    <w:rsid w:val="008C7D01"/>
    <w:rsid w:val="008D018A"/>
    <w:rsid w:val="008D0366"/>
    <w:rsid w:val="008D254D"/>
    <w:rsid w:val="008D3C5A"/>
    <w:rsid w:val="008D402B"/>
    <w:rsid w:val="008D4511"/>
    <w:rsid w:val="008D52B1"/>
    <w:rsid w:val="008D5C65"/>
    <w:rsid w:val="008D5E9A"/>
    <w:rsid w:val="008D6CCC"/>
    <w:rsid w:val="008E05FD"/>
    <w:rsid w:val="008E06F2"/>
    <w:rsid w:val="008E0962"/>
    <w:rsid w:val="008E3FCD"/>
    <w:rsid w:val="008E44E8"/>
    <w:rsid w:val="008E5635"/>
    <w:rsid w:val="008E620B"/>
    <w:rsid w:val="008E669B"/>
    <w:rsid w:val="008E759E"/>
    <w:rsid w:val="008E7CD9"/>
    <w:rsid w:val="008F0C3E"/>
    <w:rsid w:val="008F0F70"/>
    <w:rsid w:val="008F2691"/>
    <w:rsid w:val="008F3D85"/>
    <w:rsid w:val="008F51D3"/>
    <w:rsid w:val="008F5A37"/>
    <w:rsid w:val="008F7F29"/>
    <w:rsid w:val="009011E0"/>
    <w:rsid w:val="009047C4"/>
    <w:rsid w:val="00910925"/>
    <w:rsid w:val="00911A3B"/>
    <w:rsid w:val="00912105"/>
    <w:rsid w:val="009140A6"/>
    <w:rsid w:val="009157A5"/>
    <w:rsid w:val="00916906"/>
    <w:rsid w:val="00917A00"/>
    <w:rsid w:val="00917C6B"/>
    <w:rsid w:val="009208D3"/>
    <w:rsid w:val="00920E50"/>
    <w:rsid w:val="0092125F"/>
    <w:rsid w:val="0092285F"/>
    <w:rsid w:val="00923858"/>
    <w:rsid w:val="00926F00"/>
    <w:rsid w:val="00927904"/>
    <w:rsid w:val="00927D7E"/>
    <w:rsid w:val="00930920"/>
    <w:rsid w:val="00930970"/>
    <w:rsid w:val="009324EB"/>
    <w:rsid w:val="00932BFB"/>
    <w:rsid w:val="00934F5F"/>
    <w:rsid w:val="009352E5"/>
    <w:rsid w:val="00935727"/>
    <w:rsid w:val="00936583"/>
    <w:rsid w:val="00936D5D"/>
    <w:rsid w:val="00944BD9"/>
    <w:rsid w:val="00945A8A"/>
    <w:rsid w:val="00946BA6"/>
    <w:rsid w:val="00946E6B"/>
    <w:rsid w:val="009477A0"/>
    <w:rsid w:val="00952686"/>
    <w:rsid w:val="00952688"/>
    <w:rsid w:val="009528FB"/>
    <w:rsid w:val="00952F25"/>
    <w:rsid w:val="009539DC"/>
    <w:rsid w:val="009540CF"/>
    <w:rsid w:val="009552ED"/>
    <w:rsid w:val="009556BB"/>
    <w:rsid w:val="009561D5"/>
    <w:rsid w:val="009576DC"/>
    <w:rsid w:val="00957DDA"/>
    <w:rsid w:val="00960365"/>
    <w:rsid w:val="00962497"/>
    <w:rsid w:val="00962F6B"/>
    <w:rsid w:val="0096525D"/>
    <w:rsid w:val="00966091"/>
    <w:rsid w:val="00966F07"/>
    <w:rsid w:val="00967072"/>
    <w:rsid w:val="00967118"/>
    <w:rsid w:val="00970F58"/>
    <w:rsid w:val="00971224"/>
    <w:rsid w:val="00976D44"/>
    <w:rsid w:val="00980280"/>
    <w:rsid w:val="00981BD6"/>
    <w:rsid w:val="00983994"/>
    <w:rsid w:val="00984458"/>
    <w:rsid w:val="00987C03"/>
    <w:rsid w:val="00992232"/>
    <w:rsid w:val="00992588"/>
    <w:rsid w:val="00992E14"/>
    <w:rsid w:val="00994A05"/>
    <w:rsid w:val="00994A27"/>
    <w:rsid w:val="00997471"/>
    <w:rsid w:val="009A0017"/>
    <w:rsid w:val="009A1049"/>
    <w:rsid w:val="009A13EB"/>
    <w:rsid w:val="009A19EE"/>
    <w:rsid w:val="009A3614"/>
    <w:rsid w:val="009A6646"/>
    <w:rsid w:val="009B0E95"/>
    <w:rsid w:val="009B0EBD"/>
    <w:rsid w:val="009B146D"/>
    <w:rsid w:val="009B2174"/>
    <w:rsid w:val="009B2412"/>
    <w:rsid w:val="009B3050"/>
    <w:rsid w:val="009B43EC"/>
    <w:rsid w:val="009B5037"/>
    <w:rsid w:val="009B5635"/>
    <w:rsid w:val="009B7A60"/>
    <w:rsid w:val="009B7F83"/>
    <w:rsid w:val="009C048D"/>
    <w:rsid w:val="009C0F0A"/>
    <w:rsid w:val="009C1934"/>
    <w:rsid w:val="009C1C67"/>
    <w:rsid w:val="009C39B9"/>
    <w:rsid w:val="009C3BD3"/>
    <w:rsid w:val="009C4A05"/>
    <w:rsid w:val="009C61BE"/>
    <w:rsid w:val="009C77CB"/>
    <w:rsid w:val="009D10C1"/>
    <w:rsid w:val="009D2E12"/>
    <w:rsid w:val="009D2EA4"/>
    <w:rsid w:val="009D2EE3"/>
    <w:rsid w:val="009D420A"/>
    <w:rsid w:val="009D4450"/>
    <w:rsid w:val="009D489D"/>
    <w:rsid w:val="009D7F97"/>
    <w:rsid w:val="009E00D6"/>
    <w:rsid w:val="009E1D96"/>
    <w:rsid w:val="009E2D2A"/>
    <w:rsid w:val="009E49CA"/>
    <w:rsid w:val="009E5A25"/>
    <w:rsid w:val="009E6A9D"/>
    <w:rsid w:val="009F03C3"/>
    <w:rsid w:val="009F0CA1"/>
    <w:rsid w:val="009F1ADE"/>
    <w:rsid w:val="009F216F"/>
    <w:rsid w:val="009F269A"/>
    <w:rsid w:val="009F332E"/>
    <w:rsid w:val="009F38B3"/>
    <w:rsid w:val="009F3C54"/>
    <w:rsid w:val="009F4ABF"/>
    <w:rsid w:val="009F51CE"/>
    <w:rsid w:val="009F655E"/>
    <w:rsid w:val="009F6EEF"/>
    <w:rsid w:val="009F6EFC"/>
    <w:rsid w:val="009F7991"/>
    <w:rsid w:val="009F7E2C"/>
    <w:rsid w:val="009F7F7A"/>
    <w:rsid w:val="00A0007F"/>
    <w:rsid w:val="00A0013F"/>
    <w:rsid w:val="00A00641"/>
    <w:rsid w:val="00A00941"/>
    <w:rsid w:val="00A01802"/>
    <w:rsid w:val="00A01A0D"/>
    <w:rsid w:val="00A02347"/>
    <w:rsid w:val="00A02B2B"/>
    <w:rsid w:val="00A04E1C"/>
    <w:rsid w:val="00A05504"/>
    <w:rsid w:val="00A07BDD"/>
    <w:rsid w:val="00A07EBD"/>
    <w:rsid w:val="00A101DA"/>
    <w:rsid w:val="00A1069D"/>
    <w:rsid w:val="00A106DE"/>
    <w:rsid w:val="00A1137D"/>
    <w:rsid w:val="00A120B9"/>
    <w:rsid w:val="00A1238D"/>
    <w:rsid w:val="00A134A3"/>
    <w:rsid w:val="00A1516F"/>
    <w:rsid w:val="00A17BBB"/>
    <w:rsid w:val="00A22508"/>
    <w:rsid w:val="00A22FCF"/>
    <w:rsid w:val="00A258CC"/>
    <w:rsid w:val="00A26444"/>
    <w:rsid w:val="00A27343"/>
    <w:rsid w:val="00A27B1D"/>
    <w:rsid w:val="00A303C1"/>
    <w:rsid w:val="00A322E6"/>
    <w:rsid w:val="00A338D4"/>
    <w:rsid w:val="00A34490"/>
    <w:rsid w:val="00A34849"/>
    <w:rsid w:val="00A3535F"/>
    <w:rsid w:val="00A3645D"/>
    <w:rsid w:val="00A36AA2"/>
    <w:rsid w:val="00A4040B"/>
    <w:rsid w:val="00A40434"/>
    <w:rsid w:val="00A4107F"/>
    <w:rsid w:val="00A4366E"/>
    <w:rsid w:val="00A43C2F"/>
    <w:rsid w:val="00A44971"/>
    <w:rsid w:val="00A45143"/>
    <w:rsid w:val="00A460D4"/>
    <w:rsid w:val="00A4796E"/>
    <w:rsid w:val="00A52516"/>
    <w:rsid w:val="00A52D52"/>
    <w:rsid w:val="00A55860"/>
    <w:rsid w:val="00A56121"/>
    <w:rsid w:val="00A56F03"/>
    <w:rsid w:val="00A57968"/>
    <w:rsid w:val="00A57CF8"/>
    <w:rsid w:val="00A57D7F"/>
    <w:rsid w:val="00A61DC9"/>
    <w:rsid w:val="00A62CA4"/>
    <w:rsid w:val="00A641B3"/>
    <w:rsid w:val="00A64708"/>
    <w:rsid w:val="00A65CCF"/>
    <w:rsid w:val="00A66304"/>
    <w:rsid w:val="00A675E8"/>
    <w:rsid w:val="00A701C1"/>
    <w:rsid w:val="00A70B27"/>
    <w:rsid w:val="00A711C1"/>
    <w:rsid w:val="00A72000"/>
    <w:rsid w:val="00A720DB"/>
    <w:rsid w:val="00A73871"/>
    <w:rsid w:val="00A76F59"/>
    <w:rsid w:val="00A7723D"/>
    <w:rsid w:val="00A812FC"/>
    <w:rsid w:val="00A8205A"/>
    <w:rsid w:val="00A8209D"/>
    <w:rsid w:val="00A8258B"/>
    <w:rsid w:val="00A82FAA"/>
    <w:rsid w:val="00A8323B"/>
    <w:rsid w:val="00A83B95"/>
    <w:rsid w:val="00A8623D"/>
    <w:rsid w:val="00A86666"/>
    <w:rsid w:val="00A9049F"/>
    <w:rsid w:val="00A93E66"/>
    <w:rsid w:val="00A95015"/>
    <w:rsid w:val="00A95F0C"/>
    <w:rsid w:val="00A97046"/>
    <w:rsid w:val="00A97C93"/>
    <w:rsid w:val="00AA07B4"/>
    <w:rsid w:val="00AA0CB5"/>
    <w:rsid w:val="00AA0E6A"/>
    <w:rsid w:val="00AA115D"/>
    <w:rsid w:val="00AA1E6C"/>
    <w:rsid w:val="00AA26D2"/>
    <w:rsid w:val="00AA286B"/>
    <w:rsid w:val="00AA30A0"/>
    <w:rsid w:val="00AA349E"/>
    <w:rsid w:val="00AA51DD"/>
    <w:rsid w:val="00AA6685"/>
    <w:rsid w:val="00AA70A1"/>
    <w:rsid w:val="00AA7EBE"/>
    <w:rsid w:val="00AB12CC"/>
    <w:rsid w:val="00AB1C42"/>
    <w:rsid w:val="00AB1EBE"/>
    <w:rsid w:val="00AB40A7"/>
    <w:rsid w:val="00AB4583"/>
    <w:rsid w:val="00AB5068"/>
    <w:rsid w:val="00AB5E6E"/>
    <w:rsid w:val="00AB7439"/>
    <w:rsid w:val="00AC2C8E"/>
    <w:rsid w:val="00AC36CA"/>
    <w:rsid w:val="00AD0F3D"/>
    <w:rsid w:val="00AD139F"/>
    <w:rsid w:val="00AD27BE"/>
    <w:rsid w:val="00AD373F"/>
    <w:rsid w:val="00AD3744"/>
    <w:rsid w:val="00AD3C4A"/>
    <w:rsid w:val="00AD3C67"/>
    <w:rsid w:val="00AD4C73"/>
    <w:rsid w:val="00AD5BC4"/>
    <w:rsid w:val="00AE00A1"/>
    <w:rsid w:val="00AE1FF5"/>
    <w:rsid w:val="00AE55F1"/>
    <w:rsid w:val="00AE5D17"/>
    <w:rsid w:val="00AE6827"/>
    <w:rsid w:val="00AE6C05"/>
    <w:rsid w:val="00AE6FA0"/>
    <w:rsid w:val="00AF2128"/>
    <w:rsid w:val="00AF30CF"/>
    <w:rsid w:val="00AF36FB"/>
    <w:rsid w:val="00AF6550"/>
    <w:rsid w:val="00AF6D8D"/>
    <w:rsid w:val="00AF74E2"/>
    <w:rsid w:val="00B00288"/>
    <w:rsid w:val="00B00644"/>
    <w:rsid w:val="00B02FD0"/>
    <w:rsid w:val="00B03933"/>
    <w:rsid w:val="00B0564A"/>
    <w:rsid w:val="00B07FC3"/>
    <w:rsid w:val="00B100CB"/>
    <w:rsid w:val="00B10E51"/>
    <w:rsid w:val="00B11BD1"/>
    <w:rsid w:val="00B11CD4"/>
    <w:rsid w:val="00B11F91"/>
    <w:rsid w:val="00B1205E"/>
    <w:rsid w:val="00B1363C"/>
    <w:rsid w:val="00B1421D"/>
    <w:rsid w:val="00B1727B"/>
    <w:rsid w:val="00B178B7"/>
    <w:rsid w:val="00B20EDB"/>
    <w:rsid w:val="00B218EE"/>
    <w:rsid w:val="00B22249"/>
    <w:rsid w:val="00B22A55"/>
    <w:rsid w:val="00B23729"/>
    <w:rsid w:val="00B2378C"/>
    <w:rsid w:val="00B23B42"/>
    <w:rsid w:val="00B24FEA"/>
    <w:rsid w:val="00B3108B"/>
    <w:rsid w:val="00B32123"/>
    <w:rsid w:val="00B33AC2"/>
    <w:rsid w:val="00B35403"/>
    <w:rsid w:val="00B36133"/>
    <w:rsid w:val="00B36707"/>
    <w:rsid w:val="00B36DE6"/>
    <w:rsid w:val="00B37B8E"/>
    <w:rsid w:val="00B37D3E"/>
    <w:rsid w:val="00B40066"/>
    <w:rsid w:val="00B40ECB"/>
    <w:rsid w:val="00B42DF9"/>
    <w:rsid w:val="00B4445E"/>
    <w:rsid w:val="00B44869"/>
    <w:rsid w:val="00B4542C"/>
    <w:rsid w:val="00B542E4"/>
    <w:rsid w:val="00B54BEA"/>
    <w:rsid w:val="00B5585A"/>
    <w:rsid w:val="00B55F8E"/>
    <w:rsid w:val="00B564ED"/>
    <w:rsid w:val="00B5668C"/>
    <w:rsid w:val="00B57B3C"/>
    <w:rsid w:val="00B62A76"/>
    <w:rsid w:val="00B63617"/>
    <w:rsid w:val="00B637F3"/>
    <w:rsid w:val="00B664E6"/>
    <w:rsid w:val="00B70F82"/>
    <w:rsid w:val="00B71A4C"/>
    <w:rsid w:val="00B7204D"/>
    <w:rsid w:val="00B72607"/>
    <w:rsid w:val="00B739C9"/>
    <w:rsid w:val="00B73DC4"/>
    <w:rsid w:val="00B75ED6"/>
    <w:rsid w:val="00B779BE"/>
    <w:rsid w:val="00B77F56"/>
    <w:rsid w:val="00B80B2F"/>
    <w:rsid w:val="00B819B9"/>
    <w:rsid w:val="00B82F98"/>
    <w:rsid w:val="00B85654"/>
    <w:rsid w:val="00B860B1"/>
    <w:rsid w:val="00B865E0"/>
    <w:rsid w:val="00B8741E"/>
    <w:rsid w:val="00B9098B"/>
    <w:rsid w:val="00B92466"/>
    <w:rsid w:val="00B931A3"/>
    <w:rsid w:val="00B950AE"/>
    <w:rsid w:val="00B95152"/>
    <w:rsid w:val="00B95EFB"/>
    <w:rsid w:val="00B9601C"/>
    <w:rsid w:val="00BA085C"/>
    <w:rsid w:val="00BA1283"/>
    <w:rsid w:val="00BA15EF"/>
    <w:rsid w:val="00BA1ACC"/>
    <w:rsid w:val="00BA2363"/>
    <w:rsid w:val="00BA75A0"/>
    <w:rsid w:val="00BB03C8"/>
    <w:rsid w:val="00BB058D"/>
    <w:rsid w:val="00BB0A46"/>
    <w:rsid w:val="00BB0E7E"/>
    <w:rsid w:val="00BB1DB7"/>
    <w:rsid w:val="00BB3A23"/>
    <w:rsid w:val="00BB52E3"/>
    <w:rsid w:val="00BB623C"/>
    <w:rsid w:val="00BB776F"/>
    <w:rsid w:val="00BC117F"/>
    <w:rsid w:val="00BC3873"/>
    <w:rsid w:val="00BC7808"/>
    <w:rsid w:val="00BD0470"/>
    <w:rsid w:val="00BD0AB0"/>
    <w:rsid w:val="00BD1D9E"/>
    <w:rsid w:val="00BD2198"/>
    <w:rsid w:val="00BD21C6"/>
    <w:rsid w:val="00BD267A"/>
    <w:rsid w:val="00BD3E16"/>
    <w:rsid w:val="00BD4283"/>
    <w:rsid w:val="00BD4634"/>
    <w:rsid w:val="00BD482B"/>
    <w:rsid w:val="00BD5396"/>
    <w:rsid w:val="00BD78B4"/>
    <w:rsid w:val="00BE1201"/>
    <w:rsid w:val="00BE222D"/>
    <w:rsid w:val="00BE2614"/>
    <w:rsid w:val="00BE3501"/>
    <w:rsid w:val="00BE3962"/>
    <w:rsid w:val="00BE3E6E"/>
    <w:rsid w:val="00BE4E52"/>
    <w:rsid w:val="00BE5CD7"/>
    <w:rsid w:val="00BE5DE5"/>
    <w:rsid w:val="00BE6245"/>
    <w:rsid w:val="00BE63FF"/>
    <w:rsid w:val="00BE6E14"/>
    <w:rsid w:val="00BE718A"/>
    <w:rsid w:val="00BF2B8E"/>
    <w:rsid w:val="00BF2EB8"/>
    <w:rsid w:val="00BF3B37"/>
    <w:rsid w:val="00BF5951"/>
    <w:rsid w:val="00BF663B"/>
    <w:rsid w:val="00BF6CFB"/>
    <w:rsid w:val="00BF7076"/>
    <w:rsid w:val="00BF7260"/>
    <w:rsid w:val="00C01F2E"/>
    <w:rsid w:val="00C02B2B"/>
    <w:rsid w:val="00C0595C"/>
    <w:rsid w:val="00C05D9B"/>
    <w:rsid w:val="00C06D9A"/>
    <w:rsid w:val="00C0795E"/>
    <w:rsid w:val="00C10AE9"/>
    <w:rsid w:val="00C11AC9"/>
    <w:rsid w:val="00C12C53"/>
    <w:rsid w:val="00C12E30"/>
    <w:rsid w:val="00C13D19"/>
    <w:rsid w:val="00C15955"/>
    <w:rsid w:val="00C16A44"/>
    <w:rsid w:val="00C17EBA"/>
    <w:rsid w:val="00C24614"/>
    <w:rsid w:val="00C27251"/>
    <w:rsid w:val="00C27A53"/>
    <w:rsid w:val="00C30419"/>
    <w:rsid w:val="00C31F30"/>
    <w:rsid w:val="00C34192"/>
    <w:rsid w:val="00C3499B"/>
    <w:rsid w:val="00C353A7"/>
    <w:rsid w:val="00C3723A"/>
    <w:rsid w:val="00C37324"/>
    <w:rsid w:val="00C37447"/>
    <w:rsid w:val="00C37B11"/>
    <w:rsid w:val="00C405A1"/>
    <w:rsid w:val="00C40927"/>
    <w:rsid w:val="00C410E7"/>
    <w:rsid w:val="00C4166E"/>
    <w:rsid w:val="00C41DDB"/>
    <w:rsid w:val="00C4244C"/>
    <w:rsid w:val="00C43E89"/>
    <w:rsid w:val="00C44BE4"/>
    <w:rsid w:val="00C460DD"/>
    <w:rsid w:val="00C4616E"/>
    <w:rsid w:val="00C463CC"/>
    <w:rsid w:val="00C47403"/>
    <w:rsid w:val="00C50D33"/>
    <w:rsid w:val="00C517A5"/>
    <w:rsid w:val="00C51866"/>
    <w:rsid w:val="00C53925"/>
    <w:rsid w:val="00C53E60"/>
    <w:rsid w:val="00C547A8"/>
    <w:rsid w:val="00C54F95"/>
    <w:rsid w:val="00C564B3"/>
    <w:rsid w:val="00C57157"/>
    <w:rsid w:val="00C57EF5"/>
    <w:rsid w:val="00C60BB5"/>
    <w:rsid w:val="00C60FF9"/>
    <w:rsid w:val="00C65D66"/>
    <w:rsid w:val="00C6679F"/>
    <w:rsid w:val="00C67C0E"/>
    <w:rsid w:val="00C70C75"/>
    <w:rsid w:val="00C723EC"/>
    <w:rsid w:val="00C72ECD"/>
    <w:rsid w:val="00C736DD"/>
    <w:rsid w:val="00C74107"/>
    <w:rsid w:val="00C74D70"/>
    <w:rsid w:val="00C75D61"/>
    <w:rsid w:val="00C77C20"/>
    <w:rsid w:val="00C807B9"/>
    <w:rsid w:val="00C80F93"/>
    <w:rsid w:val="00C85418"/>
    <w:rsid w:val="00C856F0"/>
    <w:rsid w:val="00C85EAD"/>
    <w:rsid w:val="00C87A2D"/>
    <w:rsid w:val="00C9039E"/>
    <w:rsid w:val="00C911A8"/>
    <w:rsid w:val="00C9152D"/>
    <w:rsid w:val="00C91AD0"/>
    <w:rsid w:val="00C9345B"/>
    <w:rsid w:val="00C9360F"/>
    <w:rsid w:val="00C936F2"/>
    <w:rsid w:val="00C93828"/>
    <w:rsid w:val="00C941EE"/>
    <w:rsid w:val="00C9720D"/>
    <w:rsid w:val="00CA078D"/>
    <w:rsid w:val="00CA0908"/>
    <w:rsid w:val="00CA1A55"/>
    <w:rsid w:val="00CA1B3E"/>
    <w:rsid w:val="00CA389A"/>
    <w:rsid w:val="00CA5C63"/>
    <w:rsid w:val="00CB0568"/>
    <w:rsid w:val="00CB18A8"/>
    <w:rsid w:val="00CB1D84"/>
    <w:rsid w:val="00CB1E84"/>
    <w:rsid w:val="00CB355E"/>
    <w:rsid w:val="00CB3CFA"/>
    <w:rsid w:val="00CB6710"/>
    <w:rsid w:val="00CC017C"/>
    <w:rsid w:val="00CC44C9"/>
    <w:rsid w:val="00CC4568"/>
    <w:rsid w:val="00CC4AB4"/>
    <w:rsid w:val="00CC6924"/>
    <w:rsid w:val="00CD017B"/>
    <w:rsid w:val="00CD0FD2"/>
    <w:rsid w:val="00CD2290"/>
    <w:rsid w:val="00CD35BB"/>
    <w:rsid w:val="00CD476A"/>
    <w:rsid w:val="00CD5541"/>
    <w:rsid w:val="00CD5939"/>
    <w:rsid w:val="00CD7B0F"/>
    <w:rsid w:val="00CE1640"/>
    <w:rsid w:val="00CE1D77"/>
    <w:rsid w:val="00CE275E"/>
    <w:rsid w:val="00CE33C4"/>
    <w:rsid w:val="00CE3D83"/>
    <w:rsid w:val="00CE44AA"/>
    <w:rsid w:val="00CE4A16"/>
    <w:rsid w:val="00CF185B"/>
    <w:rsid w:val="00CF3061"/>
    <w:rsid w:val="00CF3346"/>
    <w:rsid w:val="00CF467F"/>
    <w:rsid w:val="00CF5276"/>
    <w:rsid w:val="00CF58D3"/>
    <w:rsid w:val="00D01ABE"/>
    <w:rsid w:val="00D01F05"/>
    <w:rsid w:val="00D02CE9"/>
    <w:rsid w:val="00D03DCA"/>
    <w:rsid w:val="00D04A38"/>
    <w:rsid w:val="00D06055"/>
    <w:rsid w:val="00D061FD"/>
    <w:rsid w:val="00D06E85"/>
    <w:rsid w:val="00D07A19"/>
    <w:rsid w:val="00D130F3"/>
    <w:rsid w:val="00D13D97"/>
    <w:rsid w:val="00D14DD6"/>
    <w:rsid w:val="00D15B60"/>
    <w:rsid w:val="00D15EB0"/>
    <w:rsid w:val="00D16F7E"/>
    <w:rsid w:val="00D17BD0"/>
    <w:rsid w:val="00D2161D"/>
    <w:rsid w:val="00D21715"/>
    <w:rsid w:val="00D2494D"/>
    <w:rsid w:val="00D24DAE"/>
    <w:rsid w:val="00D25449"/>
    <w:rsid w:val="00D26BB7"/>
    <w:rsid w:val="00D30C66"/>
    <w:rsid w:val="00D33269"/>
    <w:rsid w:val="00D338DB"/>
    <w:rsid w:val="00D33C71"/>
    <w:rsid w:val="00D3425C"/>
    <w:rsid w:val="00D34633"/>
    <w:rsid w:val="00D35EA4"/>
    <w:rsid w:val="00D4086A"/>
    <w:rsid w:val="00D41850"/>
    <w:rsid w:val="00D42FCB"/>
    <w:rsid w:val="00D430AE"/>
    <w:rsid w:val="00D442B4"/>
    <w:rsid w:val="00D46305"/>
    <w:rsid w:val="00D4650C"/>
    <w:rsid w:val="00D47014"/>
    <w:rsid w:val="00D4735F"/>
    <w:rsid w:val="00D5028D"/>
    <w:rsid w:val="00D527F6"/>
    <w:rsid w:val="00D53492"/>
    <w:rsid w:val="00D543A7"/>
    <w:rsid w:val="00D54C13"/>
    <w:rsid w:val="00D57509"/>
    <w:rsid w:val="00D61440"/>
    <w:rsid w:val="00D628BD"/>
    <w:rsid w:val="00D63438"/>
    <w:rsid w:val="00D63E62"/>
    <w:rsid w:val="00D64232"/>
    <w:rsid w:val="00D6572E"/>
    <w:rsid w:val="00D66C93"/>
    <w:rsid w:val="00D67470"/>
    <w:rsid w:val="00D67EB8"/>
    <w:rsid w:val="00D73297"/>
    <w:rsid w:val="00D7380B"/>
    <w:rsid w:val="00D75FAB"/>
    <w:rsid w:val="00D7660F"/>
    <w:rsid w:val="00D81400"/>
    <w:rsid w:val="00D832B5"/>
    <w:rsid w:val="00D83F41"/>
    <w:rsid w:val="00D8458F"/>
    <w:rsid w:val="00D8554A"/>
    <w:rsid w:val="00D86D7B"/>
    <w:rsid w:val="00D94772"/>
    <w:rsid w:val="00D94E13"/>
    <w:rsid w:val="00D95BE5"/>
    <w:rsid w:val="00D95C53"/>
    <w:rsid w:val="00D96CA4"/>
    <w:rsid w:val="00D97338"/>
    <w:rsid w:val="00D975BD"/>
    <w:rsid w:val="00D97B58"/>
    <w:rsid w:val="00DA337D"/>
    <w:rsid w:val="00DA3EFD"/>
    <w:rsid w:val="00DA645D"/>
    <w:rsid w:val="00DB0089"/>
    <w:rsid w:val="00DB0470"/>
    <w:rsid w:val="00DB1A01"/>
    <w:rsid w:val="00DB47F4"/>
    <w:rsid w:val="00DB4E05"/>
    <w:rsid w:val="00DB5154"/>
    <w:rsid w:val="00DB5E18"/>
    <w:rsid w:val="00DB7192"/>
    <w:rsid w:val="00DB7DD8"/>
    <w:rsid w:val="00DC05CF"/>
    <w:rsid w:val="00DC2838"/>
    <w:rsid w:val="00DC4123"/>
    <w:rsid w:val="00DC4673"/>
    <w:rsid w:val="00DC4846"/>
    <w:rsid w:val="00DC622C"/>
    <w:rsid w:val="00DC677E"/>
    <w:rsid w:val="00DC6FB2"/>
    <w:rsid w:val="00DC76B5"/>
    <w:rsid w:val="00DC79E5"/>
    <w:rsid w:val="00DC7EB4"/>
    <w:rsid w:val="00DD0E23"/>
    <w:rsid w:val="00DD0F34"/>
    <w:rsid w:val="00DD0F5A"/>
    <w:rsid w:val="00DD1DF8"/>
    <w:rsid w:val="00DD3423"/>
    <w:rsid w:val="00DD3A1A"/>
    <w:rsid w:val="00DE0DC3"/>
    <w:rsid w:val="00DE161D"/>
    <w:rsid w:val="00DE2665"/>
    <w:rsid w:val="00DE2958"/>
    <w:rsid w:val="00DE48EF"/>
    <w:rsid w:val="00DE668D"/>
    <w:rsid w:val="00DE74DD"/>
    <w:rsid w:val="00DE763C"/>
    <w:rsid w:val="00DF0AC6"/>
    <w:rsid w:val="00DF207E"/>
    <w:rsid w:val="00DF3307"/>
    <w:rsid w:val="00DF512E"/>
    <w:rsid w:val="00DF51F3"/>
    <w:rsid w:val="00DF59C1"/>
    <w:rsid w:val="00DF7015"/>
    <w:rsid w:val="00DF76CD"/>
    <w:rsid w:val="00DF7A71"/>
    <w:rsid w:val="00E00E9C"/>
    <w:rsid w:val="00E05332"/>
    <w:rsid w:val="00E053C8"/>
    <w:rsid w:val="00E06D3F"/>
    <w:rsid w:val="00E10102"/>
    <w:rsid w:val="00E105DF"/>
    <w:rsid w:val="00E134A4"/>
    <w:rsid w:val="00E140CE"/>
    <w:rsid w:val="00E163FB"/>
    <w:rsid w:val="00E16F97"/>
    <w:rsid w:val="00E17AFC"/>
    <w:rsid w:val="00E20AC8"/>
    <w:rsid w:val="00E21978"/>
    <w:rsid w:val="00E221FB"/>
    <w:rsid w:val="00E234F7"/>
    <w:rsid w:val="00E2383A"/>
    <w:rsid w:val="00E24510"/>
    <w:rsid w:val="00E24A95"/>
    <w:rsid w:val="00E2522D"/>
    <w:rsid w:val="00E25CF9"/>
    <w:rsid w:val="00E26783"/>
    <w:rsid w:val="00E2679E"/>
    <w:rsid w:val="00E31D76"/>
    <w:rsid w:val="00E32928"/>
    <w:rsid w:val="00E32C88"/>
    <w:rsid w:val="00E33FEB"/>
    <w:rsid w:val="00E344D1"/>
    <w:rsid w:val="00E34908"/>
    <w:rsid w:val="00E35AF4"/>
    <w:rsid w:val="00E36FBC"/>
    <w:rsid w:val="00E41158"/>
    <w:rsid w:val="00E420D7"/>
    <w:rsid w:val="00E4474E"/>
    <w:rsid w:val="00E44FD4"/>
    <w:rsid w:val="00E46358"/>
    <w:rsid w:val="00E46419"/>
    <w:rsid w:val="00E46D17"/>
    <w:rsid w:val="00E5132E"/>
    <w:rsid w:val="00E5180C"/>
    <w:rsid w:val="00E522A2"/>
    <w:rsid w:val="00E535D5"/>
    <w:rsid w:val="00E538B6"/>
    <w:rsid w:val="00E54DEF"/>
    <w:rsid w:val="00E553C6"/>
    <w:rsid w:val="00E55B74"/>
    <w:rsid w:val="00E55F4B"/>
    <w:rsid w:val="00E57C08"/>
    <w:rsid w:val="00E60701"/>
    <w:rsid w:val="00E636CF"/>
    <w:rsid w:val="00E63D79"/>
    <w:rsid w:val="00E6419A"/>
    <w:rsid w:val="00E64220"/>
    <w:rsid w:val="00E659C9"/>
    <w:rsid w:val="00E66029"/>
    <w:rsid w:val="00E700C2"/>
    <w:rsid w:val="00E717B0"/>
    <w:rsid w:val="00E71A54"/>
    <w:rsid w:val="00E7330B"/>
    <w:rsid w:val="00E73A00"/>
    <w:rsid w:val="00E75390"/>
    <w:rsid w:val="00E75DE0"/>
    <w:rsid w:val="00E76516"/>
    <w:rsid w:val="00E76EBA"/>
    <w:rsid w:val="00E7714A"/>
    <w:rsid w:val="00E77E0C"/>
    <w:rsid w:val="00E800E6"/>
    <w:rsid w:val="00E8342E"/>
    <w:rsid w:val="00E83993"/>
    <w:rsid w:val="00E83BA2"/>
    <w:rsid w:val="00E8578E"/>
    <w:rsid w:val="00E85A2D"/>
    <w:rsid w:val="00E85D51"/>
    <w:rsid w:val="00E86117"/>
    <w:rsid w:val="00E865D1"/>
    <w:rsid w:val="00E87A99"/>
    <w:rsid w:val="00E90CE8"/>
    <w:rsid w:val="00E9174F"/>
    <w:rsid w:val="00E919BF"/>
    <w:rsid w:val="00E91CD0"/>
    <w:rsid w:val="00E91EE2"/>
    <w:rsid w:val="00E9202F"/>
    <w:rsid w:val="00E92470"/>
    <w:rsid w:val="00E9345B"/>
    <w:rsid w:val="00E9469A"/>
    <w:rsid w:val="00E9504D"/>
    <w:rsid w:val="00E958D1"/>
    <w:rsid w:val="00E97043"/>
    <w:rsid w:val="00E97122"/>
    <w:rsid w:val="00EA139B"/>
    <w:rsid w:val="00EA2719"/>
    <w:rsid w:val="00EA360D"/>
    <w:rsid w:val="00EA3BA4"/>
    <w:rsid w:val="00EA44DE"/>
    <w:rsid w:val="00EA597F"/>
    <w:rsid w:val="00EA59AF"/>
    <w:rsid w:val="00EA696C"/>
    <w:rsid w:val="00EB15F2"/>
    <w:rsid w:val="00EB2F68"/>
    <w:rsid w:val="00EB367E"/>
    <w:rsid w:val="00EB743D"/>
    <w:rsid w:val="00EC05F0"/>
    <w:rsid w:val="00EC0BA0"/>
    <w:rsid w:val="00EC15FF"/>
    <w:rsid w:val="00EC18C4"/>
    <w:rsid w:val="00EC30BE"/>
    <w:rsid w:val="00EC3865"/>
    <w:rsid w:val="00EC50F2"/>
    <w:rsid w:val="00EC67A0"/>
    <w:rsid w:val="00ED08A5"/>
    <w:rsid w:val="00ED1285"/>
    <w:rsid w:val="00ED2126"/>
    <w:rsid w:val="00ED3281"/>
    <w:rsid w:val="00ED3CAA"/>
    <w:rsid w:val="00ED409D"/>
    <w:rsid w:val="00ED45EE"/>
    <w:rsid w:val="00ED751F"/>
    <w:rsid w:val="00EE049E"/>
    <w:rsid w:val="00EE0803"/>
    <w:rsid w:val="00EE0EA8"/>
    <w:rsid w:val="00EE0FF6"/>
    <w:rsid w:val="00EE1ED6"/>
    <w:rsid w:val="00EE3322"/>
    <w:rsid w:val="00EE5FF3"/>
    <w:rsid w:val="00EE6998"/>
    <w:rsid w:val="00EE6D70"/>
    <w:rsid w:val="00EE79FF"/>
    <w:rsid w:val="00EF1CB4"/>
    <w:rsid w:val="00EF44F3"/>
    <w:rsid w:val="00F017D4"/>
    <w:rsid w:val="00F02EEC"/>
    <w:rsid w:val="00F0367A"/>
    <w:rsid w:val="00F0393F"/>
    <w:rsid w:val="00F03CBA"/>
    <w:rsid w:val="00F04925"/>
    <w:rsid w:val="00F05D9D"/>
    <w:rsid w:val="00F0638B"/>
    <w:rsid w:val="00F06743"/>
    <w:rsid w:val="00F079FB"/>
    <w:rsid w:val="00F11DC6"/>
    <w:rsid w:val="00F1358A"/>
    <w:rsid w:val="00F15F0F"/>
    <w:rsid w:val="00F16997"/>
    <w:rsid w:val="00F17481"/>
    <w:rsid w:val="00F1784A"/>
    <w:rsid w:val="00F2057B"/>
    <w:rsid w:val="00F217E4"/>
    <w:rsid w:val="00F22EEB"/>
    <w:rsid w:val="00F235AC"/>
    <w:rsid w:val="00F2532A"/>
    <w:rsid w:val="00F2553D"/>
    <w:rsid w:val="00F2588A"/>
    <w:rsid w:val="00F25ECF"/>
    <w:rsid w:val="00F305C3"/>
    <w:rsid w:val="00F3225A"/>
    <w:rsid w:val="00F322F2"/>
    <w:rsid w:val="00F32424"/>
    <w:rsid w:val="00F3267D"/>
    <w:rsid w:val="00F3380E"/>
    <w:rsid w:val="00F33899"/>
    <w:rsid w:val="00F339D3"/>
    <w:rsid w:val="00F33AC4"/>
    <w:rsid w:val="00F34135"/>
    <w:rsid w:val="00F343F5"/>
    <w:rsid w:val="00F35ACA"/>
    <w:rsid w:val="00F35DF1"/>
    <w:rsid w:val="00F3614D"/>
    <w:rsid w:val="00F37F03"/>
    <w:rsid w:val="00F40327"/>
    <w:rsid w:val="00F46AE0"/>
    <w:rsid w:val="00F47B4D"/>
    <w:rsid w:val="00F5115C"/>
    <w:rsid w:val="00F51D6D"/>
    <w:rsid w:val="00F51D9E"/>
    <w:rsid w:val="00F52C5C"/>
    <w:rsid w:val="00F5370A"/>
    <w:rsid w:val="00F561E6"/>
    <w:rsid w:val="00F669C2"/>
    <w:rsid w:val="00F674CA"/>
    <w:rsid w:val="00F67BB0"/>
    <w:rsid w:val="00F67E28"/>
    <w:rsid w:val="00F67EE4"/>
    <w:rsid w:val="00F71747"/>
    <w:rsid w:val="00F73C1C"/>
    <w:rsid w:val="00F74E37"/>
    <w:rsid w:val="00F76D2B"/>
    <w:rsid w:val="00F8028C"/>
    <w:rsid w:val="00F8123A"/>
    <w:rsid w:val="00F8139C"/>
    <w:rsid w:val="00F823C1"/>
    <w:rsid w:val="00F83828"/>
    <w:rsid w:val="00F83EC6"/>
    <w:rsid w:val="00F85157"/>
    <w:rsid w:val="00F857ED"/>
    <w:rsid w:val="00F868D1"/>
    <w:rsid w:val="00F87028"/>
    <w:rsid w:val="00F87868"/>
    <w:rsid w:val="00F87EC6"/>
    <w:rsid w:val="00F90FA8"/>
    <w:rsid w:val="00F92156"/>
    <w:rsid w:val="00F94039"/>
    <w:rsid w:val="00F957CC"/>
    <w:rsid w:val="00F9585E"/>
    <w:rsid w:val="00F96B14"/>
    <w:rsid w:val="00F96D3F"/>
    <w:rsid w:val="00F97D9A"/>
    <w:rsid w:val="00FA0A0F"/>
    <w:rsid w:val="00FA162E"/>
    <w:rsid w:val="00FA3464"/>
    <w:rsid w:val="00FA34AA"/>
    <w:rsid w:val="00FA3E3B"/>
    <w:rsid w:val="00FA42E7"/>
    <w:rsid w:val="00FA4AA5"/>
    <w:rsid w:val="00FA5E6B"/>
    <w:rsid w:val="00FA6C85"/>
    <w:rsid w:val="00FB0169"/>
    <w:rsid w:val="00FB25BC"/>
    <w:rsid w:val="00FB27CE"/>
    <w:rsid w:val="00FB47B5"/>
    <w:rsid w:val="00FB659C"/>
    <w:rsid w:val="00FC0135"/>
    <w:rsid w:val="00FC29ED"/>
    <w:rsid w:val="00FC3D1B"/>
    <w:rsid w:val="00FC541D"/>
    <w:rsid w:val="00FD07C6"/>
    <w:rsid w:val="00FD0F80"/>
    <w:rsid w:val="00FD18D6"/>
    <w:rsid w:val="00FD2B9B"/>
    <w:rsid w:val="00FD4329"/>
    <w:rsid w:val="00FD4EE9"/>
    <w:rsid w:val="00FD730B"/>
    <w:rsid w:val="00FE0A9A"/>
    <w:rsid w:val="00FE0DB6"/>
    <w:rsid w:val="00FE1DDA"/>
    <w:rsid w:val="00FE36FE"/>
    <w:rsid w:val="00FE3937"/>
    <w:rsid w:val="00FE584E"/>
    <w:rsid w:val="00FE5E0F"/>
    <w:rsid w:val="00FE6B8E"/>
    <w:rsid w:val="00FE7A03"/>
    <w:rsid w:val="00FE7BF2"/>
    <w:rsid w:val="00FF1600"/>
    <w:rsid w:val="00FF380E"/>
    <w:rsid w:val="00FF47B6"/>
    <w:rsid w:val="00FF55E8"/>
    <w:rsid w:val="00FF66E5"/>
    <w:rsid w:val="00FF6853"/>
    <w:rsid w:val="00FF707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v:textbox inset="5.85pt,.7pt,5.85pt,.7pt"/>
    </o:shapedefaults>
    <o:shapelayout v:ext="edit">
      <o:idmap v:ext="edit" data="1"/>
    </o:shapelayout>
  </w:shapeDefaults>
  <w:decimalSymbol w:val="."/>
  <w:listSeparator w:val=","/>
  <w14:docId w14:val="2D1BAB44"/>
  <w15:docId w15:val="{3590DFF9-9DA7-4228-8359-1ACB955D1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pPr>
        <w:spacing w:line="22" w:lineRule="auto"/>
      </w:pPr>
    </w:pPrDefault>
  </w:docDefaults>
  <w:latentStyles w:defLockedState="0" w:defUIPriority="8" w:defSemiHidden="0" w:defUnhideWhenUsed="0" w:defQFormat="0" w:count="375">
    <w:lsdException w:name="Normal" w:uiPriority="0" w:qFormat="1"/>
    <w:lsdException w:name="heading 1" w:uiPriority="3" w:qFormat="1"/>
    <w:lsdException w:name="heading 2" w:uiPriority="4" w:qFormat="1"/>
    <w:lsdException w:name="heading 3" w:uiPriority="4" w:qFormat="1"/>
    <w:lsdException w:name="heading 4" w:uiPriority="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uiPriority="99"/>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37"/>
    <w:lsdException w:name="Intense Quote" w:uiPriority="3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7"/>
    <w:lsdException w:name="Intense Emphasis" w:uiPriority="29"/>
    <w:lsdException w:name="Subtle Reference" w:uiPriority="39"/>
    <w:lsdException w:name="Intense Reference" w:uiPriority="40"/>
    <w:lsdException w:name="Book Title" w:uiPriority="41"/>
    <w:lsdException w:name="Bibliography" w:semiHidden="1" w:uiPriority="45" w:unhideWhenUsed="1"/>
    <w:lsdException w:name="TOC Heading" w:semiHidden="1" w:uiPriority="4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74F25"/>
    <w:pPr>
      <w:spacing w:line="300" w:lineRule="exact"/>
    </w:pPr>
    <w:rPr>
      <w:rFonts w:ascii="Segoe UI" w:hAnsi="Segoe UI"/>
      <w:sz w:val="21"/>
      <w:szCs w:val="24"/>
    </w:rPr>
  </w:style>
  <w:style w:type="paragraph" w:styleId="Heading1">
    <w:name w:val="heading 1"/>
    <w:basedOn w:val="Normal"/>
    <w:next w:val="Normal"/>
    <w:uiPriority w:val="3"/>
    <w:qFormat/>
    <w:rsid w:val="003D63BD"/>
    <w:pPr>
      <w:spacing w:before="120" w:after="120" w:line="520" w:lineRule="exact"/>
      <w:outlineLvl w:val="0"/>
    </w:pPr>
    <w:rPr>
      <w:rFonts w:eastAsia="Segoe UI" w:cs="Frutiger LT Std 55 Roman"/>
      <w:b/>
      <w:bCs/>
      <w:caps/>
      <w:kern w:val="28"/>
      <w:sz w:val="36"/>
      <w:szCs w:val="36"/>
    </w:rPr>
  </w:style>
  <w:style w:type="paragraph" w:styleId="Heading2">
    <w:name w:val="heading 2"/>
    <w:basedOn w:val="Normal"/>
    <w:next w:val="Normal"/>
    <w:uiPriority w:val="4"/>
    <w:qFormat/>
    <w:rsid w:val="00D15B60"/>
    <w:pPr>
      <w:numPr>
        <w:ilvl w:val="1"/>
        <w:numId w:val="3"/>
      </w:numPr>
      <w:spacing w:before="120" w:after="120" w:line="400" w:lineRule="exact"/>
      <w:outlineLvl w:val="1"/>
    </w:pPr>
    <w:rPr>
      <w:rFonts w:eastAsia="Segoe UI" w:cs="Arial"/>
      <w:b/>
      <w:bCs/>
      <w:iCs/>
      <w:color w:val="4B82AD"/>
      <w:sz w:val="26"/>
      <w:szCs w:val="28"/>
    </w:rPr>
  </w:style>
  <w:style w:type="paragraph" w:styleId="Heading3">
    <w:name w:val="heading 3"/>
    <w:basedOn w:val="Normal"/>
    <w:next w:val="Normal"/>
    <w:uiPriority w:val="4"/>
    <w:qFormat/>
    <w:rsid w:val="00DF76CD"/>
    <w:pPr>
      <w:spacing w:after="240"/>
      <w:outlineLvl w:val="2"/>
    </w:pPr>
    <w:rPr>
      <w:rFonts w:cs="Arial"/>
      <w:b/>
      <w:bCs/>
      <w:sz w:val="22"/>
      <w:szCs w:val="26"/>
    </w:rPr>
  </w:style>
  <w:style w:type="paragraph" w:styleId="Heading4">
    <w:name w:val="heading 4"/>
    <w:basedOn w:val="Normal"/>
    <w:next w:val="Normal"/>
    <w:uiPriority w:val="4"/>
    <w:qFormat/>
    <w:rsid w:val="00223476"/>
    <w:pPr>
      <w:spacing w:after="240"/>
      <w:outlineLvl w:val="3"/>
    </w:pPr>
    <w:rPr>
      <w:b/>
      <w:bCs/>
      <w:i/>
      <w:szCs w:val="28"/>
    </w:rPr>
  </w:style>
  <w:style w:type="paragraph" w:styleId="Heading5">
    <w:name w:val="heading 5"/>
    <w:basedOn w:val="Normal"/>
    <w:next w:val="Normal"/>
    <w:uiPriority w:val="8"/>
    <w:rsid w:val="00327493"/>
    <w:pPr>
      <w:keepNext/>
      <w:spacing w:after="240"/>
      <w:outlineLvl w:val="4"/>
    </w:pPr>
    <w:rPr>
      <w:bCs/>
      <w:i/>
      <w:iCs/>
      <w:szCs w:val="26"/>
    </w:rPr>
  </w:style>
  <w:style w:type="paragraph" w:styleId="Heading6">
    <w:name w:val="heading 6"/>
    <w:basedOn w:val="Normal"/>
    <w:next w:val="Normal"/>
    <w:uiPriority w:val="8"/>
    <w:rsid w:val="00327493"/>
    <w:pPr>
      <w:outlineLvl w:val="5"/>
    </w:pPr>
    <w:rPr>
      <w:bCs/>
      <w:szCs w:val="22"/>
    </w:rPr>
  </w:style>
  <w:style w:type="paragraph" w:styleId="Heading7">
    <w:name w:val="heading 7"/>
    <w:basedOn w:val="Normal"/>
    <w:next w:val="Normal"/>
    <w:uiPriority w:val="8"/>
    <w:rsid w:val="00327493"/>
    <w:pPr>
      <w:outlineLvl w:val="6"/>
    </w:pPr>
  </w:style>
  <w:style w:type="paragraph" w:styleId="Heading8">
    <w:name w:val="heading 8"/>
    <w:basedOn w:val="Normal"/>
    <w:next w:val="Normal"/>
    <w:uiPriority w:val="8"/>
    <w:rsid w:val="00327493"/>
    <w:pPr>
      <w:outlineLvl w:val="7"/>
    </w:pPr>
    <w:rPr>
      <w:iCs/>
    </w:rPr>
  </w:style>
  <w:style w:type="paragraph" w:styleId="Heading9">
    <w:name w:val="heading 9"/>
    <w:basedOn w:val="Normal"/>
    <w:next w:val="Normal"/>
    <w:uiPriority w:val="8"/>
    <w:rsid w:val="00327493"/>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A337D"/>
    <w:pPr>
      <w:tabs>
        <w:tab w:val="center" w:pos="4320"/>
        <w:tab w:val="right" w:pos="8640"/>
      </w:tabs>
    </w:pPr>
  </w:style>
  <w:style w:type="paragraph" w:styleId="FootnoteText">
    <w:name w:val="footnote text"/>
    <w:aliases w:val="fn,single space,footnote text,FOOTNOTES,Footnote Text Char Char Char Char Char Char,stile 1,Testo_note,Testo_note1,Testo_note2,Footnote Text Char3 Char,Footnote Text Char2 Char Char,Footnote,Fußnote,C26 Footnote body,Footnote Text Char1"/>
    <w:basedOn w:val="Normal"/>
    <w:link w:val="FootnoteTextChar"/>
    <w:uiPriority w:val="99"/>
    <w:qFormat/>
    <w:rsid w:val="00687AAB"/>
    <w:pPr>
      <w:spacing w:after="120" w:line="220" w:lineRule="exact"/>
    </w:pPr>
    <w:rPr>
      <w:sz w:val="18"/>
      <w:szCs w:val="20"/>
    </w:rPr>
  </w:style>
  <w:style w:type="paragraph" w:customStyle="1" w:styleId="ParagraphNumbering">
    <w:name w:val="Paragraph Numbering"/>
    <w:basedOn w:val="Normal"/>
    <w:link w:val="ParagraphNumberingChar"/>
    <w:uiPriority w:val="1"/>
    <w:qFormat/>
    <w:rsid w:val="005F6680"/>
    <w:pPr>
      <w:numPr>
        <w:numId w:val="9"/>
      </w:numPr>
      <w:spacing w:after="240"/>
    </w:pPr>
  </w:style>
  <w:style w:type="paragraph" w:styleId="Footer">
    <w:name w:val="footer"/>
    <w:basedOn w:val="Normal"/>
    <w:link w:val="FooterChar"/>
    <w:uiPriority w:val="99"/>
    <w:rsid w:val="00327493"/>
    <w:pPr>
      <w:tabs>
        <w:tab w:val="center" w:pos="4320"/>
        <w:tab w:val="right" w:pos="8640"/>
      </w:tabs>
    </w:pPr>
  </w:style>
  <w:style w:type="character" w:styleId="FootnoteReference">
    <w:name w:val="footnote reference"/>
    <w:aliases w:val="fr,Footnote Reference Number,Footnote Reference_LVL6,Footnote Reference_LVL61,Footnote Reference_LVL62,Footnote Reference_LVL63,Footnote Reference_LVL64,C26 Footnote Number,Footnote Reference_LVL65,Znak Znak Char,Footnote symbol,ftref"/>
    <w:basedOn w:val="DefaultParagraphFont"/>
    <w:link w:val="CharChar1CharCharCharChar1CharCharCharCharCharCharCharChar"/>
    <w:uiPriority w:val="99"/>
    <w:qFormat/>
    <w:rsid w:val="00327493"/>
    <w:rPr>
      <w:sz w:val="20"/>
      <w:vertAlign w:val="superscript"/>
    </w:rPr>
  </w:style>
  <w:style w:type="paragraph" w:customStyle="1" w:styleId="Appendix">
    <w:name w:val="Appendix"/>
    <w:basedOn w:val="Normal"/>
    <w:uiPriority w:val="8"/>
    <w:rsid w:val="00327493"/>
    <w:pPr>
      <w:jc w:val="center"/>
    </w:pPr>
    <w:rPr>
      <w:b/>
    </w:rPr>
  </w:style>
  <w:style w:type="paragraph" w:styleId="ListBullet">
    <w:name w:val="List Bullet"/>
    <w:aliases w:val="List Bullet Char,List Bullet-Richard's,List Bullet Char1 Char Char,List Bullet Char Char Char Char,List Bullet Char Char1,List Bullet Char1 Char,List Bullet Char Char Char,List Bullet Char Char Char Char Char Char Char Char"/>
    <w:basedOn w:val="Normal"/>
    <w:uiPriority w:val="2"/>
    <w:qFormat/>
    <w:rsid w:val="005F6680"/>
    <w:pPr>
      <w:numPr>
        <w:numId w:val="4"/>
      </w:numPr>
      <w:spacing w:after="240"/>
    </w:pPr>
  </w:style>
  <w:style w:type="paragraph" w:styleId="TOC1">
    <w:name w:val="toc 1"/>
    <w:basedOn w:val="Normal"/>
    <w:next w:val="Normal"/>
    <w:autoRedefine/>
    <w:uiPriority w:val="39"/>
    <w:rsid w:val="00327493"/>
    <w:pPr>
      <w:tabs>
        <w:tab w:val="right" w:leader="underscore" w:pos="9000"/>
      </w:tabs>
      <w:spacing w:before="240" w:line="240" w:lineRule="auto"/>
    </w:pPr>
    <w:rPr>
      <w:rFonts w:cs="Segoe UI"/>
      <w:b/>
      <w:caps/>
      <w:color w:val="4B82AD"/>
    </w:rPr>
  </w:style>
  <w:style w:type="paragraph" w:styleId="TOC2">
    <w:name w:val="toc 2"/>
    <w:basedOn w:val="Normal"/>
    <w:next w:val="Normal"/>
    <w:autoRedefine/>
    <w:uiPriority w:val="39"/>
    <w:rsid w:val="00DF0AC6"/>
    <w:pPr>
      <w:tabs>
        <w:tab w:val="right" w:leader="underscore" w:pos="9000"/>
      </w:tabs>
      <w:spacing w:line="240" w:lineRule="auto"/>
    </w:pPr>
    <w:rPr>
      <w:rFonts w:cs="Segoe UI"/>
      <w:color w:val="4B82AD"/>
    </w:rPr>
  </w:style>
  <w:style w:type="paragraph" w:styleId="TOC3">
    <w:name w:val="toc 3"/>
    <w:basedOn w:val="Normal"/>
    <w:next w:val="Normal"/>
    <w:autoRedefine/>
    <w:uiPriority w:val="8"/>
    <w:rsid w:val="00327493"/>
    <w:pPr>
      <w:tabs>
        <w:tab w:val="right" w:leader="underscore" w:pos="9000"/>
      </w:tabs>
      <w:spacing w:line="240" w:lineRule="auto"/>
      <w:ind w:left="1440"/>
    </w:pPr>
  </w:style>
  <w:style w:type="paragraph" w:styleId="TOC4">
    <w:name w:val="toc 4"/>
    <w:basedOn w:val="Normal"/>
    <w:next w:val="Normal"/>
    <w:uiPriority w:val="8"/>
    <w:rsid w:val="00327493"/>
    <w:pPr>
      <w:ind w:left="720"/>
    </w:pPr>
  </w:style>
  <w:style w:type="paragraph" w:styleId="TOC5">
    <w:name w:val="toc 5"/>
    <w:basedOn w:val="Normal"/>
    <w:next w:val="Normal"/>
    <w:uiPriority w:val="8"/>
    <w:rsid w:val="00327493"/>
    <w:pPr>
      <w:ind w:left="960"/>
    </w:pPr>
  </w:style>
  <w:style w:type="paragraph" w:styleId="TOC6">
    <w:name w:val="toc 6"/>
    <w:basedOn w:val="Normal"/>
    <w:next w:val="Normal"/>
    <w:uiPriority w:val="8"/>
    <w:rsid w:val="00327493"/>
    <w:pPr>
      <w:ind w:left="1200"/>
    </w:pPr>
  </w:style>
  <w:style w:type="paragraph" w:styleId="TOC7">
    <w:name w:val="toc 7"/>
    <w:basedOn w:val="Normal"/>
    <w:next w:val="Normal"/>
    <w:uiPriority w:val="8"/>
    <w:rsid w:val="00327493"/>
    <w:pPr>
      <w:ind w:left="1440"/>
    </w:pPr>
  </w:style>
  <w:style w:type="paragraph" w:styleId="TOC8">
    <w:name w:val="toc 8"/>
    <w:basedOn w:val="Normal"/>
    <w:next w:val="Normal"/>
    <w:uiPriority w:val="8"/>
    <w:rsid w:val="00327493"/>
    <w:pPr>
      <w:ind w:left="1680"/>
    </w:pPr>
  </w:style>
  <w:style w:type="paragraph" w:styleId="TOC9">
    <w:name w:val="toc 9"/>
    <w:basedOn w:val="Normal"/>
    <w:next w:val="Normal"/>
    <w:uiPriority w:val="8"/>
    <w:rsid w:val="00327493"/>
    <w:pPr>
      <w:ind w:left="1920"/>
    </w:pPr>
  </w:style>
  <w:style w:type="paragraph" w:styleId="Index1">
    <w:name w:val="index 1"/>
    <w:basedOn w:val="Normal"/>
    <w:next w:val="Normal"/>
    <w:uiPriority w:val="8"/>
    <w:rsid w:val="00327493"/>
    <w:pPr>
      <w:ind w:left="240" w:hanging="240"/>
    </w:pPr>
  </w:style>
  <w:style w:type="paragraph" w:styleId="Index2">
    <w:name w:val="index 2"/>
    <w:basedOn w:val="Normal"/>
    <w:next w:val="Normal"/>
    <w:uiPriority w:val="8"/>
    <w:rsid w:val="00327493"/>
    <w:pPr>
      <w:ind w:left="480" w:hanging="240"/>
    </w:pPr>
  </w:style>
  <w:style w:type="paragraph" w:styleId="Index3">
    <w:name w:val="index 3"/>
    <w:basedOn w:val="Normal"/>
    <w:next w:val="Normal"/>
    <w:uiPriority w:val="8"/>
    <w:rsid w:val="00327493"/>
    <w:pPr>
      <w:ind w:left="720" w:hanging="240"/>
    </w:pPr>
  </w:style>
  <w:style w:type="paragraph" w:styleId="Index4">
    <w:name w:val="index 4"/>
    <w:basedOn w:val="Normal"/>
    <w:next w:val="Normal"/>
    <w:uiPriority w:val="8"/>
    <w:rsid w:val="00327493"/>
    <w:pPr>
      <w:ind w:left="960" w:hanging="240"/>
    </w:pPr>
  </w:style>
  <w:style w:type="paragraph" w:styleId="Index5">
    <w:name w:val="index 5"/>
    <w:basedOn w:val="Normal"/>
    <w:next w:val="Normal"/>
    <w:uiPriority w:val="8"/>
    <w:rsid w:val="00327493"/>
    <w:pPr>
      <w:ind w:left="1200" w:hanging="240"/>
    </w:pPr>
  </w:style>
  <w:style w:type="paragraph" w:styleId="Index6">
    <w:name w:val="index 6"/>
    <w:basedOn w:val="Normal"/>
    <w:next w:val="Normal"/>
    <w:uiPriority w:val="8"/>
    <w:rsid w:val="00327493"/>
    <w:pPr>
      <w:ind w:left="1440" w:hanging="240"/>
    </w:pPr>
  </w:style>
  <w:style w:type="paragraph" w:styleId="Index7">
    <w:name w:val="index 7"/>
    <w:basedOn w:val="Normal"/>
    <w:next w:val="Normal"/>
    <w:uiPriority w:val="8"/>
    <w:rsid w:val="00327493"/>
    <w:pPr>
      <w:ind w:left="1680" w:hanging="240"/>
    </w:pPr>
  </w:style>
  <w:style w:type="paragraph" w:styleId="Index8">
    <w:name w:val="index 8"/>
    <w:basedOn w:val="Normal"/>
    <w:next w:val="Normal"/>
    <w:uiPriority w:val="8"/>
    <w:rsid w:val="00327493"/>
    <w:pPr>
      <w:ind w:left="1920" w:hanging="240"/>
    </w:pPr>
  </w:style>
  <w:style w:type="paragraph" w:styleId="Index9">
    <w:name w:val="index 9"/>
    <w:basedOn w:val="Normal"/>
    <w:next w:val="Normal"/>
    <w:uiPriority w:val="8"/>
    <w:rsid w:val="00327493"/>
    <w:pPr>
      <w:ind w:left="2160" w:hanging="240"/>
    </w:pPr>
  </w:style>
  <w:style w:type="paragraph" w:styleId="ListBullet2">
    <w:name w:val="List Bullet 2"/>
    <w:basedOn w:val="Normal"/>
    <w:uiPriority w:val="8"/>
    <w:rsid w:val="00327493"/>
    <w:pPr>
      <w:numPr>
        <w:numId w:val="5"/>
      </w:numPr>
    </w:pPr>
  </w:style>
  <w:style w:type="paragraph" w:styleId="ListBullet3">
    <w:name w:val="List Bullet 3"/>
    <w:basedOn w:val="Normal"/>
    <w:uiPriority w:val="8"/>
    <w:rsid w:val="00327493"/>
    <w:pPr>
      <w:numPr>
        <w:numId w:val="6"/>
      </w:numPr>
    </w:pPr>
  </w:style>
  <w:style w:type="paragraph" w:styleId="ListBullet4">
    <w:name w:val="List Bullet 4"/>
    <w:basedOn w:val="Normal"/>
    <w:uiPriority w:val="8"/>
    <w:rsid w:val="00327493"/>
    <w:pPr>
      <w:numPr>
        <w:numId w:val="7"/>
      </w:numPr>
    </w:pPr>
  </w:style>
  <w:style w:type="paragraph" w:styleId="ListBullet5">
    <w:name w:val="List Bullet 5"/>
    <w:basedOn w:val="Normal"/>
    <w:uiPriority w:val="8"/>
    <w:rsid w:val="00327493"/>
    <w:pPr>
      <w:numPr>
        <w:numId w:val="8"/>
      </w:numPr>
    </w:pPr>
  </w:style>
  <w:style w:type="paragraph" w:styleId="Title">
    <w:name w:val="Title"/>
    <w:rsid w:val="00687AAB"/>
    <w:pPr>
      <w:ind w:left="720" w:right="660"/>
    </w:pPr>
    <w:rPr>
      <w:rFonts w:ascii="Segoe UI" w:hAnsi="Segoe UI" w:cs="Segoe UI"/>
      <w:b/>
      <w:bCs/>
      <w:caps/>
      <w:sz w:val="60"/>
      <w:szCs w:val="52"/>
    </w:rPr>
  </w:style>
  <w:style w:type="paragraph" w:customStyle="1" w:styleId="Indent">
    <w:name w:val="Indent"/>
    <w:basedOn w:val="Normal"/>
    <w:uiPriority w:val="8"/>
    <w:rsid w:val="00327493"/>
    <w:pPr>
      <w:ind w:left="720" w:hanging="720"/>
    </w:pPr>
  </w:style>
  <w:style w:type="paragraph" w:customStyle="1" w:styleId="AnnexAppendixTitle">
    <w:name w:val="Annex/Appendix Title"/>
    <w:next w:val="Normal"/>
    <w:uiPriority w:val="5"/>
    <w:qFormat/>
    <w:rsid w:val="00286B4C"/>
    <w:pPr>
      <w:spacing w:after="240" w:line="400" w:lineRule="exact"/>
      <w:jc w:val="center"/>
    </w:pPr>
    <w:rPr>
      <w:rFonts w:ascii="Segoe UI" w:hAnsi="Segoe UI"/>
      <w:b/>
      <w:color w:val="4B82AD"/>
      <w:sz w:val="32"/>
      <w:szCs w:val="24"/>
    </w:rPr>
  </w:style>
  <w:style w:type="character" w:customStyle="1" w:styleId="HeaderChar">
    <w:name w:val="Header Char"/>
    <w:basedOn w:val="DefaultParagraphFont"/>
    <w:link w:val="Header"/>
    <w:uiPriority w:val="99"/>
    <w:rsid w:val="00DA337D"/>
    <w:rPr>
      <w:rFonts w:ascii="Segoe UI" w:hAnsi="Segoe UI"/>
      <w:sz w:val="21"/>
      <w:szCs w:val="24"/>
    </w:rPr>
  </w:style>
  <w:style w:type="paragraph" w:styleId="ListParagraph">
    <w:name w:val="List Paragraph"/>
    <w:aliases w:val="List Paragraph (numbered (a)),Use Case List Paragraph,NUMBERED PARAGRAPH,List Paragraph 1"/>
    <w:basedOn w:val="Normal"/>
    <w:link w:val="ListParagraphChar"/>
    <w:uiPriority w:val="34"/>
    <w:qFormat/>
    <w:rsid w:val="005E43E2"/>
    <w:pPr>
      <w:ind w:left="720"/>
      <w:contextualSpacing/>
    </w:pPr>
  </w:style>
  <w:style w:type="paragraph" w:styleId="BodyText">
    <w:name w:val="Body Text"/>
    <w:basedOn w:val="Normal"/>
    <w:link w:val="BodyTextChar"/>
    <w:uiPriority w:val="8"/>
    <w:rsid w:val="00A9049F"/>
    <w:pPr>
      <w:spacing w:after="120"/>
    </w:pPr>
  </w:style>
  <w:style w:type="character" w:customStyle="1" w:styleId="BodyTextChar">
    <w:name w:val="Body Text Char"/>
    <w:basedOn w:val="DefaultParagraphFont"/>
    <w:link w:val="BodyText"/>
    <w:uiPriority w:val="8"/>
    <w:rsid w:val="00A9049F"/>
    <w:rPr>
      <w:sz w:val="24"/>
      <w:szCs w:val="24"/>
    </w:rPr>
  </w:style>
  <w:style w:type="paragraph" w:styleId="ListNumber">
    <w:name w:val="List Number"/>
    <w:basedOn w:val="Normal"/>
    <w:uiPriority w:val="8"/>
    <w:rsid w:val="00C410E7"/>
    <w:pPr>
      <w:numPr>
        <w:numId w:val="2"/>
      </w:numPr>
      <w:contextualSpacing/>
    </w:pPr>
  </w:style>
  <w:style w:type="paragraph" w:styleId="BalloonText">
    <w:name w:val="Balloon Text"/>
    <w:basedOn w:val="Normal"/>
    <w:link w:val="BalloonTextChar"/>
    <w:uiPriority w:val="8"/>
    <w:rsid w:val="00C70C75"/>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8"/>
    <w:rsid w:val="00C70C75"/>
    <w:rPr>
      <w:rFonts w:asciiTheme="majorHAnsi" w:eastAsiaTheme="majorEastAsia" w:hAnsiTheme="majorHAnsi" w:cstheme="majorBidi"/>
      <w:sz w:val="16"/>
      <w:szCs w:val="16"/>
    </w:rPr>
  </w:style>
  <w:style w:type="table" w:styleId="TableGrid">
    <w:name w:val="Table Grid"/>
    <w:basedOn w:val="TableNormal"/>
    <w:rsid w:val="009B241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D7660F"/>
    <w:rPr>
      <w:sz w:val="24"/>
      <w:szCs w:val="24"/>
    </w:rPr>
  </w:style>
  <w:style w:type="character" w:styleId="PageNumber">
    <w:name w:val="page number"/>
    <w:basedOn w:val="DefaultParagraphFont"/>
    <w:uiPriority w:val="8"/>
    <w:rsid w:val="00BF5951"/>
  </w:style>
  <w:style w:type="paragraph" w:customStyle="1" w:styleId="SectionSummary">
    <w:name w:val="Section Summary"/>
    <w:basedOn w:val="Normal"/>
    <w:qFormat/>
    <w:rsid w:val="00223476"/>
    <w:pPr>
      <w:spacing w:after="240"/>
      <w:ind w:left="720" w:right="475"/>
    </w:pPr>
    <w:rPr>
      <w:i/>
      <w:szCs w:val="20"/>
    </w:rPr>
  </w:style>
  <w:style w:type="paragraph" w:customStyle="1" w:styleId="BoxText">
    <w:name w:val="Box Text"/>
    <w:basedOn w:val="Normal"/>
    <w:uiPriority w:val="2"/>
    <w:qFormat/>
    <w:rsid w:val="005B2E85"/>
    <w:pPr>
      <w:spacing w:after="240" w:line="240" w:lineRule="auto"/>
    </w:pPr>
    <w:rPr>
      <w:rFonts w:cs="Segoe UI"/>
      <w:sz w:val="19"/>
    </w:rPr>
  </w:style>
  <w:style w:type="paragraph" w:customStyle="1" w:styleId="BoxBullet">
    <w:name w:val="Box Bullet"/>
    <w:basedOn w:val="Normal"/>
    <w:uiPriority w:val="3"/>
    <w:qFormat/>
    <w:rsid w:val="005B2E85"/>
    <w:pPr>
      <w:numPr>
        <w:numId w:val="10"/>
      </w:numPr>
      <w:spacing w:after="240" w:line="240" w:lineRule="auto"/>
      <w:ind w:left="360" w:firstLine="0"/>
    </w:pPr>
    <w:rPr>
      <w:rFonts w:cs="Segoe UI"/>
      <w:sz w:val="19"/>
      <w:szCs w:val="20"/>
    </w:rPr>
  </w:style>
  <w:style w:type="paragraph" w:styleId="EndnoteText">
    <w:name w:val="endnote text"/>
    <w:basedOn w:val="Normal"/>
    <w:link w:val="EndnoteTextChar"/>
    <w:uiPriority w:val="8"/>
    <w:rsid w:val="00687AAB"/>
    <w:pPr>
      <w:spacing w:after="120"/>
    </w:pPr>
    <w:rPr>
      <w:szCs w:val="20"/>
    </w:rPr>
  </w:style>
  <w:style w:type="character" w:customStyle="1" w:styleId="EndnoteTextChar">
    <w:name w:val="Endnote Text Char"/>
    <w:basedOn w:val="DefaultParagraphFont"/>
    <w:link w:val="EndnoteText"/>
    <w:uiPriority w:val="8"/>
    <w:rsid w:val="00687AAB"/>
    <w:rPr>
      <w:rFonts w:ascii="Segoe UI" w:hAnsi="Segoe UI"/>
      <w:sz w:val="21"/>
    </w:rPr>
  </w:style>
  <w:style w:type="paragraph" w:customStyle="1" w:styleId="SubTitle">
    <w:name w:val="Sub Title"/>
    <w:uiPriority w:val="8"/>
    <w:rsid w:val="003E4056"/>
    <w:pPr>
      <w:spacing w:line="240" w:lineRule="auto"/>
      <w:ind w:left="720"/>
    </w:pPr>
    <w:rPr>
      <w:rFonts w:ascii="Segoe UI" w:hAnsi="Segoe UI" w:cs="Segoe UI"/>
      <w:b/>
      <w:bCs/>
      <w:color w:val="808080" w:themeColor="background1" w:themeShade="80"/>
      <w:sz w:val="29"/>
      <w:szCs w:val="29"/>
      <w:lang w:eastAsia="ja-JP" w:bidi="ml-IN"/>
    </w:rPr>
  </w:style>
  <w:style w:type="paragraph" w:customStyle="1" w:styleId="KeyIssues">
    <w:name w:val="Key Issues"/>
    <w:uiPriority w:val="8"/>
    <w:rsid w:val="005C5A52"/>
    <w:pPr>
      <w:tabs>
        <w:tab w:val="left" w:pos="-1080"/>
        <w:tab w:val="left" w:pos="-360"/>
        <w:tab w:val="left" w:pos="270"/>
        <w:tab w:val="left" w:pos="450"/>
        <w:tab w:val="left" w:pos="9000"/>
      </w:tabs>
      <w:spacing w:before="120" w:after="120" w:line="240" w:lineRule="auto"/>
      <w:ind w:left="720"/>
    </w:pPr>
    <w:rPr>
      <w:rFonts w:ascii="Segoe UI" w:hAnsi="Segoe UI" w:cs="Segoe UI"/>
      <w:b/>
      <w:color w:val="000000" w:themeColor="text1"/>
      <w:sz w:val="36"/>
      <w:szCs w:val="36"/>
    </w:rPr>
  </w:style>
  <w:style w:type="paragraph" w:customStyle="1" w:styleId="AnnAppParagraphNumbering">
    <w:name w:val="Ann/App Paragraph Numbering"/>
    <w:uiPriority w:val="6"/>
    <w:qFormat/>
    <w:rsid w:val="00F339D3"/>
    <w:pPr>
      <w:numPr>
        <w:numId w:val="11"/>
      </w:numPr>
      <w:spacing w:after="240" w:line="264" w:lineRule="auto"/>
    </w:pPr>
    <w:rPr>
      <w:rFonts w:ascii="Segoe UI" w:hAnsi="Segoe UI" w:cs="Segoe UI"/>
      <w:sz w:val="21"/>
      <w:szCs w:val="24"/>
    </w:rPr>
  </w:style>
  <w:style w:type="paragraph" w:customStyle="1" w:styleId="AnnAppHeading1">
    <w:name w:val="Ann/App Heading 1"/>
    <w:uiPriority w:val="6"/>
    <w:qFormat/>
    <w:rsid w:val="00674F25"/>
    <w:pPr>
      <w:spacing w:after="240" w:line="400" w:lineRule="exact"/>
    </w:pPr>
    <w:rPr>
      <w:rFonts w:ascii="Segoe UI" w:hAnsi="Segoe UI"/>
      <w:b/>
      <w:sz w:val="28"/>
      <w:szCs w:val="24"/>
    </w:rPr>
  </w:style>
  <w:style w:type="paragraph" w:customStyle="1" w:styleId="AnnAppHeading2">
    <w:name w:val="Ann/App Heading 2"/>
    <w:next w:val="Normal"/>
    <w:uiPriority w:val="6"/>
    <w:qFormat/>
    <w:rsid w:val="00674F25"/>
    <w:pPr>
      <w:numPr>
        <w:numId w:val="12"/>
      </w:numPr>
      <w:spacing w:after="240" w:line="400" w:lineRule="exact"/>
      <w:ind w:left="0" w:firstLine="0"/>
    </w:pPr>
    <w:rPr>
      <w:rFonts w:ascii="Segoe UI" w:hAnsi="Segoe UI"/>
      <w:b/>
      <w:color w:val="4B82AD"/>
      <w:sz w:val="26"/>
      <w:szCs w:val="24"/>
    </w:rPr>
  </w:style>
  <w:style w:type="paragraph" w:customStyle="1" w:styleId="AnnAppListBullets">
    <w:name w:val="Ann/App List Bullets"/>
    <w:uiPriority w:val="7"/>
    <w:qFormat/>
    <w:rsid w:val="00674F25"/>
    <w:pPr>
      <w:numPr>
        <w:numId w:val="13"/>
      </w:numPr>
      <w:spacing w:line="264" w:lineRule="auto"/>
      <w:ind w:left="360"/>
    </w:pPr>
    <w:rPr>
      <w:rFonts w:ascii="Segoe UI" w:hAnsi="Segoe UI"/>
      <w:sz w:val="21"/>
      <w:szCs w:val="24"/>
    </w:rPr>
  </w:style>
  <w:style w:type="character" w:styleId="Hyperlink">
    <w:name w:val="Hyperlink"/>
    <w:basedOn w:val="DefaultParagraphFont"/>
    <w:uiPriority w:val="99"/>
    <w:rsid w:val="00100B91"/>
    <w:rPr>
      <w:color w:val="0000FF" w:themeColor="hyperlink"/>
      <w:u w:val="single"/>
    </w:rPr>
  </w:style>
  <w:style w:type="character" w:customStyle="1" w:styleId="ParagraphNumberingChar">
    <w:name w:val="Paragraph Numbering Char"/>
    <w:basedOn w:val="DefaultParagraphFont"/>
    <w:link w:val="ParagraphNumbering"/>
    <w:uiPriority w:val="1"/>
    <w:rsid w:val="00FE584E"/>
    <w:rPr>
      <w:rFonts w:ascii="Segoe UI" w:hAnsi="Segoe UI"/>
      <w:sz w:val="21"/>
      <w:szCs w:val="24"/>
    </w:rPr>
  </w:style>
  <w:style w:type="paragraph" w:styleId="TableofFigures">
    <w:name w:val="table of figures"/>
    <w:basedOn w:val="Normal"/>
    <w:next w:val="Normal"/>
    <w:uiPriority w:val="99"/>
    <w:rsid w:val="00FE584E"/>
    <w:pPr>
      <w:tabs>
        <w:tab w:val="right" w:leader="underscore" w:pos="9000"/>
      </w:tabs>
    </w:pPr>
    <w:rPr>
      <w:rFonts w:cs="Segoe UI"/>
      <w:color w:val="4B82AD"/>
    </w:rPr>
  </w:style>
  <w:style w:type="character" w:styleId="FollowedHyperlink">
    <w:name w:val="FollowedHyperlink"/>
    <w:basedOn w:val="DefaultParagraphFont"/>
    <w:uiPriority w:val="8"/>
    <w:semiHidden/>
    <w:unhideWhenUsed/>
    <w:rsid w:val="008572AD"/>
    <w:rPr>
      <w:color w:val="800080" w:themeColor="followedHyperlink"/>
      <w:u w:val="single"/>
    </w:rPr>
  </w:style>
  <w:style w:type="paragraph" w:styleId="Revision">
    <w:name w:val="Revision"/>
    <w:hidden/>
    <w:uiPriority w:val="99"/>
    <w:semiHidden/>
    <w:rsid w:val="008572AD"/>
    <w:pPr>
      <w:spacing w:line="240" w:lineRule="auto"/>
    </w:pPr>
    <w:rPr>
      <w:rFonts w:ascii="Segoe UI" w:hAnsi="Segoe UI"/>
      <w:sz w:val="21"/>
      <w:szCs w:val="24"/>
    </w:rPr>
  </w:style>
  <w:style w:type="character" w:customStyle="1" w:styleId="FootnoteTextChar">
    <w:name w:val="Footnote Text Char"/>
    <w:aliases w:val="fn Char,single space Char,footnote text Char,FOOTNOTES Char,Footnote Text Char Char Char Char Char Char Char,stile 1 Char,Testo_note Char,Testo_note1 Char,Testo_note2 Char,Footnote Text Char3 Char Char,Footnote Char,Fußnote Char"/>
    <w:basedOn w:val="DefaultParagraphFont"/>
    <w:link w:val="FootnoteText"/>
    <w:uiPriority w:val="99"/>
    <w:rsid w:val="00A34490"/>
    <w:rPr>
      <w:rFonts w:ascii="Segoe UI" w:hAnsi="Segoe UI"/>
      <w:sz w:val="18"/>
    </w:rPr>
  </w:style>
  <w:style w:type="character" w:customStyle="1" w:styleId="ListParagraphChar">
    <w:name w:val="List Paragraph Char"/>
    <w:aliases w:val="List Paragraph (numbered (a)) Char,Use Case List Paragraph Char,NUMBERED PARAGRAPH Char,List Paragraph 1 Char"/>
    <w:link w:val="ListParagraph"/>
    <w:uiPriority w:val="34"/>
    <w:locked/>
    <w:rsid w:val="00A34490"/>
    <w:rPr>
      <w:rFonts w:ascii="Segoe UI" w:hAnsi="Segoe UI"/>
      <w:sz w:val="21"/>
      <w:szCs w:val="24"/>
    </w:rPr>
  </w:style>
  <w:style w:type="paragraph" w:customStyle="1" w:styleId="CharChar1CharCharCharChar1CharCharCharCharCharCharCharChar">
    <w:name w:val="Char Char1 Char Char Char Char1 Char Char Char Char Char Char Char Char"/>
    <w:aliases w:val="Char Char1 Char Char Char Char1 Char Char Char Char Char Char Char Char Char Char Char Char"/>
    <w:basedOn w:val="Normal"/>
    <w:next w:val="Normal"/>
    <w:link w:val="FootnoteReference"/>
    <w:rsid w:val="00A34490"/>
    <w:pPr>
      <w:spacing w:after="160" w:line="240" w:lineRule="exact"/>
    </w:pPr>
    <w:rPr>
      <w:rFonts w:ascii="Times New Roman" w:hAnsi="Times New Roman"/>
      <w:sz w:val="20"/>
      <w:szCs w:val="20"/>
      <w:vertAlign w:val="superscript"/>
    </w:rPr>
  </w:style>
  <w:style w:type="character" w:styleId="CommentReference">
    <w:name w:val="annotation reference"/>
    <w:basedOn w:val="DefaultParagraphFont"/>
    <w:uiPriority w:val="99"/>
    <w:unhideWhenUsed/>
    <w:rsid w:val="00373ACF"/>
    <w:rPr>
      <w:sz w:val="16"/>
      <w:szCs w:val="16"/>
    </w:rPr>
  </w:style>
  <w:style w:type="paragraph" w:styleId="CommentText">
    <w:name w:val="annotation text"/>
    <w:basedOn w:val="Normal"/>
    <w:link w:val="CommentTextChar"/>
    <w:uiPriority w:val="99"/>
    <w:unhideWhenUsed/>
    <w:rsid w:val="00373ACF"/>
    <w:pPr>
      <w:spacing w:line="240" w:lineRule="auto"/>
    </w:pPr>
    <w:rPr>
      <w:sz w:val="20"/>
      <w:szCs w:val="20"/>
    </w:rPr>
  </w:style>
  <w:style w:type="character" w:customStyle="1" w:styleId="CommentTextChar">
    <w:name w:val="Comment Text Char"/>
    <w:basedOn w:val="DefaultParagraphFont"/>
    <w:link w:val="CommentText"/>
    <w:uiPriority w:val="99"/>
    <w:rsid w:val="00373ACF"/>
    <w:rPr>
      <w:rFonts w:ascii="Segoe UI" w:hAnsi="Segoe UI"/>
    </w:rPr>
  </w:style>
  <w:style w:type="paragraph" w:styleId="CommentSubject">
    <w:name w:val="annotation subject"/>
    <w:basedOn w:val="CommentText"/>
    <w:next w:val="CommentText"/>
    <w:link w:val="CommentSubjectChar"/>
    <w:uiPriority w:val="8"/>
    <w:semiHidden/>
    <w:unhideWhenUsed/>
    <w:rsid w:val="00373ACF"/>
    <w:rPr>
      <w:b/>
      <w:bCs/>
    </w:rPr>
  </w:style>
  <w:style w:type="character" w:customStyle="1" w:styleId="CommentSubjectChar">
    <w:name w:val="Comment Subject Char"/>
    <w:basedOn w:val="CommentTextChar"/>
    <w:link w:val="CommentSubject"/>
    <w:uiPriority w:val="8"/>
    <w:semiHidden/>
    <w:rsid w:val="00373ACF"/>
    <w:rPr>
      <w:rFonts w:ascii="Segoe UI" w:hAnsi="Segoe UI"/>
      <w:b/>
      <w:bCs/>
    </w:rPr>
  </w:style>
  <w:style w:type="paragraph" w:styleId="Caption">
    <w:name w:val="caption"/>
    <w:basedOn w:val="Normal"/>
    <w:next w:val="Normal"/>
    <w:uiPriority w:val="35"/>
    <w:unhideWhenUsed/>
    <w:qFormat/>
    <w:rsid w:val="00F0393F"/>
    <w:pPr>
      <w:spacing w:after="200" w:line="240" w:lineRule="auto"/>
    </w:pPr>
    <w:rPr>
      <w:i/>
      <w:iCs/>
      <w:color w:val="1F497D" w:themeColor="text2"/>
      <w:sz w:val="18"/>
      <w:szCs w:val="18"/>
    </w:rPr>
  </w:style>
  <w:style w:type="paragraph" w:styleId="NormalWeb">
    <w:name w:val="Normal (Web)"/>
    <w:basedOn w:val="Normal"/>
    <w:uiPriority w:val="99"/>
    <w:semiHidden/>
    <w:unhideWhenUsed/>
    <w:rsid w:val="002A6377"/>
    <w:pPr>
      <w:spacing w:before="100" w:beforeAutospacing="1" w:after="100" w:afterAutospacing="1" w:line="240" w:lineRule="auto"/>
    </w:pPr>
    <w:rPr>
      <w:rFonts w:ascii="Times New Roman" w:eastAsia="Times New Roman" w:hAnsi="Times New Roman"/>
      <w:sz w:val="24"/>
    </w:rPr>
  </w:style>
  <w:style w:type="paragraph" w:customStyle="1" w:styleId="suggested-citation">
    <w:name w:val="suggested-citation"/>
    <w:basedOn w:val="Normal"/>
    <w:rsid w:val="003163AD"/>
    <w:pPr>
      <w:spacing w:before="100" w:beforeAutospacing="1" w:after="100" w:afterAutospacing="1" w:line="240" w:lineRule="auto"/>
    </w:pPr>
    <w:rPr>
      <w:rFonts w:ascii="Times New Roman" w:eastAsia="Times New Roman" w:hAnsi="Times New Roman"/>
      <w:sz w:val="24"/>
    </w:rPr>
  </w:style>
  <w:style w:type="paragraph" w:customStyle="1" w:styleId="Default">
    <w:name w:val="Default"/>
    <w:rsid w:val="00753700"/>
    <w:pPr>
      <w:autoSpaceDE w:val="0"/>
      <w:autoSpaceDN w:val="0"/>
      <w:adjustRightInd w:val="0"/>
      <w:spacing w:line="240" w:lineRule="auto"/>
    </w:pPr>
    <w:rPr>
      <w:rFonts w:ascii="Segoe UI" w:eastAsiaTheme="minorEastAsia" w:hAnsi="Segoe UI" w:cs="Segoe UI"/>
      <w:color w:val="000000"/>
      <w:sz w:val="24"/>
      <w:szCs w:val="24"/>
      <w:lang w:eastAsia="ko-KR"/>
    </w:rPr>
  </w:style>
  <w:style w:type="table" w:customStyle="1" w:styleId="TableGrid1">
    <w:name w:val="Table Grid1"/>
    <w:basedOn w:val="TableNormal"/>
    <w:next w:val="TableGrid"/>
    <w:rsid w:val="007D5324"/>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uiPriority w:val="99"/>
    <w:semiHidden/>
    <w:unhideWhenUsed/>
    <w:rsid w:val="00BF2B8E"/>
    <w:rPr>
      <w:color w:val="808080"/>
      <w:shd w:val="clear" w:color="auto" w:fill="E6E6E6"/>
    </w:rPr>
  </w:style>
  <w:style w:type="character" w:styleId="PlaceholderText">
    <w:name w:val="Placeholder Text"/>
    <w:basedOn w:val="DefaultParagraphFont"/>
    <w:uiPriority w:val="99"/>
    <w:semiHidden/>
    <w:rsid w:val="00E267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53028">
      <w:bodyDiv w:val="1"/>
      <w:marLeft w:val="0"/>
      <w:marRight w:val="0"/>
      <w:marTop w:val="0"/>
      <w:marBottom w:val="0"/>
      <w:divBdr>
        <w:top w:val="none" w:sz="0" w:space="0" w:color="auto"/>
        <w:left w:val="none" w:sz="0" w:space="0" w:color="auto"/>
        <w:bottom w:val="none" w:sz="0" w:space="0" w:color="auto"/>
        <w:right w:val="none" w:sz="0" w:space="0" w:color="auto"/>
      </w:divBdr>
    </w:div>
    <w:div w:id="305084992">
      <w:bodyDiv w:val="1"/>
      <w:marLeft w:val="0"/>
      <w:marRight w:val="0"/>
      <w:marTop w:val="0"/>
      <w:marBottom w:val="0"/>
      <w:divBdr>
        <w:top w:val="none" w:sz="0" w:space="0" w:color="auto"/>
        <w:left w:val="none" w:sz="0" w:space="0" w:color="auto"/>
        <w:bottom w:val="none" w:sz="0" w:space="0" w:color="auto"/>
        <w:right w:val="none" w:sz="0" w:space="0" w:color="auto"/>
      </w:divBdr>
    </w:div>
    <w:div w:id="389160279">
      <w:bodyDiv w:val="1"/>
      <w:marLeft w:val="0"/>
      <w:marRight w:val="0"/>
      <w:marTop w:val="0"/>
      <w:marBottom w:val="0"/>
      <w:divBdr>
        <w:top w:val="none" w:sz="0" w:space="0" w:color="auto"/>
        <w:left w:val="none" w:sz="0" w:space="0" w:color="auto"/>
        <w:bottom w:val="none" w:sz="0" w:space="0" w:color="auto"/>
        <w:right w:val="none" w:sz="0" w:space="0" w:color="auto"/>
      </w:divBdr>
    </w:div>
    <w:div w:id="1170439208">
      <w:bodyDiv w:val="1"/>
      <w:marLeft w:val="0"/>
      <w:marRight w:val="0"/>
      <w:marTop w:val="0"/>
      <w:marBottom w:val="0"/>
      <w:divBdr>
        <w:top w:val="none" w:sz="0" w:space="0" w:color="auto"/>
        <w:left w:val="none" w:sz="0" w:space="0" w:color="auto"/>
        <w:bottom w:val="none" w:sz="0" w:space="0" w:color="auto"/>
        <w:right w:val="none" w:sz="0" w:space="0" w:color="auto"/>
      </w:divBdr>
    </w:div>
    <w:div w:id="1292636895">
      <w:bodyDiv w:val="1"/>
      <w:marLeft w:val="0"/>
      <w:marRight w:val="0"/>
      <w:marTop w:val="0"/>
      <w:marBottom w:val="0"/>
      <w:divBdr>
        <w:top w:val="none" w:sz="0" w:space="0" w:color="auto"/>
        <w:left w:val="none" w:sz="0" w:space="0" w:color="auto"/>
        <w:bottom w:val="none" w:sz="0" w:space="0" w:color="auto"/>
        <w:right w:val="none" w:sz="0" w:space="0" w:color="auto"/>
      </w:divBdr>
      <w:divsChild>
        <w:div w:id="1454669641">
          <w:marLeft w:val="720"/>
          <w:marRight w:val="0"/>
          <w:marTop w:val="0"/>
          <w:marBottom w:val="0"/>
          <w:divBdr>
            <w:top w:val="none" w:sz="0" w:space="0" w:color="auto"/>
            <w:left w:val="none" w:sz="0" w:space="0" w:color="auto"/>
            <w:bottom w:val="none" w:sz="0" w:space="0" w:color="auto"/>
            <w:right w:val="none" w:sz="0" w:space="0" w:color="auto"/>
          </w:divBdr>
        </w:div>
      </w:divsChild>
    </w:div>
    <w:div w:id="1310206816">
      <w:bodyDiv w:val="1"/>
      <w:marLeft w:val="0"/>
      <w:marRight w:val="0"/>
      <w:marTop w:val="0"/>
      <w:marBottom w:val="0"/>
      <w:divBdr>
        <w:top w:val="none" w:sz="0" w:space="0" w:color="auto"/>
        <w:left w:val="none" w:sz="0" w:space="0" w:color="auto"/>
        <w:bottom w:val="none" w:sz="0" w:space="0" w:color="auto"/>
        <w:right w:val="none" w:sz="0" w:space="0" w:color="auto"/>
      </w:divBdr>
    </w:div>
    <w:div w:id="1480347655">
      <w:bodyDiv w:val="1"/>
      <w:marLeft w:val="0"/>
      <w:marRight w:val="0"/>
      <w:marTop w:val="0"/>
      <w:marBottom w:val="0"/>
      <w:divBdr>
        <w:top w:val="none" w:sz="0" w:space="0" w:color="auto"/>
        <w:left w:val="none" w:sz="0" w:space="0" w:color="auto"/>
        <w:bottom w:val="none" w:sz="0" w:space="0" w:color="auto"/>
        <w:right w:val="none" w:sz="0" w:space="0" w:color="auto"/>
      </w:divBdr>
      <w:divsChild>
        <w:div w:id="388845399">
          <w:marLeft w:val="1440"/>
          <w:marRight w:val="0"/>
          <w:marTop w:val="0"/>
          <w:marBottom w:val="0"/>
          <w:divBdr>
            <w:top w:val="none" w:sz="0" w:space="0" w:color="auto"/>
            <w:left w:val="none" w:sz="0" w:space="0" w:color="auto"/>
            <w:bottom w:val="none" w:sz="0" w:space="0" w:color="auto"/>
            <w:right w:val="none" w:sz="0" w:space="0" w:color="auto"/>
          </w:divBdr>
        </w:div>
      </w:divsChild>
    </w:div>
    <w:div w:id="1489128499">
      <w:bodyDiv w:val="1"/>
      <w:marLeft w:val="0"/>
      <w:marRight w:val="0"/>
      <w:marTop w:val="0"/>
      <w:marBottom w:val="0"/>
      <w:divBdr>
        <w:top w:val="none" w:sz="0" w:space="0" w:color="auto"/>
        <w:left w:val="none" w:sz="0" w:space="0" w:color="auto"/>
        <w:bottom w:val="none" w:sz="0" w:space="0" w:color="auto"/>
        <w:right w:val="none" w:sz="0" w:space="0" w:color="auto"/>
      </w:divBdr>
    </w:div>
    <w:div w:id="1575629466">
      <w:bodyDiv w:val="1"/>
      <w:marLeft w:val="0"/>
      <w:marRight w:val="0"/>
      <w:marTop w:val="0"/>
      <w:marBottom w:val="0"/>
      <w:divBdr>
        <w:top w:val="none" w:sz="0" w:space="0" w:color="auto"/>
        <w:left w:val="none" w:sz="0" w:space="0" w:color="auto"/>
        <w:bottom w:val="none" w:sz="0" w:space="0" w:color="auto"/>
        <w:right w:val="none" w:sz="0" w:space="0" w:color="auto"/>
      </w:divBdr>
      <w:divsChild>
        <w:div w:id="1058818726">
          <w:marLeft w:val="0"/>
          <w:marRight w:val="0"/>
          <w:marTop w:val="0"/>
          <w:marBottom w:val="0"/>
          <w:divBdr>
            <w:top w:val="none" w:sz="0" w:space="0" w:color="auto"/>
            <w:left w:val="none" w:sz="0" w:space="0" w:color="auto"/>
            <w:bottom w:val="none" w:sz="0" w:space="0" w:color="auto"/>
            <w:right w:val="none" w:sz="0" w:space="0" w:color="auto"/>
          </w:divBdr>
          <w:divsChild>
            <w:div w:id="368723804">
              <w:marLeft w:val="0"/>
              <w:marRight w:val="0"/>
              <w:marTop w:val="0"/>
              <w:marBottom w:val="0"/>
              <w:divBdr>
                <w:top w:val="none" w:sz="0" w:space="0" w:color="auto"/>
                <w:left w:val="none" w:sz="0" w:space="0" w:color="auto"/>
                <w:bottom w:val="none" w:sz="0" w:space="0" w:color="auto"/>
                <w:right w:val="none" w:sz="0" w:space="0" w:color="auto"/>
              </w:divBdr>
              <w:divsChild>
                <w:div w:id="1557082359">
                  <w:marLeft w:val="0"/>
                  <w:marRight w:val="0"/>
                  <w:marTop w:val="0"/>
                  <w:marBottom w:val="0"/>
                  <w:divBdr>
                    <w:top w:val="none" w:sz="0" w:space="0" w:color="auto"/>
                    <w:left w:val="none" w:sz="0" w:space="0" w:color="auto"/>
                    <w:bottom w:val="none" w:sz="0" w:space="0" w:color="auto"/>
                    <w:right w:val="none" w:sz="0" w:space="0" w:color="auto"/>
                  </w:divBdr>
                  <w:divsChild>
                    <w:div w:id="2002005591">
                      <w:marLeft w:val="0"/>
                      <w:marRight w:val="0"/>
                      <w:marTop w:val="45"/>
                      <w:marBottom w:val="0"/>
                      <w:divBdr>
                        <w:top w:val="none" w:sz="0" w:space="0" w:color="auto"/>
                        <w:left w:val="none" w:sz="0" w:space="0" w:color="auto"/>
                        <w:bottom w:val="none" w:sz="0" w:space="0" w:color="auto"/>
                        <w:right w:val="none" w:sz="0" w:space="0" w:color="auto"/>
                      </w:divBdr>
                      <w:divsChild>
                        <w:div w:id="1155486275">
                          <w:marLeft w:val="0"/>
                          <w:marRight w:val="0"/>
                          <w:marTop w:val="0"/>
                          <w:marBottom w:val="0"/>
                          <w:divBdr>
                            <w:top w:val="none" w:sz="0" w:space="0" w:color="auto"/>
                            <w:left w:val="none" w:sz="0" w:space="0" w:color="auto"/>
                            <w:bottom w:val="none" w:sz="0" w:space="0" w:color="auto"/>
                            <w:right w:val="none" w:sz="0" w:space="0" w:color="auto"/>
                          </w:divBdr>
                          <w:divsChild>
                            <w:div w:id="1323662553">
                              <w:marLeft w:val="2070"/>
                              <w:marRight w:val="3960"/>
                              <w:marTop w:val="0"/>
                              <w:marBottom w:val="0"/>
                              <w:divBdr>
                                <w:top w:val="none" w:sz="0" w:space="0" w:color="auto"/>
                                <w:left w:val="none" w:sz="0" w:space="0" w:color="auto"/>
                                <w:bottom w:val="none" w:sz="0" w:space="0" w:color="auto"/>
                                <w:right w:val="none" w:sz="0" w:space="0" w:color="auto"/>
                              </w:divBdr>
                              <w:divsChild>
                                <w:div w:id="1744988156">
                                  <w:marLeft w:val="0"/>
                                  <w:marRight w:val="0"/>
                                  <w:marTop w:val="0"/>
                                  <w:marBottom w:val="0"/>
                                  <w:divBdr>
                                    <w:top w:val="none" w:sz="0" w:space="0" w:color="auto"/>
                                    <w:left w:val="none" w:sz="0" w:space="0" w:color="auto"/>
                                    <w:bottom w:val="none" w:sz="0" w:space="0" w:color="auto"/>
                                    <w:right w:val="none" w:sz="0" w:space="0" w:color="auto"/>
                                  </w:divBdr>
                                  <w:divsChild>
                                    <w:div w:id="1089930663">
                                      <w:marLeft w:val="0"/>
                                      <w:marRight w:val="0"/>
                                      <w:marTop w:val="0"/>
                                      <w:marBottom w:val="0"/>
                                      <w:divBdr>
                                        <w:top w:val="none" w:sz="0" w:space="0" w:color="auto"/>
                                        <w:left w:val="none" w:sz="0" w:space="0" w:color="auto"/>
                                        <w:bottom w:val="none" w:sz="0" w:space="0" w:color="auto"/>
                                        <w:right w:val="none" w:sz="0" w:space="0" w:color="auto"/>
                                      </w:divBdr>
                                      <w:divsChild>
                                        <w:div w:id="1162965385">
                                          <w:marLeft w:val="0"/>
                                          <w:marRight w:val="0"/>
                                          <w:marTop w:val="0"/>
                                          <w:marBottom w:val="0"/>
                                          <w:divBdr>
                                            <w:top w:val="none" w:sz="0" w:space="0" w:color="auto"/>
                                            <w:left w:val="none" w:sz="0" w:space="0" w:color="auto"/>
                                            <w:bottom w:val="none" w:sz="0" w:space="0" w:color="auto"/>
                                            <w:right w:val="none" w:sz="0" w:space="0" w:color="auto"/>
                                          </w:divBdr>
                                          <w:divsChild>
                                            <w:div w:id="1317880214">
                                              <w:marLeft w:val="0"/>
                                              <w:marRight w:val="0"/>
                                              <w:marTop w:val="0"/>
                                              <w:marBottom w:val="0"/>
                                              <w:divBdr>
                                                <w:top w:val="none" w:sz="0" w:space="0" w:color="auto"/>
                                                <w:left w:val="none" w:sz="0" w:space="0" w:color="auto"/>
                                                <w:bottom w:val="none" w:sz="0" w:space="0" w:color="auto"/>
                                                <w:right w:val="none" w:sz="0" w:space="0" w:color="auto"/>
                                              </w:divBdr>
                                              <w:divsChild>
                                                <w:div w:id="704132946">
                                                  <w:marLeft w:val="0"/>
                                                  <w:marRight w:val="0"/>
                                                  <w:marTop w:val="0"/>
                                                  <w:marBottom w:val="0"/>
                                                  <w:divBdr>
                                                    <w:top w:val="none" w:sz="0" w:space="0" w:color="auto"/>
                                                    <w:left w:val="none" w:sz="0" w:space="0" w:color="auto"/>
                                                    <w:bottom w:val="none" w:sz="0" w:space="0" w:color="auto"/>
                                                    <w:right w:val="none" w:sz="0" w:space="0" w:color="auto"/>
                                                  </w:divBdr>
                                                  <w:divsChild>
                                                    <w:div w:id="415564718">
                                                      <w:marLeft w:val="0"/>
                                                      <w:marRight w:val="0"/>
                                                      <w:marTop w:val="0"/>
                                                      <w:marBottom w:val="0"/>
                                                      <w:divBdr>
                                                        <w:top w:val="none" w:sz="0" w:space="0" w:color="auto"/>
                                                        <w:left w:val="none" w:sz="0" w:space="0" w:color="auto"/>
                                                        <w:bottom w:val="none" w:sz="0" w:space="0" w:color="auto"/>
                                                        <w:right w:val="none" w:sz="0" w:space="0" w:color="auto"/>
                                                      </w:divBdr>
                                                      <w:divsChild>
                                                        <w:div w:id="209734185">
                                                          <w:marLeft w:val="0"/>
                                                          <w:marRight w:val="0"/>
                                                          <w:marTop w:val="0"/>
                                                          <w:marBottom w:val="345"/>
                                                          <w:divBdr>
                                                            <w:top w:val="none" w:sz="0" w:space="0" w:color="auto"/>
                                                            <w:left w:val="none" w:sz="0" w:space="0" w:color="auto"/>
                                                            <w:bottom w:val="none" w:sz="0" w:space="0" w:color="auto"/>
                                                            <w:right w:val="none" w:sz="0" w:space="0" w:color="auto"/>
                                                          </w:divBdr>
                                                          <w:divsChild>
                                                            <w:div w:id="151407011">
                                                              <w:marLeft w:val="0"/>
                                                              <w:marRight w:val="0"/>
                                                              <w:marTop w:val="0"/>
                                                              <w:marBottom w:val="0"/>
                                                              <w:divBdr>
                                                                <w:top w:val="none" w:sz="0" w:space="0" w:color="auto"/>
                                                                <w:left w:val="none" w:sz="0" w:space="0" w:color="auto"/>
                                                                <w:bottom w:val="none" w:sz="0" w:space="0" w:color="auto"/>
                                                                <w:right w:val="none" w:sz="0" w:space="0" w:color="auto"/>
                                                              </w:divBdr>
                                                              <w:divsChild>
                                                                <w:div w:id="1782071571">
                                                                  <w:marLeft w:val="0"/>
                                                                  <w:marRight w:val="0"/>
                                                                  <w:marTop w:val="0"/>
                                                                  <w:marBottom w:val="0"/>
                                                                  <w:divBdr>
                                                                    <w:top w:val="none" w:sz="0" w:space="0" w:color="auto"/>
                                                                    <w:left w:val="none" w:sz="0" w:space="0" w:color="auto"/>
                                                                    <w:bottom w:val="none" w:sz="0" w:space="0" w:color="auto"/>
                                                                    <w:right w:val="none" w:sz="0" w:space="0" w:color="auto"/>
                                                                  </w:divBdr>
                                                                  <w:divsChild>
                                                                    <w:div w:id="792330503">
                                                                      <w:marLeft w:val="0"/>
                                                                      <w:marRight w:val="0"/>
                                                                      <w:marTop w:val="0"/>
                                                                      <w:marBottom w:val="0"/>
                                                                      <w:divBdr>
                                                                        <w:top w:val="none" w:sz="0" w:space="0" w:color="auto"/>
                                                                        <w:left w:val="none" w:sz="0" w:space="0" w:color="auto"/>
                                                                        <w:bottom w:val="none" w:sz="0" w:space="0" w:color="auto"/>
                                                                        <w:right w:val="none" w:sz="0" w:space="0" w:color="auto"/>
                                                                      </w:divBdr>
                                                                      <w:divsChild>
                                                                        <w:div w:id="16925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7978531">
      <w:bodyDiv w:val="1"/>
      <w:marLeft w:val="0"/>
      <w:marRight w:val="0"/>
      <w:marTop w:val="0"/>
      <w:marBottom w:val="0"/>
      <w:divBdr>
        <w:top w:val="none" w:sz="0" w:space="0" w:color="auto"/>
        <w:left w:val="none" w:sz="0" w:space="0" w:color="auto"/>
        <w:bottom w:val="none" w:sz="0" w:space="0" w:color="auto"/>
        <w:right w:val="none" w:sz="0" w:space="0" w:color="auto"/>
      </w:divBdr>
      <w:divsChild>
        <w:div w:id="1836265054">
          <w:marLeft w:val="720"/>
          <w:marRight w:val="0"/>
          <w:marTop w:val="0"/>
          <w:marBottom w:val="0"/>
          <w:divBdr>
            <w:top w:val="none" w:sz="0" w:space="0" w:color="auto"/>
            <w:left w:val="none" w:sz="0" w:space="0" w:color="auto"/>
            <w:bottom w:val="none" w:sz="0" w:space="0" w:color="auto"/>
            <w:right w:val="none" w:sz="0" w:space="0" w:color="auto"/>
          </w:divBdr>
        </w:div>
      </w:divsChild>
    </w:div>
    <w:div w:id="1746367729">
      <w:bodyDiv w:val="1"/>
      <w:marLeft w:val="0"/>
      <w:marRight w:val="0"/>
      <w:marTop w:val="0"/>
      <w:marBottom w:val="0"/>
      <w:divBdr>
        <w:top w:val="none" w:sz="0" w:space="0" w:color="auto"/>
        <w:left w:val="none" w:sz="0" w:space="0" w:color="auto"/>
        <w:bottom w:val="none" w:sz="0" w:space="0" w:color="auto"/>
        <w:right w:val="none" w:sz="0" w:space="0" w:color="auto"/>
      </w:divBdr>
    </w:div>
    <w:div w:id="1935941493">
      <w:bodyDiv w:val="1"/>
      <w:marLeft w:val="0"/>
      <w:marRight w:val="0"/>
      <w:marTop w:val="0"/>
      <w:marBottom w:val="0"/>
      <w:divBdr>
        <w:top w:val="none" w:sz="0" w:space="0" w:color="auto"/>
        <w:left w:val="none" w:sz="0" w:space="0" w:color="auto"/>
        <w:bottom w:val="none" w:sz="0" w:space="0" w:color="auto"/>
        <w:right w:val="none" w:sz="0" w:space="0" w:color="auto"/>
      </w:divBdr>
    </w:div>
    <w:div w:id="2087530386">
      <w:bodyDiv w:val="1"/>
      <w:marLeft w:val="0"/>
      <w:marRight w:val="0"/>
      <w:marTop w:val="0"/>
      <w:marBottom w:val="0"/>
      <w:divBdr>
        <w:top w:val="none" w:sz="0" w:space="0" w:color="auto"/>
        <w:left w:val="none" w:sz="0" w:space="0" w:color="auto"/>
        <w:bottom w:val="none" w:sz="0" w:space="0" w:color="auto"/>
        <w:right w:val="none" w:sz="0" w:space="0" w:color="auto"/>
      </w:divBdr>
      <w:divsChild>
        <w:div w:id="1088769289">
          <w:marLeft w:val="720"/>
          <w:marRight w:val="0"/>
          <w:marTop w:val="0"/>
          <w:marBottom w:val="0"/>
          <w:divBdr>
            <w:top w:val="none" w:sz="0" w:space="0" w:color="auto"/>
            <w:left w:val="none" w:sz="0" w:space="0" w:color="auto"/>
            <w:bottom w:val="none" w:sz="0" w:space="0" w:color="auto"/>
            <w:right w:val="none" w:sz="0" w:space="0" w:color="auto"/>
          </w:divBdr>
        </w:div>
      </w:divsChild>
    </w:div>
    <w:div w:id="208857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mailto:cwang2@imf.org" TargetMode="External"/><Relationship Id="rId1" Type="http://schemas.openxmlformats.org/officeDocument/2006/relationships/hyperlink" Target="mailto:rlafarguette@imf.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office12\MCM%20Templates\FSAP%20-%20Technical%20Note%20-%20IMF.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C0FCFE-EBD3-4D73-8735-1312A6AC7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FSAP - Technical Note - IMF</Template>
  <TotalTime>257</TotalTime>
  <Pages>18</Pages>
  <Words>4894</Words>
  <Characters>27900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International Monetary Fund</Company>
  <LinksUpToDate>false</LinksUpToDate>
  <CharactersWithSpaces>32729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Lafarguette, Romain</dc:creator>
  <cp:keywords/>
  <dc:description/>
  <cp:lastModifiedBy>Lafarguette, Romain</cp:lastModifiedBy>
  <cp:revision>24</cp:revision>
  <cp:lastPrinted>2018-02-16T22:22:00Z</cp:lastPrinted>
  <dcterms:created xsi:type="dcterms:W3CDTF">2018-09-25T15:45:00Z</dcterms:created>
  <dcterms:modified xsi:type="dcterms:W3CDTF">2019-02-15T14:12:00Z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