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22E" w:rsidRDefault="00823FA4" w:rsidP="00CE4A79">
      <w:pPr>
        <w:rPr>
          <w:sz w:val="56"/>
          <w:szCs w:val="56"/>
        </w:rPr>
      </w:pPr>
      <w:r>
        <w:rPr>
          <w:sz w:val="56"/>
          <w:szCs w:val="56"/>
        </w:rPr>
        <w:t xml:space="preserve">Instructions on How to Use </w:t>
      </w:r>
      <w:proofErr w:type="spellStart"/>
      <w:r>
        <w:rPr>
          <w:sz w:val="56"/>
          <w:szCs w:val="56"/>
        </w:rPr>
        <w:t>GaR</w:t>
      </w:r>
      <w:proofErr w:type="spellEnd"/>
      <w:r w:rsidR="00551064">
        <w:rPr>
          <w:rStyle w:val="FootnoteReference"/>
          <w:szCs w:val="56"/>
        </w:rPr>
        <w:footnoteReference w:id="1"/>
      </w:r>
    </w:p>
    <w:p w:rsidR="00071399" w:rsidRDefault="00071399" w:rsidP="00CE4A79">
      <w:pPr>
        <w:rPr>
          <w:sz w:val="56"/>
          <w:szCs w:val="56"/>
        </w:rPr>
      </w:pPr>
    </w:p>
    <w:p w:rsidR="000A2294" w:rsidRDefault="000A2294" w:rsidP="000A2294">
      <w:pPr>
        <w:rPr>
          <w:szCs w:val="56"/>
        </w:rPr>
      </w:pPr>
      <w:r>
        <w:rPr>
          <w:szCs w:val="56"/>
        </w:rPr>
        <w:t>This section gives details of how to run the Growth at Risk (</w:t>
      </w:r>
      <w:proofErr w:type="spellStart"/>
      <w:r>
        <w:rPr>
          <w:szCs w:val="56"/>
        </w:rPr>
        <w:t>GaR</w:t>
      </w:r>
      <w:proofErr w:type="spellEnd"/>
      <w:r>
        <w:rPr>
          <w:szCs w:val="56"/>
        </w:rPr>
        <w:t>) program from the Excel interface.</w:t>
      </w:r>
    </w:p>
    <w:p w:rsidR="002A5057" w:rsidRDefault="002A5057" w:rsidP="000A2294">
      <w:pPr>
        <w:rPr>
          <w:szCs w:val="56"/>
        </w:rPr>
      </w:pPr>
    </w:p>
    <w:p w:rsidR="002A5057" w:rsidRPr="002A5057" w:rsidRDefault="002A5057" w:rsidP="002A5057">
      <w:pPr>
        <w:pStyle w:val="ListParagraph"/>
        <w:numPr>
          <w:ilvl w:val="0"/>
          <w:numId w:val="23"/>
        </w:numPr>
        <w:rPr>
          <w:sz w:val="32"/>
          <w:szCs w:val="32"/>
        </w:rPr>
      </w:pPr>
      <w:r w:rsidRPr="002A5057">
        <w:rPr>
          <w:sz w:val="32"/>
          <w:szCs w:val="32"/>
        </w:rPr>
        <w:t xml:space="preserve">Overview of </w:t>
      </w:r>
      <w:r w:rsidR="00C66062">
        <w:rPr>
          <w:sz w:val="32"/>
          <w:szCs w:val="32"/>
        </w:rPr>
        <w:t xml:space="preserve">the </w:t>
      </w:r>
      <w:r w:rsidRPr="002A5057">
        <w:rPr>
          <w:sz w:val="32"/>
          <w:szCs w:val="32"/>
        </w:rPr>
        <w:t>Excel Structure</w:t>
      </w:r>
    </w:p>
    <w:p w:rsidR="000A2294" w:rsidRDefault="000A2294" w:rsidP="00CE4A79">
      <w:pPr>
        <w:rPr>
          <w:sz w:val="56"/>
          <w:szCs w:val="56"/>
        </w:rPr>
      </w:pPr>
    </w:p>
    <w:p w:rsidR="000A2294" w:rsidRDefault="000A2294" w:rsidP="000A2294">
      <w:pPr>
        <w:pStyle w:val="ListParagraph"/>
        <w:numPr>
          <w:ilvl w:val="0"/>
          <w:numId w:val="16"/>
        </w:numPr>
      </w:pPr>
      <w:r>
        <w:t>Install the latest available version of Python from the IMF Software Center</w:t>
      </w:r>
      <w:r w:rsidR="00C66062">
        <w:t xml:space="preserve"> (if you are at the IMF) or online via anaconda.com.</w:t>
      </w:r>
      <w:r w:rsidR="00C66062">
        <w:rPr>
          <w:rStyle w:val="FootnoteReference"/>
        </w:rPr>
        <w:footnoteReference w:id="2"/>
      </w:r>
      <w:r>
        <w:t xml:space="preserve"> This</w:t>
      </w:r>
      <w:r w:rsidR="00C66062">
        <w:t xml:space="preserve"> distribution</w:t>
      </w:r>
      <w:r>
        <w:t xml:space="preserve"> </w:t>
      </w:r>
      <w:r w:rsidR="00C66062">
        <w:t xml:space="preserve">is </w:t>
      </w:r>
      <w:r>
        <w:t xml:space="preserve">under the name Python (Anaconda) </w:t>
      </w:r>
    </w:p>
    <w:p w:rsidR="0009452A" w:rsidRDefault="0009452A" w:rsidP="0009452A"/>
    <w:p w:rsidR="0009452A" w:rsidRDefault="0009452A" w:rsidP="0009452A">
      <w:r>
        <w:rPr>
          <w:noProof/>
        </w:rPr>
        <w:drawing>
          <wp:inline distT="0" distB="0" distL="0" distR="0" wp14:anchorId="1BFFE4AA" wp14:editId="21753E48">
            <wp:extent cx="5715000" cy="1722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000" cy="1722755"/>
                    </a:xfrm>
                    <a:prstGeom prst="rect">
                      <a:avLst/>
                    </a:prstGeom>
                  </pic:spPr>
                </pic:pic>
              </a:graphicData>
            </a:graphic>
          </wp:inline>
        </w:drawing>
      </w:r>
    </w:p>
    <w:p w:rsidR="0009452A" w:rsidRDefault="0009452A" w:rsidP="0009452A"/>
    <w:p w:rsidR="0009452A" w:rsidRDefault="0009452A" w:rsidP="0009452A"/>
    <w:p w:rsidR="0009452A" w:rsidRDefault="0009452A" w:rsidP="0009452A"/>
    <w:p w:rsidR="00823FA4" w:rsidRDefault="00823FA4" w:rsidP="00823FA4">
      <w:pPr>
        <w:pStyle w:val="ListParagraph"/>
        <w:numPr>
          <w:ilvl w:val="0"/>
          <w:numId w:val="16"/>
        </w:numPr>
      </w:pPr>
      <w:r>
        <w:t xml:space="preserve">Open the Excel file </w:t>
      </w:r>
      <w:r w:rsidRPr="00823FA4">
        <w:rPr>
          <w:highlight w:val="yellow"/>
        </w:rPr>
        <w:t>GaR.xlsm</w:t>
      </w:r>
    </w:p>
    <w:p w:rsidR="00823FA4" w:rsidRDefault="00823FA4" w:rsidP="00823FA4">
      <w:pPr>
        <w:pStyle w:val="ListParagraph"/>
      </w:pPr>
    </w:p>
    <w:p w:rsidR="00823FA4" w:rsidRDefault="00823FA4" w:rsidP="00823FA4">
      <w:pPr>
        <w:pStyle w:val="ListParagraph"/>
        <w:numPr>
          <w:ilvl w:val="0"/>
          <w:numId w:val="16"/>
        </w:numPr>
      </w:pPr>
      <w:r>
        <w:t>Click on “</w:t>
      </w:r>
      <w:r w:rsidRPr="00823FA4">
        <w:rPr>
          <w:highlight w:val="yellow"/>
        </w:rPr>
        <w:t>Enable Content</w:t>
      </w:r>
      <w:r>
        <w:t>”</w:t>
      </w:r>
      <w:r w:rsidR="000A2294">
        <w:t xml:space="preserve"> to allow </w:t>
      </w:r>
      <w:r w:rsidR="0009452A">
        <w:t>the macros</w:t>
      </w:r>
      <w:r w:rsidR="000A2294">
        <w:t xml:space="preserve"> to work.</w:t>
      </w:r>
    </w:p>
    <w:p w:rsidR="00823FA4" w:rsidRDefault="00823FA4" w:rsidP="00823FA4">
      <w:pPr>
        <w:pStyle w:val="ListParagraph"/>
      </w:pPr>
    </w:p>
    <w:p w:rsidR="00823FA4" w:rsidRDefault="00823FA4" w:rsidP="00823FA4">
      <w:pPr>
        <w:pStyle w:val="ListParagraph"/>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3086100</wp:posOffset>
                </wp:positionH>
                <wp:positionV relativeFrom="paragraph">
                  <wp:posOffset>796290</wp:posOffset>
                </wp:positionV>
                <wp:extent cx="1276350" cy="400050"/>
                <wp:effectExtent l="19050" t="19050" r="19050" b="19050"/>
                <wp:wrapNone/>
                <wp:docPr id="2" name="Oval 2"/>
                <wp:cNvGraphicFramePr/>
                <a:graphic xmlns:a="http://schemas.openxmlformats.org/drawingml/2006/main">
                  <a:graphicData uri="http://schemas.microsoft.com/office/word/2010/wordprocessingShape">
                    <wps:wsp>
                      <wps:cNvSpPr/>
                      <wps:spPr>
                        <a:xfrm>
                          <a:off x="0" y="0"/>
                          <a:ext cx="1276350" cy="40005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AE83A2" id="Oval 2" o:spid="_x0000_s1026" style="position:absolute;margin-left:243pt;margin-top:62.7pt;width:100.5pt;height:3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" filled="f" strokecolor="red" strokeweight="3pt">
                <v:stroke joinstyle="miter"/>
              </v:oval>
            </w:pict>
          </mc:Fallback>
        </mc:AlternateContent>
      </w:r>
      <w:r>
        <w:rPr>
          <w:noProof/>
        </w:rPr>
        <w:drawing>
          <wp:inline distT="0" distB="0" distL="0" distR="0" wp14:anchorId="276F0DA4" wp14:editId="65BAFDC5">
            <wp:extent cx="4727005" cy="1367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3037" cy="1371792"/>
                    </a:xfrm>
                    <a:prstGeom prst="rect">
                      <a:avLst/>
                    </a:prstGeom>
                  </pic:spPr>
                </pic:pic>
              </a:graphicData>
            </a:graphic>
          </wp:inline>
        </w:drawing>
      </w:r>
    </w:p>
    <w:p w:rsidR="00823FA4" w:rsidRDefault="00823FA4" w:rsidP="00823FA4">
      <w:pPr>
        <w:pStyle w:val="ListParagraph"/>
      </w:pPr>
    </w:p>
    <w:p w:rsidR="00823FA4" w:rsidRDefault="00823FA4" w:rsidP="00823FA4">
      <w:pPr>
        <w:pStyle w:val="ListParagraph"/>
      </w:pPr>
    </w:p>
    <w:p w:rsidR="00823FA4" w:rsidRDefault="00823FA4" w:rsidP="00823FA4">
      <w:pPr>
        <w:pStyle w:val="ListParagraph"/>
        <w:numPr>
          <w:ilvl w:val="0"/>
          <w:numId w:val="16"/>
        </w:numPr>
      </w:pPr>
      <w:r>
        <w:t xml:space="preserve">Go to the sheet </w:t>
      </w:r>
      <w:proofErr w:type="spellStart"/>
      <w:r w:rsidRPr="00823FA4">
        <w:rPr>
          <w:highlight w:val="yellow"/>
        </w:rPr>
        <w:t>Input_parameters</w:t>
      </w:r>
      <w:proofErr w:type="spellEnd"/>
      <w:r w:rsidR="000A2294">
        <w:t>:</w:t>
      </w:r>
    </w:p>
    <w:p w:rsidR="00823FA4" w:rsidRDefault="000A2294" w:rsidP="00823FA4">
      <w:pPr>
        <w:ind w:left="360"/>
      </w:pPr>
      <w:r>
        <w:rPr>
          <w:noProof/>
        </w:rPr>
        <mc:AlternateContent>
          <mc:Choice Requires="wps">
            <w:drawing>
              <wp:anchor distT="0" distB="0" distL="114300" distR="114300" simplePos="0" relativeHeight="251661312" behindDoc="0" locked="0" layoutInCell="1" allowOverlap="1" wp14:anchorId="125368E8" wp14:editId="24EC4408">
                <wp:simplePos x="0" y="0"/>
                <wp:positionH relativeFrom="column">
                  <wp:posOffset>1133475</wp:posOffset>
                </wp:positionH>
                <wp:positionV relativeFrom="paragraph">
                  <wp:posOffset>2167255</wp:posOffset>
                </wp:positionV>
                <wp:extent cx="1276350" cy="400050"/>
                <wp:effectExtent l="19050" t="19050" r="19050" b="19050"/>
                <wp:wrapNone/>
                <wp:docPr id="4" name="Oval 4"/>
                <wp:cNvGraphicFramePr/>
                <a:graphic xmlns:a="http://schemas.openxmlformats.org/drawingml/2006/main">
                  <a:graphicData uri="http://schemas.microsoft.com/office/word/2010/wordprocessingShape">
                    <wps:wsp>
                      <wps:cNvSpPr/>
                      <wps:spPr>
                        <a:xfrm>
                          <a:off x="0" y="0"/>
                          <a:ext cx="1276350" cy="40005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3FF32E" id="Oval 4" o:spid="_x0000_s1026" style="position:absolute;margin-left:89.25pt;margin-top:170.65pt;width:100.5pt;height:3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" filled="f" strokecolor="red" strokeweight="3pt">
                <v:stroke joinstyle="miter"/>
              </v:oval>
            </w:pict>
          </mc:Fallback>
        </mc:AlternateContent>
      </w:r>
      <w:r w:rsidRPr="000A2294">
        <w:rPr>
          <w:noProof/>
        </w:rPr>
        <w:t xml:space="preserve"> </w:t>
      </w:r>
      <w:r>
        <w:rPr>
          <w:noProof/>
        </w:rPr>
        <w:drawing>
          <wp:inline distT="0" distB="0" distL="0" distR="0" wp14:anchorId="7ABB9EC7" wp14:editId="6593BD18">
            <wp:extent cx="6057764" cy="22669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64587" cy="2269503"/>
                    </a:xfrm>
                    <a:prstGeom prst="rect">
                      <a:avLst/>
                    </a:prstGeom>
                  </pic:spPr>
                </pic:pic>
              </a:graphicData>
            </a:graphic>
          </wp:inline>
        </w:drawing>
      </w:r>
    </w:p>
    <w:p w:rsidR="00823FA4" w:rsidRDefault="00823FA4" w:rsidP="00823FA4">
      <w:pPr>
        <w:ind w:left="360"/>
      </w:pPr>
    </w:p>
    <w:p w:rsidR="00823FA4" w:rsidRDefault="00823FA4" w:rsidP="00823FA4">
      <w:pPr>
        <w:ind w:left="360"/>
      </w:pPr>
    </w:p>
    <w:p w:rsidR="000A2294" w:rsidRDefault="000A2294" w:rsidP="00823FA4">
      <w:pPr>
        <w:ind w:left="360"/>
      </w:pPr>
    </w:p>
    <w:p w:rsidR="000A2294" w:rsidRDefault="000A2294" w:rsidP="006D4D27">
      <w:pPr>
        <w:pStyle w:val="ListParagraph"/>
        <w:numPr>
          <w:ilvl w:val="0"/>
          <w:numId w:val="16"/>
        </w:numPr>
      </w:pPr>
      <w:r>
        <w:t xml:space="preserve">There are </w:t>
      </w:r>
      <w:r w:rsidRPr="002A5057">
        <w:rPr>
          <w:b/>
        </w:rPr>
        <w:t>5 buttons</w:t>
      </w:r>
      <w:r>
        <w:t xml:space="preserve"> from the top:</w:t>
      </w:r>
    </w:p>
    <w:p w:rsidR="000A2294" w:rsidRDefault="00823FA4" w:rsidP="000A2294">
      <w:pPr>
        <w:pStyle w:val="ParagraphNumbering"/>
        <w:numPr>
          <w:ilvl w:val="0"/>
          <w:numId w:val="22"/>
        </w:numPr>
        <w:spacing w:after="0"/>
      </w:pPr>
      <w:r>
        <w:t>Run the partitions</w:t>
      </w:r>
    </w:p>
    <w:p w:rsidR="000A2294" w:rsidRDefault="00823FA4" w:rsidP="000A2294">
      <w:pPr>
        <w:pStyle w:val="ParagraphNumbering"/>
        <w:numPr>
          <w:ilvl w:val="0"/>
          <w:numId w:val="22"/>
        </w:numPr>
        <w:spacing w:after="0"/>
      </w:pPr>
      <w:r>
        <w:t xml:space="preserve">Run quantile </w:t>
      </w:r>
      <w:proofErr w:type="spellStart"/>
      <w:r>
        <w:t>reg</w:t>
      </w:r>
      <w:proofErr w:type="spellEnd"/>
    </w:p>
    <w:p w:rsidR="000A2294" w:rsidRDefault="000A2294" w:rsidP="000A2294">
      <w:pPr>
        <w:pStyle w:val="ParagraphNumbering"/>
        <w:numPr>
          <w:ilvl w:val="0"/>
          <w:numId w:val="22"/>
        </w:numPr>
        <w:spacing w:after="0"/>
      </w:pPr>
      <w:r>
        <w:t>T-skew fit</w:t>
      </w:r>
    </w:p>
    <w:p w:rsidR="000A2294" w:rsidRDefault="000A2294" w:rsidP="000A2294">
      <w:pPr>
        <w:pStyle w:val="ParagraphNumbering"/>
        <w:numPr>
          <w:ilvl w:val="0"/>
          <w:numId w:val="22"/>
        </w:numPr>
        <w:spacing w:after="0"/>
      </w:pPr>
      <w:r>
        <w:t>Scenario Test</w:t>
      </w:r>
    </w:p>
    <w:p w:rsidR="000A2294" w:rsidRDefault="000A2294" w:rsidP="000A2294">
      <w:pPr>
        <w:pStyle w:val="ParagraphNumbering"/>
        <w:numPr>
          <w:ilvl w:val="0"/>
          <w:numId w:val="22"/>
        </w:numPr>
        <w:spacing w:after="0"/>
      </w:pPr>
      <w:r>
        <w:t>Historical Distribution</w:t>
      </w:r>
    </w:p>
    <w:p w:rsidR="000A2294" w:rsidRDefault="000A2294" w:rsidP="000A2294">
      <w:pPr>
        <w:pStyle w:val="ParagraphNumbering"/>
        <w:ind w:left="720"/>
      </w:pPr>
    </w:p>
    <w:p w:rsidR="006D4D27" w:rsidRDefault="0009452A" w:rsidP="000A2294">
      <w:pPr>
        <w:pStyle w:val="ParagraphNumbering"/>
        <w:ind w:left="720"/>
      </w:pPr>
      <w:r>
        <w:rPr>
          <w:highlight w:val="yellow"/>
        </w:rPr>
        <w:t>The buttons</w:t>
      </w:r>
      <w:r w:rsidR="00823FA4" w:rsidRPr="000A2294">
        <w:rPr>
          <w:highlight w:val="yellow"/>
        </w:rPr>
        <w:t xml:space="preserve"> </w:t>
      </w:r>
      <w:proofErr w:type="gramStart"/>
      <w:r>
        <w:rPr>
          <w:highlight w:val="yellow"/>
        </w:rPr>
        <w:t>have to</w:t>
      </w:r>
      <w:proofErr w:type="gramEnd"/>
      <w:r>
        <w:rPr>
          <w:highlight w:val="yellow"/>
        </w:rPr>
        <w:t xml:space="preserve"> be ran</w:t>
      </w:r>
      <w:r w:rsidR="00823FA4" w:rsidRPr="000A2294">
        <w:rPr>
          <w:highlight w:val="yellow"/>
        </w:rPr>
        <w:t xml:space="preserve"> in order from the top.</w:t>
      </w:r>
    </w:p>
    <w:p w:rsidR="00E82F3E" w:rsidRDefault="000A2294" w:rsidP="00803DD6">
      <w:r>
        <w:t>Before pushing the first button the sheet Data must be filled. Please make sure your current application is Excel, then click on the button once.</w:t>
      </w:r>
      <w:r w:rsidR="002A5057">
        <w:t xml:space="preserve"> For each </w:t>
      </w:r>
      <w:r w:rsidR="0009452A">
        <w:t>button</w:t>
      </w:r>
      <w:r w:rsidR="002A5057">
        <w:t xml:space="preserve">, </w:t>
      </w:r>
      <w:r w:rsidR="0009452A">
        <w:t xml:space="preserve">please </w:t>
      </w:r>
      <w:r w:rsidR="002A5057">
        <w:t>specify the options available in the cells in the same section.</w:t>
      </w:r>
    </w:p>
    <w:p w:rsidR="00803DD6" w:rsidRDefault="00803DD6" w:rsidP="00803DD6"/>
    <w:p w:rsidR="00803DD6" w:rsidRDefault="00591D85" w:rsidP="00803DD6">
      <w:r>
        <w:t xml:space="preserve">The </w:t>
      </w:r>
      <w:r w:rsidR="00803DD6">
        <w:t>Excel file must reside in the folder containing the folder GAR. Failure to do this will result in the following popup message when the buttons are pushed:</w:t>
      </w:r>
    </w:p>
    <w:p w:rsidR="00803DD6" w:rsidRDefault="00803DD6" w:rsidP="00803DD6">
      <w:r>
        <w:rPr>
          <w:noProof/>
        </w:rPr>
        <w:lastRenderedPageBreak/>
        <w:drawing>
          <wp:inline distT="0" distB="0" distL="0" distR="0" wp14:anchorId="0F631624" wp14:editId="4931D605">
            <wp:extent cx="3486150" cy="1847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6150" cy="1847850"/>
                    </a:xfrm>
                    <a:prstGeom prst="rect">
                      <a:avLst/>
                    </a:prstGeom>
                  </pic:spPr>
                </pic:pic>
              </a:graphicData>
            </a:graphic>
          </wp:inline>
        </w:drawing>
      </w:r>
    </w:p>
    <w:p w:rsidR="00FD23B8" w:rsidRDefault="00FD23B8" w:rsidP="000A2294"/>
    <w:p w:rsidR="00C45382" w:rsidRDefault="00C45382" w:rsidP="002A5057">
      <w:r>
        <w:t>After each step</w:t>
      </w:r>
      <w:r w:rsidR="000A2294">
        <w:t xml:space="preserve"> is complete</w:t>
      </w:r>
      <w:r>
        <w:t>, a popup will show up</w:t>
      </w:r>
      <w:r w:rsidR="00FD23B8">
        <w:t xml:space="preserve"> showing information on the output:</w:t>
      </w:r>
    </w:p>
    <w:p w:rsidR="00C45382" w:rsidRDefault="00C45382" w:rsidP="006D4D27">
      <w:pPr>
        <w:ind w:left="720"/>
      </w:pPr>
      <w:r>
        <w:rPr>
          <w:noProof/>
        </w:rPr>
        <w:drawing>
          <wp:inline distT="0" distB="0" distL="0" distR="0" wp14:anchorId="120508BD" wp14:editId="7A4FDE7F">
            <wp:extent cx="4200525" cy="1743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0525" cy="1743075"/>
                    </a:xfrm>
                    <a:prstGeom prst="rect">
                      <a:avLst/>
                    </a:prstGeom>
                  </pic:spPr>
                </pic:pic>
              </a:graphicData>
            </a:graphic>
          </wp:inline>
        </w:drawing>
      </w:r>
    </w:p>
    <w:p w:rsidR="00FD23B8" w:rsidRDefault="00FD23B8" w:rsidP="002A5057">
      <w:r>
        <w:t>A similar popup will</w:t>
      </w:r>
      <w:r w:rsidR="000A2294">
        <w:t xml:space="preserve"> appear if there are any </w:t>
      </w:r>
      <w:r>
        <w:t>errors.</w:t>
      </w:r>
    </w:p>
    <w:p w:rsidR="00823FA4" w:rsidRDefault="00823FA4" w:rsidP="00823FA4"/>
    <w:p w:rsidR="00823FA4" w:rsidRDefault="006D4D27" w:rsidP="002A5057">
      <w:r w:rsidRPr="006D4D27">
        <w:rPr>
          <w:highlight w:val="yellow"/>
        </w:rPr>
        <w:t>After pressing each button, the log of the process can be seen in the sheet “</w:t>
      </w:r>
      <w:proofErr w:type="spellStart"/>
      <w:r w:rsidRPr="006D4D27">
        <w:rPr>
          <w:highlight w:val="yellow"/>
        </w:rPr>
        <w:t>Processing_log</w:t>
      </w:r>
      <w:proofErr w:type="spellEnd"/>
      <w:r w:rsidRPr="006D4D27">
        <w:rPr>
          <w:highlight w:val="yellow"/>
        </w:rPr>
        <w:t>”.</w:t>
      </w:r>
      <w:r w:rsidR="002A5057">
        <w:t xml:space="preserve"> Each button will create new sheets as necessary, with tabs shown in blue.</w:t>
      </w:r>
    </w:p>
    <w:p w:rsidR="00071399" w:rsidRDefault="00071399" w:rsidP="00071399"/>
    <w:p w:rsidR="002A5057" w:rsidRDefault="002A5057" w:rsidP="00071399">
      <w:r>
        <w:t>The next section explains inputting data and details of each button.</w:t>
      </w:r>
    </w:p>
    <w:p w:rsidR="002A5057" w:rsidRDefault="002A5057" w:rsidP="00071399"/>
    <w:p w:rsidR="002A5057" w:rsidRDefault="002A5057" w:rsidP="00071399"/>
    <w:p w:rsidR="002A5057" w:rsidRDefault="002A5057" w:rsidP="00071399"/>
    <w:p w:rsidR="002A5057" w:rsidRDefault="002A5057" w:rsidP="00071399"/>
    <w:p w:rsidR="002A5057" w:rsidRDefault="002A5057" w:rsidP="00071399"/>
    <w:p w:rsidR="002A5057" w:rsidRDefault="002A5057" w:rsidP="00071399"/>
    <w:p w:rsidR="002A5057" w:rsidRDefault="002A5057" w:rsidP="00071399"/>
    <w:p w:rsidR="002A5057" w:rsidRDefault="002A5057" w:rsidP="00071399"/>
    <w:p w:rsidR="002A5057" w:rsidRDefault="002A5057" w:rsidP="00071399"/>
    <w:p w:rsidR="002A5057" w:rsidRDefault="002A5057" w:rsidP="00071399"/>
    <w:p w:rsidR="00071399" w:rsidRPr="00DA7820" w:rsidRDefault="002A5057" w:rsidP="00071399">
      <w:pPr>
        <w:pStyle w:val="ListParagraph"/>
        <w:numPr>
          <w:ilvl w:val="0"/>
          <w:numId w:val="23"/>
        </w:numPr>
      </w:pPr>
      <w:r w:rsidRPr="00DA7820">
        <w:rPr>
          <w:sz w:val="32"/>
          <w:szCs w:val="32"/>
        </w:rPr>
        <w:t>Data Input</w:t>
      </w:r>
    </w:p>
    <w:p w:rsidR="00DA7820" w:rsidRDefault="00DA7820" w:rsidP="00DA7820">
      <w:pPr>
        <w:pStyle w:val="ListParagraph"/>
      </w:pPr>
    </w:p>
    <w:p w:rsidR="00DA7820" w:rsidRDefault="002A5057" w:rsidP="00071399">
      <w:r>
        <w:t>Below</w:t>
      </w:r>
      <w:r w:rsidR="00071399">
        <w:t xml:space="preserve"> are the s</w:t>
      </w:r>
      <w:r>
        <w:t xml:space="preserve">teps necessary to fill the data </w:t>
      </w:r>
      <w:r w:rsidR="00DA7820">
        <w:t>before running</w:t>
      </w:r>
      <w:r>
        <w:t xml:space="preserve"> each button.</w:t>
      </w:r>
    </w:p>
    <w:p w:rsidR="00071399" w:rsidRDefault="00DA7820" w:rsidP="00071399">
      <w:r>
        <w:t xml:space="preserve"> </w:t>
      </w:r>
    </w:p>
    <w:p w:rsidR="00071399" w:rsidRDefault="00071399" w:rsidP="00071399">
      <w:pPr>
        <w:pStyle w:val="ListParagraph"/>
        <w:numPr>
          <w:ilvl w:val="0"/>
          <w:numId w:val="20"/>
        </w:numPr>
      </w:pPr>
      <w:r>
        <w:t xml:space="preserve">In the input Excel file, select the sheet </w:t>
      </w:r>
      <w:r w:rsidRPr="00071399">
        <w:rPr>
          <w:highlight w:val="yellow"/>
        </w:rPr>
        <w:t>Data</w:t>
      </w:r>
      <w:r>
        <w:t>.</w:t>
      </w:r>
    </w:p>
    <w:p w:rsidR="00071399" w:rsidRDefault="00071399" w:rsidP="00071399">
      <w:pPr>
        <w:pStyle w:val="ListParagraph"/>
        <w:numPr>
          <w:ilvl w:val="0"/>
          <w:numId w:val="20"/>
        </w:numPr>
      </w:pPr>
      <w:r>
        <w:lastRenderedPageBreak/>
        <w:t xml:space="preserve">In the </w:t>
      </w:r>
      <w:r w:rsidRPr="00071399">
        <w:rPr>
          <w:highlight w:val="yellow"/>
        </w:rPr>
        <w:t>Data</w:t>
      </w:r>
      <w:r>
        <w:t xml:space="preserve"> sheet, the </w:t>
      </w:r>
      <w:r w:rsidR="002A5057">
        <w:t xml:space="preserve">data are filled by column for each dataset you want to use, and the </w:t>
      </w:r>
      <w:r>
        <w:t>1</w:t>
      </w:r>
      <w:r w:rsidRPr="00071399">
        <w:rPr>
          <w:vertAlign w:val="superscript"/>
        </w:rPr>
        <w:t>st</w:t>
      </w:r>
      <w:r>
        <w:t xml:space="preserve"> row must show the name of each column.</w:t>
      </w:r>
    </w:p>
    <w:p w:rsidR="00071399" w:rsidRDefault="00071399" w:rsidP="00071399">
      <w:pPr>
        <w:pStyle w:val="ListParagraph"/>
        <w:numPr>
          <w:ilvl w:val="0"/>
          <w:numId w:val="20"/>
        </w:numPr>
      </w:pPr>
      <w:r>
        <w:t xml:space="preserve">The </w:t>
      </w:r>
      <w:r w:rsidRPr="00F21975">
        <w:rPr>
          <w:color w:val="FF0000"/>
        </w:rPr>
        <w:t>1</w:t>
      </w:r>
      <w:r w:rsidRPr="00F21975">
        <w:rPr>
          <w:color w:val="FF0000"/>
          <w:vertAlign w:val="superscript"/>
        </w:rPr>
        <w:t>st</w:t>
      </w:r>
      <w:r w:rsidRPr="00F21975">
        <w:rPr>
          <w:color w:val="FF0000"/>
        </w:rPr>
        <w:t xml:space="preserve"> column of the Data sheet must be the dates</w:t>
      </w:r>
      <w:r>
        <w:t xml:space="preserve">, with the column name </w:t>
      </w:r>
      <w:r w:rsidRPr="00F21975">
        <w:rPr>
          <w:color w:val="FF0000"/>
        </w:rPr>
        <w:t>date</w:t>
      </w:r>
      <w:r>
        <w:t>.</w:t>
      </w:r>
    </w:p>
    <w:p w:rsidR="00071399" w:rsidRDefault="002A5057" w:rsidP="00071399">
      <w:pPr>
        <w:pStyle w:val="ListParagraph"/>
      </w:pPr>
      <w:r>
        <w:rPr>
          <w:noProof/>
        </w:rPr>
        <mc:AlternateContent>
          <mc:Choice Requires="wps">
            <w:drawing>
              <wp:anchor distT="0" distB="0" distL="114300" distR="114300" simplePos="0" relativeHeight="251664384" behindDoc="0" locked="0" layoutInCell="1" allowOverlap="1" wp14:anchorId="2709A5FF" wp14:editId="3831F603">
                <wp:simplePos x="0" y="0"/>
                <wp:positionH relativeFrom="column">
                  <wp:posOffset>1685925</wp:posOffset>
                </wp:positionH>
                <wp:positionV relativeFrom="paragraph">
                  <wp:posOffset>148590</wp:posOffset>
                </wp:positionV>
                <wp:extent cx="581025" cy="171450"/>
                <wp:effectExtent l="0" t="0" r="28575" b="19050"/>
                <wp:wrapNone/>
                <wp:docPr id="12" name="Oval 12"/>
                <wp:cNvGraphicFramePr/>
                <a:graphic xmlns:a="http://schemas.openxmlformats.org/drawingml/2006/main">
                  <a:graphicData uri="http://schemas.microsoft.com/office/word/2010/wordprocessingShape">
                    <wps:wsp>
                      <wps:cNvSpPr/>
                      <wps:spPr>
                        <a:xfrm>
                          <a:off x="0" y="0"/>
                          <a:ext cx="581025" cy="17145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809960C" id="Oval 12" o:spid="_x0000_s1026" style="position:absolute;margin-left:132.75pt;margin-top:11.7pt;width:45.75pt;height:1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" filled="f" strokecolor="red" strokeweight="1.5pt">
                <v:stroke joinstyle="miter"/>
              </v:oval>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800100</wp:posOffset>
                </wp:positionH>
                <wp:positionV relativeFrom="paragraph">
                  <wp:posOffset>148590</wp:posOffset>
                </wp:positionV>
                <wp:extent cx="581025" cy="171450"/>
                <wp:effectExtent l="0" t="0" r="28575" b="19050"/>
                <wp:wrapNone/>
                <wp:docPr id="10" name="Oval 10"/>
                <wp:cNvGraphicFramePr/>
                <a:graphic xmlns:a="http://schemas.openxmlformats.org/drawingml/2006/main">
                  <a:graphicData uri="http://schemas.microsoft.com/office/word/2010/wordprocessingShape">
                    <wps:wsp>
                      <wps:cNvSpPr/>
                      <wps:spPr>
                        <a:xfrm>
                          <a:off x="0" y="0"/>
                          <a:ext cx="581025" cy="17145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182528F" id="Oval 10" o:spid="_x0000_s1026" style="position:absolute;margin-left:63pt;margin-top:11.7pt;width:45.75pt;height:1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" filled="f" strokecolor="red" strokeweight="1.5pt">
                <v:stroke joinstyle="miter"/>
              </v:oval>
            </w:pict>
          </mc:Fallback>
        </mc:AlternateContent>
      </w:r>
      <w:r w:rsidRPr="002A5057">
        <w:rPr>
          <w:noProof/>
        </w:rPr>
        <w:t xml:space="preserve"> </w:t>
      </w:r>
      <w:r>
        <w:rPr>
          <w:noProof/>
        </w:rPr>
        <w:drawing>
          <wp:inline distT="0" distB="0" distL="0" distR="0" wp14:anchorId="60C8193A" wp14:editId="0D9A1FDC">
            <wp:extent cx="4545520" cy="27051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6936" cy="2711894"/>
                    </a:xfrm>
                    <a:prstGeom prst="rect">
                      <a:avLst/>
                    </a:prstGeom>
                  </pic:spPr>
                </pic:pic>
              </a:graphicData>
            </a:graphic>
          </wp:inline>
        </w:drawing>
      </w:r>
    </w:p>
    <w:p w:rsidR="00DC4403" w:rsidRDefault="00071399" w:rsidP="00DC4403">
      <w:pPr>
        <w:pStyle w:val="ListParagraph"/>
        <w:numPr>
          <w:ilvl w:val="0"/>
          <w:numId w:val="20"/>
        </w:numPr>
      </w:pPr>
      <w:r>
        <w:t xml:space="preserve">All other columns may be filled with numerical data. </w:t>
      </w:r>
      <w:r w:rsidRPr="00071399">
        <w:rPr>
          <w:color w:val="FF0000"/>
        </w:rPr>
        <w:t>Leave missing values empty</w:t>
      </w:r>
      <w:r>
        <w:t>.</w:t>
      </w:r>
    </w:p>
    <w:p w:rsidR="00DC4403" w:rsidRDefault="00DC4403" w:rsidP="00DC4403">
      <w:pPr>
        <w:pStyle w:val="ListParagraph"/>
      </w:pPr>
      <w:r>
        <w:t>Do not fill them with NA, N/A, etc.</w:t>
      </w:r>
    </w:p>
    <w:p w:rsidR="00C463BB" w:rsidRDefault="00C463BB" w:rsidP="00DC4403">
      <w:pPr>
        <w:pStyle w:val="ListParagraph"/>
      </w:pPr>
    </w:p>
    <w:p w:rsidR="00C463BB" w:rsidRPr="00803DD6" w:rsidRDefault="00803DD6" w:rsidP="00DC4403">
      <w:pPr>
        <w:pStyle w:val="ListParagraph"/>
      </w:pPr>
      <w:r>
        <w:t xml:space="preserve">When the program runs, the data in this sheet will be read in with the specified start and end dates. </w:t>
      </w:r>
      <w:r w:rsidRPr="00803DD6">
        <w:rPr>
          <w:b/>
        </w:rPr>
        <w:t>If data is not yet available at the end, the most recent value will be used to forward fill until the end date.</w:t>
      </w:r>
      <w:r w:rsidRPr="00803DD6">
        <w:t xml:space="preserve"> </w:t>
      </w:r>
      <w:r>
        <w:t xml:space="preserve">The data filled in this way will be shown in red. </w:t>
      </w:r>
      <w:r w:rsidRPr="00803DD6">
        <w:rPr>
          <w:b/>
        </w:rPr>
        <w:t xml:space="preserve">If </w:t>
      </w:r>
      <w:r>
        <w:rPr>
          <w:b/>
        </w:rPr>
        <w:t xml:space="preserve">there are intermediate </w:t>
      </w:r>
      <w:r w:rsidRPr="00803DD6">
        <w:rPr>
          <w:b/>
        </w:rPr>
        <w:t xml:space="preserve">data </w:t>
      </w:r>
      <w:r>
        <w:rPr>
          <w:b/>
        </w:rPr>
        <w:t>points not</w:t>
      </w:r>
      <w:r w:rsidRPr="00803DD6">
        <w:rPr>
          <w:b/>
        </w:rPr>
        <w:t xml:space="preserve"> available</w:t>
      </w:r>
      <w:r>
        <w:rPr>
          <w:b/>
        </w:rPr>
        <w:t>, these values will be interpolated using the data nearest to them.</w:t>
      </w:r>
      <w:r>
        <w:t xml:space="preserve"> The data filled in this way will be shown in blue.</w:t>
      </w:r>
    </w:p>
    <w:p w:rsidR="00C463BB" w:rsidRDefault="00C463BB" w:rsidP="00DC4403">
      <w:pPr>
        <w:pStyle w:val="ListParagraph"/>
      </w:pPr>
    </w:p>
    <w:p w:rsidR="00071399" w:rsidRPr="00071399" w:rsidRDefault="00071399" w:rsidP="00071399">
      <w:pPr>
        <w:pStyle w:val="ListParagraph"/>
        <w:numPr>
          <w:ilvl w:val="0"/>
          <w:numId w:val="20"/>
        </w:numPr>
      </w:pPr>
      <w:r w:rsidRPr="00071399">
        <w:rPr>
          <w:color w:val="FF0000"/>
        </w:rPr>
        <w:t xml:space="preserve">It is necessary that there is one column that contains the </w:t>
      </w:r>
      <w:r w:rsidR="003A7158">
        <w:rPr>
          <w:color w:val="FF0000"/>
        </w:rPr>
        <w:t>forecasted variable in level</w:t>
      </w:r>
      <w:r w:rsidRPr="00071399">
        <w:rPr>
          <w:color w:val="FF0000"/>
        </w:rPr>
        <w:t>.</w:t>
      </w:r>
    </w:p>
    <w:p w:rsidR="00071399" w:rsidRPr="002A5057" w:rsidRDefault="00071399" w:rsidP="00276D93">
      <w:pPr>
        <w:ind w:left="720"/>
        <w:rPr>
          <w:color w:val="000000" w:themeColor="text1"/>
        </w:rPr>
      </w:pPr>
      <w:r w:rsidRPr="002A5057">
        <w:rPr>
          <w:color w:val="000000" w:themeColor="text1"/>
        </w:rPr>
        <w:t xml:space="preserve">This is used to calculate </w:t>
      </w:r>
      <w:r w:rsidR="002A5057">
        <w:rPr>
          <w:color w:val="000000" w:themeColor="text1"/>
        </w:rPr>
        <w:t xml:space="preserve">growth, and in the above is shown as </w:t>
      </w:r>
      <w:proofErr w:type="spellStart"/>
      <w:r w:rsidR="002A5057">
        <w:rPr>
          <w:color w:val="000000" w:themeColor="text1"/>
        </w:rPr>
        <w:t>rgdpY</w:t>
      </w:r>
      <w:proofErr w:type="spellEnd"/>
      <w:r w:rsidR="002A5057">
        <w:rPr>
          <w:color w:val="000000" w:themeColor="text1"/>
        </w:rPr>
        <w:t xml:space="preserve"> in column B.</w:t>
      </w:r>
      <w:r w:rsidR="00276D93">
        <w:rPr>
          <w:color w:val="000000" w:themeColor="text1"/>
        </w:rPr>
        <w:t xml:space="preserve"> </w:t>
      </w:r>
      <w:r w:rsidRPr="002A5057">
        <w:rPr>
          <w:color w:val="000000" w:themeColor="text1"/>
        </w:rPr>
        <w:t>Copy the column name in the 1</w:t>
      </w:r>
      <w:r w:rsidRPr="002A5057">
        <w:rPr>
          <w:color w:val="000000" w:themeColor="text1"/>
          <w:vertAlign w:val="superscript"/>
        </w:rPr>
        <w:t>st</w:t>
      </w:r>
      <w:r w:rsidRPr="002A5057">
        <w:rPr>
          <w:color w:val="000000" w:themeColor="text1"/>
        </w:rPr>
        <w:t xml:space="preserve"> row for this column and paste it in the sheet </w:t>
      </w:r>
      <w:proofErr w:type="spellStart"/>
      <w:r w:rsidRPr="002A5057">
        <w:rPr>
          <w:color w:val="000000" w:themeColor="text1"/>
          <w:highlight w:val="yellow"/>
        </w:rPr>
        <w:t>Input_parameters</w:t>
      </w:r>
      <w:proofErr w:type="spellEnd"/>
      <w:r w:rsidRPr="002A5057">
        <w:rPr>
          <w:color w:val="000000" w:themeColor="text1"/>
        </w:rPr>
        <w:t xml:space="preserve"> in </w:t>
      </w:r>
      <w:r w:rsidR="00276D93">
        <w:rPr>
          <w:color w:val="000000" w:themeColor="text1"/>
        </w:rPr>
        <w:t xml:space="preserve">the </w:t>
      </w:r>
      <w:r w:rsidRPr="002A5057">
        <w:rPr>
          <w:color w:val="000000" w:themeColor="text1"/>
        </w:rPr>
        <w:t xml:space="preserve">cell </w:t>
      </w:r>
      <w:r w:rsidR="00276D93">
        <w:t xml:space="preserve">under </w:t>
      </w:r>
      <w:r w:rsidR="00276D93" w:rsidRPr="00276D93">
        <w:rPr>
          <w:b/>
        </w:rPr>
        <w:t>Common Parameters</w:t>
      </w:r>
      <w:r w:rsidR="00276D93">
        <w:rPr>
          <w:b/>
        </w:rPr>
        <w:t xml:space="preserve"> </w:t>
      </w:r>
      <w:r w:rsidR="00276D93" w:rsidRPr="00276D93">
        <w:t>and next to</w:t>
      </w:r>
      <w:r w:rsidR="00276D93">
        <w:t xml:space="preserve"> Real GDP column name</w:t>
      </w:r>
      <w:r w:rsidR="002A5057" w:rsidRPr="002A5057">
        <w:t>:</w:t>
      </w:r>
    </w:p>
    <w:p w:rsidR="00B26C16" w:rsidRDefault="00B26C16" w:rsidP="00DC4403">
      <w:pPr>
        <w:ind w:left="360"/>
        <w:rPr>
          <w:noProof/>
        </w:rPr>
      </w:pPr>
    </w:p>
    <w:p w:rsidR="00071399" w:rsidRDefault="00B26C16" w:rsidP="00DC4403">
      <w:pPr>
        <w:ind w:left="360"/>
      </w:pPr>
      <w:r>
        <w:rPr>
          <w:noProof/>
        </w:rPr>
        <w:drawing>
          <wp:inline distT="0" distB="0" distL="0" distR="0" wp14:anchorId="78B5B290" wp14:editId="61DC508E">
            <wp:extent cx="5715000" cy="9556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000" cy="955675"/>
                    </a:xfrm>
                    <a:prstGeom prst="rect">
                      <a:avLst/>
                    </a:prstGeom>
                  </pic:spPr>
                </pic:pic>
              </a:graphicData>
            </a:graphic>
          </wp:inline>
        </w:drawing>
      </w:r>
      <w:r w:rsidRPr="00B26C16">
        <w:rPr>
          <w:noProof/>
        </w:rPr>
        <w:t xml:space="preserve"> </w:t>
      </w:r>
    </w:p>
    <w:p w:rsidR="00DC4403" w:rsidRDefault="00DC4403" w:rsidP="00DC4403">
      <w:pPr>
        <w:ind w:left="360"/>
      </w:pPr>
    </w:p>
    <w:p w:rsidR="00276D93" w:rsidRDefault="00276D93" w:rsidP="00276D93">
      <w:pPr>
        <w:ind w:left="720"/>
      </w:pPr>
      <w:r>
        <w:t xml:space="preserve">The other parameter for </w:t>
      </w:r>
      <w:r w:rsidRPr="00276D93">
        <w:rPr>
          <w:b/>
        </w:rPr>
        <w:t>Common Parameters</w:t>
      </w:r>
      <w:r>
        <w:t xml:space="preserve"> is for how many periods ahead to forecast. These parameters will be used for all buttons where applicable.</w:t>
      </w:r>
    </w:p>
    <w:p w:rsidR="00276D93" w:rsidRDefault="00276D93" w:rsidP="00DC4403">
      <w:pPr>
        <w:ind w:left="360"/>
      </w:pPr>
    </w:p>
    <w:p w:rsidR="00DC4403" w:rsidRDefault="00DC4403" w:rsidP="00DC4403">
      <w:pPr>
        <w:pStyle w:val="ListParagraph"/>
        <w:numPr>
          <w:ilvl w:val="0"/>
          <w:numId w:val="20"/>
        </w:numPr>
      </w:pPr>
      <w:r>
        <w:lastRenderedPageBreak/>
        <w:t xml:space="preserve">In the sheet </w:t>
      </w:r>
      <w:proofErr w:type="spellStart"/>
      <w:r w:rsidRPr="00DC4403">
        <w:rPr>
          <w:highlight w:val="yellow"/>
        </w:rPr>
        <w:t>Partition_groups</w:t>
      </w:r>
      <w:proofErr w:type="spellEnd"/>
      <w:r>
        <w:t>, give a name to each partition group you want in the 1</w:t>
      </w:r>
      <w:r w:rsidRPr="00DC4403">
        <w:rPr>
          <w:vertAlign w:val="superscript"/>
        </w:rPr>
        <w:t>st</w:t>
      </w:r>
      <w:r>
        <w:t xml:space="preserve"> row, and in each column specify the columns names from the 1</w:t>
      </w:r>
      <w:r w:rsidRPr="00DC4403">
        <w:rPr>
          <w:vertAlign w:val="superscript"/>
        </w:rPr>
        <w:t>st</w:t>
      </w:r>
      <w:r>
        <w:t xml:space="preserve"> row of sheet Data to specify the columns belonging to each group.</w:t>
      </w:r>
    </w:p>
    <w:p w:rsidR="00071399" w:rsidRDefault="00071399" w:rsidP="00EF61BA">
      <w:pPr>
        <w:ind w:left="360"/>
      </w:pPr>
    </w:p>
    <w:p w:rsidR="00071399" w:rsidRDefault="00AF34FE" w:rsidP="00071399">
      <w:r>
        <w:rPr>
          <w:noProof/>
        </w:rPr>
        <w:drawing>
          <wp:inline distT="0" distB="0" distL="0" distR="0" wp14:anchorId="387A5EB7" wp14:editId="729CBA97">
            <wp:extent cx="5715000" cy="22307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5000" cy="2230755"/>
                    </a:xfrm>
                    <a:prstGeom prst="rect">
                      <a:avLst/>
                    </a:prstGeom>
                  </pic:spPr>
                </pic:pic>
              </a:graphicData>
            </a:graphic>
          </wp:inline>
        </w:drawing>
      </w:r>
    </w:p>
    <w:p w:rsidR="00071399" w:rsidRDefault="00071399" w:rsidP="00071399"/>
    <w:p w:rsidR="00071399" w:rsidRDefault="00276D93" w:rsidP="00071399">
      <w:r>
        <w:t xml:space="preserve">In the above example 4 partitions have been created with names autoregressive, </w:t>
      </w:r>
      <w:proofErr w:type="spellStart"/>
      <w:r>
        <w:t>external_factor</w:t>
      </w:r>
      <w:proofErr w:type="spellEnd"/>
      <w:r>
        <w:t xml:space="preserve">, </w:t>
      </w:r>
      <w:proofErr w:type="spellStart"/>
      <w:r>
        <w:t>price_of_risk</w:t>
      </w:r>
      <w:proofErr w:type="spellEnd"/>
      <w:r>
        <w:t>, and leverage. For each of these partitions the series names are copied from the first row of the sheet Data.</w:t>
      </w:r>
    </w:p>
    <w:p w:rsidR="00071399" w:rsidRDefault="00071399" w:rsidP="00071399"/>
    <w:p w:rsidR="00DA7820" w:rsidRPr="00DA7820" w:rsidRDefault="00DA7820" w:rsidP="00DA7820">
      <w:pPr>
        <w:pStyle w:val="ListParagraph"/>
        <w:numPr>
          <w:ilvl w:val="0"/>
          <w:numId w:val="23"/>
        </w:numPr>
      </w:pPr>
      <w:r>
        <w:rPr>
          <w:sz w:val="32"/>
          <w:szCs w:val="32"/>
        </w:rPr>
        <w:t>Running the Partitions</w:t>
      </w:r>
    </w:p>
    <w:p w:rsidR="00DA7820" w:rsidRDefault="00DA7820" w:rsidP="00DA7820">
      <w:pPr>
        <w:pStyle w:val="ListParagraph"/>
      </w:pPr>
    </w:p>
    <w:p w:rsidR="00DA7820" w:rsidRDefault="00DA7820" w:rsidP="00DA7820">
      <w:r>
        <w:t>The first step will be to run the partitions on the data and the partition groups that we specified in the previous subsection.</w:t>
      </w:r>
      <w:r w:rsidR="0075129C">
        <w:t xml:space="preserve"> In the sheet </w:t>
      </w:r>
      <w:proofErr w:type="spellStart"/>
      <w:r w:rsidR="0075129C">
        <w:t>Input_parameters</w:t>
      </w:r>
      <w:proofErr w:type="spellEnd"/>
      <w:r w:rsidR="0075129C">
        <w:t xml:space="preserve">, you should have the 2 cells for </w:t>
      </w:r>
      <w:r w:rsidR="0075129C" w:rsidRPr="0075129C">
        <w:rPr>
          <w:b/>
        </w:rPr>
        <w:t>Common Parameters</w:t>
      </w:r>
      <w:r w:rsidR="0075129C">
        <w:t xml:space="preserve"> filled.</w:t>
      </w:r>
    </w:p>
    <w:p w:rsidR="00DA7820" w:rsidRDefault="00DA7820" w:rsidP="00DA7820">
      <w:r>
        <w:t xml:space="preserve"> </w:t>
      </w:r>
    </w:p>
    <w:p w:rsidR="00DA7820" w:rsidRDefault="00DA7820" w:rsidP="00DA7820">
      <w:pPr>
        <w:pStyle w:val="ListParagraph"/>
        <w:numPr>
          <w:ilvl w:val="0"/>
          <w:numId w:val="27"/>
        </w:numPr>
      </w:pPr>
      <w:r>
        <w:t xml:space="preserve">In the input Excel file, select the sheet </w:t>
      </w:r>
      <w:proofErr w:type="spellStart"/>
      <w:r w:rsidR="00A862BD">
        <w:rPr>
          <w:highlight w:val="yellow"/>
        </w:rPr>
        <w:t>Input_parameters</w:t>
      </w:r>
      <w:proofErr w:type="spellEnd"/>
      <w:r>
        <w:t>.</w:t>
      </w:r>
    </w:p>
    <w:p w:rsidR="00071399" w:rsidRDefault="00A862BD" w:rsidP="00A862BD">
      <w:pPr>
        <w:pStyle w:val="ListParagraph"/>
        <w:numPr>
          <w:ilvl w:val="0"/>
          <w:numId w:val="27"/>
        </w:numPr>
      </w:pPr>
      <w:r>
        <w:t xml:space="preserve">The parameters for the partitions are in the section </w:t>
      </w:r>
      <w:r w:rsidRPr="00A862BD">
        <w:rPr>
          <w:b/>
        </w:rPr>
        <w:t>Partition Parameters</w:t>
      </w:r>
      <w:r>
        <w:t xml:space="preserve">. </w:t>
      </w:r>
    </w:p>
    <w:p w:rsidR="002868A0" w:rsidRDefault="00AF34FE" w:rsidP="002868A0">
      <w:pPr>
        <w:pStyle w:val="ListParagraph"/>
      </w:pPr>
      <w:r>
        <w:rPr>
          <w:noProof/>
        </w:rPr>
        <w:drawing>
          <wp:inline distT="0" distB="0" distL="0" distR="0" wp14:anchorId="24C055C9" wp14:editId="514A47F5">
            <wp:extent cx="5715000" cy="16700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000" cy="1670050"/>
                    </a:xfrm>
                    <a:prstGeom prst="rect">
                      <a:avLst/>
                    </a:prstGeom>
                  </pic:spPr>
                </pic:pic>
              </a:graphicData>
            </a:graphic>
          </wp:inline>
        </w:drawing>
      </w:r>
    </w:p>
    <w:p w:rsidR="002868A0" w:rsidRDefault="002868A0" w:rsidP="00A862BD">
      <w:pPr>
        <w:pStyle w:val="ListParagraph"/>
      </w:pPr>
    </w:p>
    <w:p w:rsidR="00C463BB" w:rsidRDefault="007F5EE5" w:rsidP="00A862BD">
      <w:pPr>
        <w:pStyle w:val="ListParagraph"/>
      </w:pPr>
      <w:r>
        <w:t>Click on each cell and u</w:t>
      </w:r>
      <w:r w:rsidR="002868A0">
        <w:t xml:space="preserve">se </w:t>
      </w:r>
      <w:r w:rsidR="00C463BB">
        <w:t>the pulldown menu to select the</w:t>
      </w:r>
    </w:p>
    <w:p w:rsidR="00F2443A" w:rsidRDefault="002868A0" w:rsidP="00C463BB">
      <w:pPr>
        <w:pStyle w:val="ListBullet"/>
        <w:tabs>
          <w:tab w:val="clear" w:pos="720"/>
          <w:tab w:val="num" w:pos="1440"/>
        </w:tabs>
        <w:ind w:left="1440"/>
      </w:pPr>
      <w:r w:rsidRPr="002868A0">
        <w:t>Frequency</w:t>
      </w:r>
      <w:r w:rsidR="00EF57C0">
        <w:t xml:space="preserve"> </w:t>
      </w:r>
    </w:p>
    <w:p w:rsidR="00C463BB" w:rsidRDefault="00C463BB" w:rsidP="00C463BB">
      <w:pPr>
        <w:pStyle w:val="ListBullet"/>
        <w:tabs>
          <w:tab w:val="clear" w:pos="720"/>
          <w:tab w:val="num" w:pos="1440"/>
        </w:tabs>
        <w:ind w:left="1440"/>
      </w:pPr>
      <w:r>
        <w:t xml:space="preserve">Partition </w:t>
      </w:r>
      <w:proofErr w:type="gramStart"/>
      <w:r>
        <w:t>Method</w:t>
      </w:r>
      <w:r w:rsidR="00B21B68">
        <w:t xml:space="preserve"> :</w:t>
      </w:r>
      <w:proofErr w:type="gramEnd"/>
      <w:r w:rsidR="00B21B68">
        <w:t xml:space="preserve"> </w:t>
      </w:r>
      <w:r w:rsidR="00AF34FE">
        <w:t>PCA or LDA</w:t>
      </w:r>
    </w:p>
    <w:p w:rsidR="00A862BD" w:rsidRDefault="00C463BB" w:rsidP="00C463BB">
      <w:pPr>
        <w:pStyle w:val="ListBullet"/>
        <w:tabs>
          <w:tab w:val="clear" w:pos="720"/>
          <w:tab w:val="num" w:pos="1440"/>
        </w:tabs>
        <w:ind w:left="1440"/>
      </w:pPr>
      <w:r>
        <w:lastRenderedPageBreak/>
        <w:t>Benchmark Percentile Cutoff (if LDA has been chosen for partition method)</w:t>
      </w:r>
    </w:p>
    <w:p w:rsidR="007F5EE5" w:rsidRDefault="007F5EE5" w:rsidP="00C463BB">
      <w:pPr>
        <w:pStyle w:val="ListBullet"/>
        <w:tabs>
          <w:tab w:val="clear" w:pos="720"/>
          <w:tab w:val="num" w:pos="1440"/>
        </w:tabs>
        <w:ind w:left="1440"/>
      </w:pPr>
      <w:r>
        <w:t xml:space="preserve">Growth Calculation </w:t>
      </w:r>
      <w:proofErr w:type="gramStart"/>
      <w:r>
        <w:t xml:space="preserve">Method </w:t>
      </w:r>
      <w:r w:rsidR="00B21B68">
        <w:t>:</w:t>
      </w:r>
      <w:proofErr w:type="gramEnd"/>
      <w:r w:rsidR="00B21B68">
        <w:t xml:space="preserve"> </w:t>
      </w:r>
      <w:r>
        <w:t>(</w:t>
      </w:r>
      <w:proofErr w:type="spellStart"/>
      <w:r>
        <w:t>cpd</w:t>
      </w:r>
      <w:proofErr w:type="spellEnd"/>
      <w:r>
        <w:t xml:space="preserve"> stands for compound growth, </w:t>
      </w:r>
      <w:proofErr w:type="spellStart"/>
      <w:r>
        <w:t>yoy</w:t>
      </w:r>
      <w:proofErr w:type="spellEnd"/>
      <w:r>
        <w:t xml:space="preserve"> stands for year-o</w:t>
      </w:r>
      <w:r w:rsidR="003748FE">
        <w:t xml:space="preserve">ver-year, </w:t>
      </w:r>
      <w:proofErr w:type="spellStart"/>
      <w:r w:rsidR="00F2443A">
        <w:t>leve</w:t>
      </w:r>
      <w:proofErr w:type="spellEnd"/>
      <w:r w:rsidR="003748FE">
        <w:t xml:space="preserve"> shifts the </w:t>
      </w:r>
      <w:r w:rsidR="00B21B68">
        <w:t>real GDP values to the past by the specified horizon.</w:t>
      </w:r>
    </w:p>
    <w:p w:rsidR="00C463BB" w:rsidRDefault="00C463BB" w:rsidP="00C463BB">
      <w:pPr>
        <w:pStyle w:val="ListBullet"/>
        <w:tabs>
          <w:tab w:val="clear" w:pos="720"/>
          <w:tab w:val="num" w:pos="1440"/>
        </w:tabs>
        <w:ind w:left="1440"/>
      </w:pPr>
      <w:proofErr w:type="spellStart"/>
      <w:r>
        <w:t>Retropolated</w:t>
      </w:r>
      <w:proofErr w:type="spellEnd"/>
      <w:r>
        <w:t xml:space="preserve"> </w:t>
      </w:r>
      <w:proofErr w:type="gramStart"/>
      <w:r>
        <w:t>Partitions</w:t>
      </w:r>
      <w:r w:rsidR="00B21B68">
        <w:t xml:space="preserve"> :</w:t>
      </w:r>
      <w:proofErr w:type="gramEnd"/>
      <w:r w:rsidR="00B21B68">
        <w:t xml:space="preserve"> </w:t>
      </w:r>
      <w:r w:rsidR="00B21B68" w:rsidRPr="00086FC8">
        <w:t xml:space="preserve">Choose Yes to allow </w:t>
      </w:r>
      <w:proofErr w:type="spellStart"/>
      <w:r w:rsidR="00B21B68" w:rsidRPr="00086FC8">
        <w:t>Retropolated</w:t>
      </w:r>
      <w:proofErr w:type="spellEnd"/>
      <w:r w:rsidR="00B21B68" w:rsidRPr="00086FC8">
        <w:t xml:space="preserve"> Partitions</w:t>
      </w:r>
      <w:r w:rsidR="00FA5E7A">
        <w:t xml:space="preserve"> (see the technical appendix for details)</w:t>
      </w:r>
    </w:p>
    <w:p w:rsidR="00071399" w:rsidRDefault="00071399" w:rsidP="00071399"/>
    <w:p w:rsidR="00071399" w:rsidRDefault="00B21B68" w:rsidP="00B21B68">
      <w:pPr>
        <w:ind w:left="720"/>
      </w:pPr>
      <w:r>
        <w:t>The other cells specify the Start Date and End Date, make sure to match these with the values in the date column in the Data sheet.</w:t>
      </w:r>
    </w:p>
    <w:p w:rsidR="00CC1206" w:rsidRDefault="00CC1206" w:rsidP="00B21B68">
      <w:pPr>
        <w:ind w:left="720"/>
      </w:pPr>
    </w:p>
    <w:p w:rsidR="00CC1206" w:rsidRDefault="00CC1206" w:rsidP="00B21B68">
      <w:pPr>
        <w:ind w:left="720"/>
      </w:pPr>
      <w:r>
        <w:t>Optionally, you can specify the output sheet names for the partitions and loadings in the green cells. If these are left empty they will default to “</w:t>
      </w:r>
      <w:proofErr w:type="spellStart"/>
      <w:r>
        <w:t>Output_partitions</w:t>
      </w:r>
      <w:proofErr w:type="spellEnd"/>
      <w:r>
        <w:t>”, and “</w:t>
      </w:r>
      <w:proofErr w:type="spellStart"/>
      <w:r>
        <w:t>Output_loadings</w:t>
      </w:r>
      <w:proofErr w:type="spellEnd"/>
      <w:r>
        <w:t>”, respectively. This is useful if you want to play with the parameters and compare the output sheets.</w:t>
      </w:r>
    </w:p>
    <w:p w:rsidR="00B21B68" w:rsidRDefault="00B21B68" w:rsidP="00B21B68">
      <w:pPr>
        <w:ind w:left="720"/>
      </w:pPr>
    </w:p>
    <w:p w:rsidR="00B21B68" w:rsidRDefault="00CC1206" w:rsidP="00B21B68">
      <w:pPr>
        <w:ind w:left="720"/>
      </w:pPr>
      <w:r>
        <w:t>Once these values have been set, you can press the button</w:t>
      </w:r>
    </w:p>
    <w:p w:rsidR="00CC1206" w:rsidRDefault="00CC1206" w:rsidP="00B21B68">
      <w:pPr>
        <w:ind w:left="720"/>
      </w:pPr>
      <w:r>
        <w:rPr>
          <w:noProof/>
        </w:rPr>
        <w:drawing>
          <wp:inline distT="0" distB="0" distL="0" distR="0" wp14:anchorId="34B3FF5F" wp14:editId="5E94A29F">
            <wp:extent cx="1762125" cy="952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2125" cy="952500"/>
                    </a:xfrm>
                    <a:prstGeom prst="rect">
                      <a:avLst/>
                    </a:prstGeom>
                  </pic:spPr>
                </pic:pic>
              </a:graphicData>
            </a:graphic>
          </wp:inline>
        </w:drawing>
      </w:r>
    </w:p>
    <w:p w:rsidR="00071399" w:rsidRDefault="00CC1206" w:rsidP="00071399">
      <w:r>
        <w:tab/>
        <w:t>to run the partitions.</w:t>
      </w:r>
    </w:p>
    <w:p w:rsidR="00CC1206" w:rsidRDefault="00CC1206" w:rsidP="00071399"/>
    <w:p w:rsidR="00CC1206" w:rsidRDefault="00CC1206" w:rsidP="00CC1206">
      <w:pPr>
        <w:ind w:left="720"/>
      </w:pPr>
      <w:r>
        <w:t>Once the button is pressed a popup will show the program is running. When the program is finished, a popup will show that the program is running</w:t>
      </w:r>
    </w:p>
    <w:p w:rsidR="00CC1206" w:rsidRDefault="00CC1206" w:rsidP="00CC1206">
      <w:pPr>
        <w:ind w:left="720"/>
      </w:pPr>
      <w:r>
        <w:t>(do not try to click on the button multiple times), and when finished, another popup will show up</w:t>
      </w:r>
      <w:r w:rsidR="0014595D">
        <w:t xml:space="preserve"> with information on the time it took and the outputs.</w:t>
      </w:r>
      <w:r w:rsidR="00934620">
        <w:t xml:space="preserve"> If the output sheet(s) already exist, they will be overwritten.</w:t>
      </w:r>
    </w:p>
    <w:p w:rsidR="00CC1206" w:rsidRDefault="00934620" w:rsidP="00CC1206">
      <w:pPr>
        <w:ind w:left="720"/>
      </w:pPr>
      <w:r>
        <w:rPr>
          <w:noProof/>
        </w:rPr>
        <w:lastRenderedPageBreak/>
        <w:drawing>
          <wp:inline distT="0" distB="0" distL="0" distR="0" wp14:anchorId="23183D7D" wp14:editId="4B450381">
            <wp:extent cx="5715000" cy="4191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5000" cy="4191635"/>
                    </a:xfrm>
                    <a:prstGeom prst="rect">
                      <a:avLst/>
                    </a:prstGeom>
                  </pic:spPr>
                </pic:pic>
              </a:graphicData>
            </a:graphic>
          </wp:inline>
        </w:drawing>
      </w:r>
    </w:p>
    <w:p w:rsidR="00934620" w:rsidRDefault="00934620" w:rsidP="00071399"/>
    <w:p w:rsidR="00071399" w:rsidRDefault="00934620" w:rsidP="00071399">
      <w:r>
        <w:tab/>
      </w:r>
      <w:r w:rsidR="00E47ACE">
        <w:tab/>
      </w:r>
    </w:p>
    <w:p w:rsidR="00071399" w:rsidRDefault="00490FB9" w:rsidP="00490FB9">
      <w:pPr>
        <w:ind w:left="720"/>
      </w:pPr>
      <w:r>
        <w:t>In the output sheets (</w:t>
      </w:r>
      <w:proofErr w:type="spellStart"/>
      <w:r>
        <w:t>Output_partitions</w:t>
      </w:r>
      <w:proofErr w:type="spellEnd"/>
      <w:r>
        <w:t xml:space="preserve"> and </w:t>
      </w:r>
      <w:proofErr w:type="spellStart"/>
      <w:r>
        <w:t>Output_loadings</w:t>
      </w:r>
      <w:proofErr w:type="spellEnd"/>
      <w:r>
        <w:t xml:space="preserve"> if not specified), useful information about the partitions are shown. In the sheet for loadings, the variables, which </w:t>
      </w:r>
      <w:r w:rsidR="005A2A5E">
        <w:t>group they belong to, the loadings in the partition, and beginning date of the partition are shown</w:t>
      </w:r>
      <w:r w:rsidR="00505492">
        <w:t xml:space="preserve"> i</w:t>
      </w:r>
      <w:r w:rsidR="00845047">
        <w:t xml:space="preserve">n the output sheet for partitions, the loadings for each group are shown for each period, along with the transformed GDP growth rate shifted by the specified horizon. An illustrative figure is included for the partitions, and this figure is also saved automatically in </w:t>
      </w:r>
      <w:r w:rsidR="00505492">
        <w:t>.</w:t>
      </w:r>
      <w:r w:rsidR="00845047">
        <w:t>p</w:t>
      </w:r>
      <w:r w:rsidR="00505492">
        <w:t>df</w:t>
      </w:r>
      <w:r w:rsidR="00845047">
        <w:t xml:space="preserve"> format in a folder called figures with the date that it was created.</w:t>
      </w:r>
    </w:p>
    <w:p w:rsidR="00071399" w:rsidRDefault="00071399" w:rsidP="00071399"/>
    <w:p w:rsidR="00071399" w:rsidRDefault="000F759C" w:rsidP="000F759C">
      <w:pPr>
        <w:ind w:left="720"/>
      </w:pPr>
      <w:r>
        <w:t xml:space="preserve">The sheet </w:t>
      </w:r>
      <w:proofErr w:type="spellStart"/>
      <w:r>
        <w:t>Processing_log</w:t>
      </w:r>
      <w:proofErr w:type="spellEnd"/>
      <w:r>
        <w:t xml:space="preserve"> will contain information on the latest operation that was </w:t>
      </w:r>
      <w:proofErr w:type="gramStart"/>
      <w:r>
        <w:t>run, and</w:t>
      </w:r>
      <w:proofErr w:type="gramEnd"/>
      <w:r>
        <w:t xml:space="preserve"> can be useful to check whether the operation finished.</w:t>
      </w:r>
    </w:p>
    <w:p w:rsidR="00071399" w:rsidRDefault="00071399" w:rsidP="00071399"/>
    <w:p w:rsidR="00071399" w:rsidRDefault="00071399" w:rsidP="00071399"/>
    <w:p w:rsidR="00CE6B34" w:rsidRPr="00DA7820" w:rsidRDefault="00CE6B34" w:rsidP="00CE6B34">
      <w:pPr>
        <w:pStyle w:val="ListParagraph"/>
        <w:numPr>
          <w:ilvl w:val="0"/>
          <w:numId w:val="23"/>
        </w:numPr>
      </w:pPr>
      <w:r>
        <w:rPr>
          <w:sz w:val="32"/>
          <w:szCs w:val="32"/>
        </w:rPr>
        <w:t>Running the Quantile Regressions</w:t>
      </w:r>
    </w:p>
    <w:p w:rsidR="00CE6B34" w:rsidRDefault="00CE6B34" w:rsidP="00CE6B34">
      <w:pPr>
        <w:pStyle w:val="ListParagraph"/>
      </w:pPr>
    </w:p>
    <w:p w:rsidR="00071399" w:rsidRDefault="00CE6B34" w:rsidP="00CE6B34">
      <w:r>
        <w:t xml:space="preserve">The second step is to run the quantile regressions. Again, inputs must be filled on the sheet </w:t>
      </w:r>
      <w:proofErr w:type="spellStart"/>
      <w:r>
        <w:t>Input_parameters</w:t>
      </w:r>
      <w:proofErr w:type="spellEnd"/>
      <w:r>
        <w:t xml:space="preserve">. </w:t>
      </w:r>
      <w:r w:rsidR="007C6BA2">
        <w:t xml:space="preserve">In column A specify the name of the columns from the Data sheet that </w:t>
      </w:r>
      <w:r w:rsidR="007C6BA2">
        <w:lastRenderedPageBreak/>
        <w:t xml:space="preserve">should be used as </w:t>
      </w:r>
      <w:r w:rsidR="00AF5253">
        <w:t>regressors and</w:t>
      </w:r>
      <w:r w:rsidR="007C6BA2">
        <w:t xml:space="preserve"> specify any transformations to these columns as necessary from the pulldown menu next to the column names.</w:t>
      </w:r>
    </w:p>
    <w:p w:rsidR="007C6BA2" w:rsidRDefault="007C6BA2" w:rsidP="00CE6B34"/>
    <w:p w:rsidR="007C6BA2" w:rsidRDefault="007C6BA2" w:rsidP="00CE6B34">
      <w:r>
        <w:rPr>
          <w:noProof/>
        </w:rPr>
        <w:drawing>
          <wp:inline distT="0" distB="0" distL="0" distR="0" wp14:anchorId="3A3F00B5" wp14:editId="36DAF235">
            <wp:extent cx="5715000" cy="8934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5000" cy="893445"/>
                    </a:xfrm>
                    <a:prstGeom prst="rect">
                      <a:avLst/>
                    </a:prstGeom>
                  </pic:spPr>
                </pic:pic>
              </a:graphicData>
            </a:graphic>
          </wp:inline>
        </w:drawing>
      </w:r>
    </w:p>
    <w:p w:rsidR="007C6BA2" w:rsidRDefault="007C6BA2" w:rsidP="00CE6B34"/>
    <w:p w:rsidR="007C6BA2" w:rsidRDefault="007C6BA2" w:rsidP="00CE6B34">
      <w:r>
        <w:t>The options are None, Lagged, MVA, Power, Diff, Change</w:t>
      </w:r>
      <w:r w:rsidR="00505492">
        <w:t xml:space="preserve"> </w:t>
      </w:r>
      <w:r>
        <w:t>Rate</w:t>
      </w:r>
      <w:r w:rsidR="00505492">
        <w:t xml:space="preserve"> (growth rate)</w:t>
      </w:r>
      <w:r>
        <w:t>. For transformations like Lagged which need a value specified for the number of lags, this should be specified in column C as necessary.</w:t>
      </w:r>
    </w:p>
    <w:p w:rsidR="007C6BA2" w:rsidRDefault="007C6BA2" w:rsidP="00CE6B34"/>
    <w:p w:rsidR="00C87BE2" w:rsidRDefault="007C6BA2" w:rsidP="00CE6B34">
      <w:r>
        <w:t>Next, in column E specify the quanti</w:t>
      </w:r>
      <w:r w:rsidR="00C87BE2">
        <w:t>le values that should be estimated. The first 5 values, 0.10, 0.25, 0.50, 0.75, and 0.90 are fixed and cannot be removed. It is possible to add more quantile values as necessary.</w:t>
      </w:r>
    </w:p>
    <w:p w:rsidR="007C6BA2" w:rsidRDefault="007C6BA2" w:rsidP="00CE6B34">
      <w:r>
        <w:rPr>
          <w:noProof/>
        </w:rPr>
        <w:drawing>
          <wp:inline distT="0" distB="0" distL="0" distR="0" wp14:anchorId="075EC291" wp14:editId="376404EE">
            <wp:extent cx="2381250" cy="3019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81250" cy="3019425"/>
                    </a:xfrm>
                    <a:prstGeom prst="rect">
                      <a:avLst/>
                    </a:prstGeom>
                  </pic:spPr>
                </pic:pic>
              </a:graphicData>
            </a:graphic>
          </wp:inline>
        </w:drawing>
      </w:r>
    </w:p>
    <w:p w:rsidR="00C87BE2" w:rsidRDefault="00C87BE2" w:rsidP="00CE6B34"/>
    <w:p w:rsidR="00C87BE2" w:rsidRDefault="00C87BE2" w:rsidP="00CE6B34">
      <w:r>
        <w:t>As with the partitions, it is possible to specify the two output sheet names, which is useful when the user wants to compare the output from two different results.</w:t>
      </w:r>
    </w:p>
    <w:p w:rsidR="00C87BE2" w:rsidRDefault="00C87BE2" w:rsidP="00CE6B34"/>
    <w:p w:rsidR="00C87BE2" w:rsidRDefault="00C87BE2" w:rsidP="00CE6B34">
      <w:r>
        <w:t xml:space="preserve">When the button for quantile regressions is pressed, a popup </w:t>
      </w:r>
      <w:proofErr w:type="gramStart"/>
      <w:r>
        <w:t>similar to</w:t>
      </w:r>
      <w:proofErr w:type="gramEnd"/>
      <w:r>
        <w:t xml:space="preserve"> the one for partitions will show, followed by another popup showing that the operation has ended. Again, the sheet </w:t>
      </w:r>
      <w:proofErr w:type="spellStart"/>
      <w:r>
        <w:t>Processing_log</w:t>
      </w:r>
      <w:proofErr w:type="spellEnd"/>
      <w:r>
        <w:t xml:space="preserve"> will contain more details on the operation.</w:t>
      </w:r>
    </w:p>
    <w:p w:rsidR="008E38C5" w:rsidRDefault="008E38C5" w:rsidP="00CE6B34"/>
    <w:p w:rsidR="008E38C5" w:rsidRDefault="00C87BE2" w:rsidP="00CE6B34">
      <w:r>
        <w:t xml:space="preserve">The output will be in two sheets which are by default called “Quant </w:t>
      </w:r>
      <w:proofErr w:type="spellStart"/>
      <w:r>
        <w:t>reg</w:t>
      </w:r>
      <w:proofErr w:type="spellEnd"/>
      <w:r>
        <w:t xml:space="preserve"> coefficients” and “Conditional quantiles”. The sheet for “Quant </w:t>
      </w:r>
      <w:proofErr w:type="spellStart"/>
      <w:r>
        <w:t>reg</w:t>
      </w:r>
      <w:proofErr w:type="spellEnd"/>
      <w:r>
        <w:t xml:space="preserve"> coefficients” will show the quantile fit regression results for each regressor and quantile, along with other associated information. </w:t>
      </w:r>
      <w:r>
        <w:lastRenderedPageBreak/>
        <w:t xml:space="preserve">This is also shown as a figure of each quantile coefficient shown against quantile. </w:t>
      </w:r>
      <w:proofErr w:type="gramStart"/>
      <w:r>
        <w:t>Similarly</w:t>
      </w:r>
      <w:proofErr w:type="gramEnd"/>
      <w:r>
        <w:t xml:space="preserve"> to the partition fit, this figure is saved as </w:t>
      </w:r>
      <w:proofErr w:type="spellStart"/>
      <w:r>
        <w:t>png</w:t>
      </w:r>
      <w:proofErr w:type="spellEnd"/>
      <w:r>
        <w:t xml:space="preserve"> format in the folder figures. The “Conditional quantiles” sheet will show</w:t>
      </w:r>
      <w:r w:rsidR="008E38C5">
        <w:t xml:space="preserve"> information on the conditional quantiles.</w:t>
      </w:r>
    </w:p>
    <w:p w:rsidR="008E38C5" w:rsidRDefault="008E38C5" w:rsidP="00CE6B34"/>
    <w:p w:rsidR="008E38C5" w:rsidRPr="00DA7820" w:rsidRDefault="008E38C5" w:rsidP="008E38C5">
      <w:pPr>
        <w:pStyle w:val="ListParagraph"/>
        <w:numPr>
          <w:ilvl w:val="0"/>
          <w:numId w:val="23"/>
        </w:numPr>
      </w:pPr>
      <w:r>
        <w:rPr>
          <w:sz w:val="32"/>
          <w:szCs w:val="32"/>
        </w:rPr>
        <w:t>Running the T-skew Fit</w:t>
      </w:r>
    </w:p>
    <w:p w:rsidR="008E38C5" w:rsidRDefault="008E38C5" w:rsidP="008E38C5">
      <w:pPr>
        <w:pStyle w:val="ListParagraph"/>
      </w:pPr>
    </w:p>
    <w:p w:rsidR="008E38C5" w:rsidRDefault="008E38C5" w:rsidP="008E38C5">
      <w:r>
        <w:t xml:space="preserve">The third step is to run the t-skew fit to the quantile distributions in the previous step. Again, the sheet </w:t>
      </w:r>
      <w:proofErr w:type="spellStart"/>
      <w:r>
        <w:t>Input_parameters</w:t>
      </w:r>
      <w:proofErr w:type="spellEnd"/>
      <w:r>
        <w:t xml:space="preserve"> has a section where necessary parameters can be inputted.</w:t>
      </w:r>
    </w:p>
    <w:p w:rsidR="008E38C5" w:rsidRDefault="008E38C5" w:rsidP="008E38C5">
      <w:r>
        <w:rPr>
          <w:noProof/>
        </w:rPr>
        <w:drawing>
          <wp:inline distT="0" distB="0" distL="0" distR="0" wp14:anchorId="6F60C1F2" wp14:editId="24B5FAF7">
            <wp:extent cx="5385686" cy="90297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85686" cy="902970"/>
                    </a:xfrm>
                    <a:prstGeom prst="rect">
                      <a:avLst/>
                    </a:prstGeom>
                  </pic:spPr>
                </pic:pic>
              </a:graphicData>
            </a:graphic>
          </wp:inline>
        </w:drawing>
      </w:r>
    </w:p>
    <w:p w:rsidR="008E38C5" w:rsidRDefault="008E38C5" w:rsidP="008E38C5"/>
    <w:p w:rsidR="008E38C5" w:rsidRDefault="008E38C5" w:rsidP="008E38C5">
      <w:r>
        <w:t>If there are external restrictions on the location of the mode, this ca</w:t>
      </w:r>
      <w:r w:rsidR="008F7F29">
        <w:t xml:space="preserve">n be specified as a fixed value, </w:t>
      </w:r>
      <w:r>
        <w:t>along with the value in the next cell. If it is to be left to be free choose Free. There are also more advanced options that can be specified for the t-skew fit distribution, but these should be avoided unless the user has a firm understanding of what they are doing.</w:t>
      </w:r>
      <w:r w:rsidR="00E74349">
        <w:rPr>
          <w:rStyle w:val="FootnoteReference"/>
        </w:rPr>
        <w:footnoteReference w:id="3"/>
      </w:r>
    </w:p>
    <w:p w:rsidR="008E38C5" w:rsidRDefault="008E38C5" w:rsidP="008E38C5"/>
    <w:p w:rsidR="008E38C5" w:rsidRDefault="008E38C5" w:rsidP="008E38C5">
      <w:r>
        <w:t xml:space="preserve">Once the button for the T-skew Fit is pressed, similar popups to the previous buttons will show </w:t>
      </w:r>
      <w:r w:rsidR="00905B8E">
        <w:t>the status. The output will be in a sheet named “T-</w:t>
      </w:r>
      <w:proofErr w:type="spellStart"/>
      <w:r w:rsidR="00905B8E">
        <w:t>skew_fit</w:t>
      </w:r>
      <w:proofErr w:type="spellEnd"/>
      <w:r w:rsidR="00905B8E">
        <w:t>” by default and will show information on the fitted t-skew distribution. A figure showing the distribution is created in the sheet and</w:t>
      </w:r>
      <w:r w:rsidR="004A59E5">
        <w:t xml:space="preserve"> is</w:t>
      </w:r>
      <w:r w:rsidR="00905B8E">
        <w:t xml:space="preserve"> also saved in the figures folder. To the right of this figure in the sheet, the x and y values of the curve are reproduced for a range of values so that the user can recreate this plot in Excel if desired. Another table further to the right shows information on the quantile values.</w:t>
      </w:r>
    </w:p>
    <w:p w:rsidR="006E0698" w:rsidRDefault="006E0698" w:rsidP="008E38C5"/>
    <w:p w:rsidR="00BA3C17" w:rsidRDefault="006E0698" w:rsidP="008E38C5">
      <w:r>
        <w:t xml:space="preserve">The tool also provides the possibility to run the </w:t>
      </w:r>
      <w:proofErr w:type="spellStart"/>
      <w:r>
        <w:t>Tskew</w:t>
      </w:r>
      <w:proofErr w:type="spellEnd"/>
      <w:r>
        <w:t xml:space="preserve"> fit with two different specifications (Laurent and </w:t>
      </w:r>
      <w:proofErr w:type="spellStart"/>
      <w:r>
        <w:t>Giot</w:t>
      </w:r>
      <w:proofErr w:type="spellEnd"/>
      <w:r>
        <w:t xml:space="preserve"> (2003) and Zhu and Galbraith (2010)). Zhu and Galbraith (2010) allows to model separately the right and left kurtosis.</w:t>
      </w:r>
      <w:r w:rsidR="00434163">
        <w:t xml:space="preserve"> </w:t>
      </w:r>
    </w:p>
    <w:p w:rsidR="00BA3C17" w:rsidRDefault="00BA3C17" w:rsidP="008E38C5"/>
    <w:p w:rsidR="006E0698" w:rsidRDefault="00434163" w:rsidP="008E38C5">
      <w:r>
        <w:t xml:space="preserve">Also, the </w:t>
      </w:r>
      <w:proofErr w:type="spellStart"/>
      <w:r>
        <w:t>GaR</w:t>
      </w:r>
      <w:proofErr w:type="spellEnd"/>
      <w:r>
        <w:t xml:space="preserve"> tool allows the user to smooth the covariates for when projecting the density: instead of projecting, for instance, </w:t>
      </w:r>
      <w:r w:rsidR="00BA3C17" w:rsidRPr="00BA3C17">
        <w:rPr>
          <w:position w:val="-12"/>
        </w:rPr>
        <w:object w:dxaOrig="11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18.75pt" o:ole="">
            <v:imagedata r:id="rId22" o:title=""/>
          </v:shape>
          <o:OLEObject Type="Embed" ProgID="Equation.DSMT4" ShapeID="_x0000_i1025" DrawAspect="Content" ObjectID="_1611727188" r:id="rId23"/>
        </w:object>
      </w:r>
      <w:r w:rsidR="00BA3C17">
        <w:t xml:space="preserve"> based on a given date </w:t>
      </w:r>
      <w:r w:rsidR="00BA3C17" w:rsidRPr="00BA3C17">
        <w:rPr>
          <w:position w:val="-12"/>
        </w:rPr>
        <w:object w:dxaOrig="320" w:dyaOrig="360">
          <v:shape id="_x0000_i1026" type="#_x0000_t75" style="width:15.75pt;height:18pt" o:ole="">
            <v:imagedata r:id="rId24" o:title=""/>
          </v:shape>
          <o:OLEObject Type="Embed" ProgID="Equation.DSMT4" ShapeID="_x0000_i1026" DrawAspect="Content" ObjectID="_1611727189" r:id="rId25"/>
        </w:object>
      </w:r>
      <w:r w:rsidR="00BA3C17">
        <w:t xml:space="preserve">, the user can decide to use a moving average of </w:t>
      </w:r>
      <w:r w:rsidR="00BA3C17" w:rsidRPr="00BA3C17">
        <w:rPr>
          <w:position w:val="-12"/>
        </w:rPr>
        <w:object w:dxaOrig="320" w:dyaOrig="360">
          <v:shape id="_x0000_i1027" type="#_x0000_t75" style="width:15.75pt;height:18pt" o:ole="">
            <v:imagedata r:id="rId24" o:title=""/>
          </v:shape>
          <o:OLEObject Type="Embed" ProgID="Equation.DSMT4" ShapeID="_x0000_i1027" DrawAspect="Content" ObjectID="_1611727190" r:id="rId26"/>
        </w:object>
      </w:r>
      <w:r w:rsidR="00BA3C17">
        <w:t xml:space="preserve">over the last year: </w:t>
      </w:r>
      <w:r w:rsidR="00BA3C17" w:rsidRPr="00BA3C17">
        <w:rPr>
          <w:position w:val="-28"/>
        </w:rPr>
        <w:object w:dxaOrig="780" w:dyaOrig="680">
          <v:shape id="_x0000_i1028" type="#_x0000_t75" style="width:39pt;height:33.75pt" o:ole="">
            <v:imagedata r:id="rId27" o:title=""/>
          </v:shape>
          <o:OLEObject Type="Embed" ProgID="Equation.DSMT4" ShapeID="_x0000_i1028" DrawAspect="Content" ObjectID="_1611727191" r:id="rId28"/>
        </w:object>
      </w:r>
      <w:r w:rsidR="00BA3C17">
        <w:t xml:space="preserve">. This is useful when some </w:t>
      </w:r>
      <w:proofErr w:type="gramStart"/>
      <w:r w:rsidR="00BA3C17">
        <w:t>particular dates</w:t>
      </w:r>
      <w:proofErr w:type="gramEnd"/>
      <w:r w:rsidR="00BA3C17">
        <w:t xml:space="preserve"> have outliers in it. However, the prefer way should be to run the quantile regression using the moving average as regressors (for instance), as explained in step 2.</w:t>
      </w:r>
    </w:p>
    <w:p w:rsidR="00905B8E" w:rsidRDefault="00905B8E" w:rsidP="00905B8E"/>
    <w:p w:rsidR="00905B8E" w:rsidRPr="00DA7820" w:rsidRDefault="00905B8E" w:rsidP="00905B8E">
      <w:pPr>
        <w:pStyle w:val="ListParagraph"/>
        <w:numPr>
          <w:ilvl w:val="0"/>
          <w:numId w:val="31"/>
        </w:numPr>
      </w:pPr>
      <w:r>
        <w:rPr>
          <w:sz w:val="32"/>
          <w:szCs w:val="32"/>
        </w:rPr>
        <w:t>Running the Historical Distribution</w:t>
      </w:r>
    </w:p>
    <w:p w:rsidR="00905B8E" w:rsidRDefault="00905B8E" w:rsidP="00905B8E">
      <w:pPr>
        <w:pStyle w:val="ListParagraph"/>
      </w:pPr>
    </w:p>
    <w:p w:rsidR="00905B8E" w:rsidRDefault="00905B8E" w:rsidP="00905B8E">
      <w:r>
        <w:t xml:space="preserve">The </w:t>
      </w:r>
      <w:r w:rsidR="004A59E5">
        <w:t>fourth</w:t>
      </w:r>
      <w:r>
        <w:t xml:space="preserve"> step is to run the historical distribution. The distribution start and end dates, along with the </w:t>
      </w:r>
      <w:proofErr w:type="gramStart"/>
      <w:r>
        <w:t>time period</w:t>
      </w:r>
      <w:proofErr w:type="gramEnd"/>
      <w:r>
        <w:t xml:space="preserve"> incremental</w:t>
      </w:r>
      <w:r w:rsidR="00573205">
        <w:t xml:space="preserve"> need to be specified. The output will be in the sheet “Historical distribution” by default.</w:t>
      </w:r>
    </w:p>
    <w:p w:rsidR="00905B8E" w:rsidRDefault="00905B8E" w:rsidP="00905B8E"/>
    <w:p w:rsidR="00F965D4" w:rsidRDefault="00F965D4" w:rsidP="00905B8E">
      <w:r>
        <w:rPr>
          <w:noProof/>
        </w:rPr>
        <w:drawing>
          <wp:inline distT="0" distB="0" distL="0" distR="0" wp14:anchorId="3F7BAA41" wp14:editId="7A86DB86">
            <wp:extent cx="5715000" cy="9385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15000" cy="938530"/>
                    </a:xfrm>
                    <a:prstGeom prst="rect">
                      <a:avLst/>
                    </a:prstGeom>
                  </pic:spPr>
                </pic:pic>
              </a:graphicData>
            </a:graphic>
          </wp:inline>
        </w:drawing>
      </w:r>
    </w:p>
    <w:p w:rsidR="00F965D4" w:rsidRDefault="00F965D4" w:rsidP="00905B8E"/>
    <w:p w:rsidR="004A59E5" w:rsidRPr="00DA7820" w:rsidRDefault="00434163" w:rsidP="004A59E5">
      <w:pPr>
        <w:pStyle w:val="ListParagraph"/>
        <w:numPr>
          <w:ilvl w:val="0"/>
          <w:numId w:val="31"/>
        </w:numPr>
      </w:pPr>
      <w:r>
        <w:t>Designing scenarios tests (counterfactual scenarios)</w:t>
      </w:r>
    </w:p>
    <w:p w:rsidR="004A59E5" w:rsidRDefault="004A59E5" w:rsidP="004A59E5">
      <w:pPr>
        <w:pStyle w:val="ListParagraph"/>
      </w:pPr>
    </w:p>
    <w:p w:rsidR="004A59E5" w:rsidRDefault="004A59E5" w:rsidP="004A59E5">
      <w:r>
        <w:t xml:space="preserve">The fifth step </w:t>
      </w:r>
      <w:r w:rsidR="00434163">
        <w:t>allows the user to shock variables of inter</w:t>
      </w:r>
      <w:r>
        <w:t xml:space="preserve">est </w:t>
      </w:r>
      <w:r w:rsidR="00434163">
        <w:t xml:space="preserve">to design counterfactual </w:t>
      </w:r>
      <w:r>
        <w:t>scenario</w:t>
      </w:r>
      <w:r w:rsidR="00434163">
        <w:t>s</w:t>
      </w:r>
      <w:r w:rsidR="00AD1BC4">
        <w:t xml:space="preserve"> in a ceteris paribus way, by holding other variables constant (this is not a structural shock as in a </w:t>
      </w:r>
      <w:r w:rsidR="00E96BF6">
        <w:t xml:space="preserve">VAR </w:t>
      </w:r>
      <w:r w:rsidR="00AD1BC4">
        <w:t>sense)</w:t>
      </w:r>
      <w:r>
        <w:t xml:space="preserve">. The variables to shock and how to shock can be specified in the sheet </w:t>
      </w:r>
      <w:proofErr w:type="spellStart"/>
      <w:r>
        <w:t>Input_parameters</w:t>
      </w:r>
      <w:proofErr w:type="spellEnd"/>
      <w:r>
        <w:t>. For each variable to shock, the shock can be expressed in standard deviations or percentages. Also, the location of growth can also be specified with a Fixed (constrained) of Free value (unconstrained). When the button for Scenario Test is pushed the results are written out to the sheet “Scenario Test” by default.</w:t>
      </w:r>
    </w:p>
    <w:p w:rsidR="00905B8E" w:rsidRDefault="00905B8E" w:rsidP="00905B8E"/>
    <w:p w:rsidR="00905B8E" w:rsidRDefault="00F965D4" w:rsidP="00905B8E">
      <w:r>
        <w:rPr>
          <w:noProof/>
        </w:rPr>
        <w:drawing>
          <wp:inline distT="0" distB="0" distL="0" distR="0" wp14:anchorId="4DE91CB4" wp14:editId="766BF2DA">
            <wp:extent cx="5715000" cy="137096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15000" cy="1370965"/>
                    </a:xfrm>
                    <a:prstGeom prst="rect">
                      <a:avLst/>
                    </a:prstGeom>
                  </pic:spPr>
                </pic:pic>
              </a:graphicData>
            </a:graphic>
          </wp:inline>
        </w:drawing>
      </w:r>
    </w:p>
    <w:p w:rsidR="00434163" w:rsidRDefault="00434163" w:rsidP="00905B8E"/>
    <w:p w:rsidR="00434163" w:rsidRDefault="00434163" w:rsidP="00905B8E"/>
    <w:p w:rsidR="00434163" w:rsidRDefault="00434163" w:rsidP="00434163">
      <w:pPr>
        <w:pStyle w:val="ListParagraph"/>
        <w:numPr>
          <w:ilvl w:val="0"/>
          <w:numId w:val="31"/>
        </w:numPr>
        <w:rPr>
          <w:sz w:val="32"/>
          <w:szCs w:val="32"/>
        </w:rPr>
      </w:pPr>
      <w:r>
        <w:rPr>
          <w:sz w:val="32"/>
          <w:szCs w:val="32"/>
        </w:rPr>
        <w:t>Multiple horizons projections</w:t>
      </w:r>
    </w:p>
    <w:p w:rsidR="00434163" w:rsidRDefault="00434163" w:rsidP="00434163">
      <w:pPr>
        <w:pStyle w:val="ListParagraph"/>
        <w:rPr>
          <w:sz w:val="32"/>
          <w:szCs w:val="32"/>
        </w:rPr>
      </w:pPr>
    </w:p>
    <w:p w:rsidR="00434163" w:rsidRDefault="00434163" w:rsidP="00434163">
      <w:pPr>
        <w:pStyle w:val="ListParagraph"/>
      </w:pPr>
      <w:r w:rsidRPr="00434163">
        <w:t>The sixth step</w:t>
      </w:r>
      <w:r>
        <w:t xml:space="preserve"> allows the user to run the model at different horizons and at different dates, to compare how the densities evolve across time with the covariates. The concept is the same as in step 4. (</w:t>
      </w:r>
      <w:proofErr w:type="spellStart"/>
      <w:r>
        <w:t>Tskew</w:t>
      </w:r>
      <w:proofErr w:type="spellEnd"/>
      <w:r>
        <w:t xml:space="preserve"> fit) and the set of parameters are similar.  </w:t>
      </w:r>
      <w:r w:rsidR="00B24C33">
        <w:t xml:space="preserve">The output presents the probability densities at different horizons, as well as the cumulative probabilities. </w:t>
      </w:r>
    </w:p>
    <w:p w:rsidR="00434163" w:rsidRDefault="00434163" w:rsidP="00434163">
      <w:pPr>
        <w:pStyle w:val="ListParagraph"/>
      </w:pPr>
    </w:p>
    <w:p w:rsidR="00434163" w:rsidRPr="00434163" w:rsidRDefault="00434163" w:rsidP="00434163">
      <w:pPr>
        <w:pStyle w:val="ListParagraph"/>
      </w:pPr>
      <w:r>
        <w:rPr>
          <w:noProof/>
        </w:rPr>
        <w:lastRenderedPageBreak/>
        <w:drawing>
          <wp:inline distT="0" distB="0" distL="0" distR="0" wp14:anchorId="6FEB2167" wp14:editId="540D21CB">
            <wp:extent cx="5698626" cy="11693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698626" cy="1169380"/>
                    </a:xfrm>
                    <a:prstGeom prst="rect">
                      <a:avLst/>
                    </a:prstGeom>
                  </pic:spPr>
                </pic:pic>
              </a:graphicData>
            </a:graphic>
          </wp:inline>
        </w:drawing>
      </w:r>
    </w:p>
    <w:sectPr w:rsidR="00434163" w:rsidRPr="00434163" w:rsidSect="00D87E53">
      <w:headerReference w:type="default" r:id="rId32"/>
      <w:headerReference w:type="first" r:id="rId33"/>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3FA4" w:rsidRDefault="00823FA4" w:rsidP="000B7010">
      <w:pPr>
        <w:spacing w:line="240" w:lineRule="auto"/>
      </w:pPr>
      <w:r>
        <w:separator/>
      </w:r>
    </w:p>
  </w:endnote>
  <w:endnote w:type="continuationSeparator" w:id="0">
    <w:p w:rsidR="00823FA4" w:rsidRDefault="00823FA4" w:rsidP="000B7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3FA4" w:rsidRDefault="00823FA4" w:rsidP="000B7010">
      <w:pPr>
        <w:spacing w:line="240" w:lineRule="auto"/>
      </w:pPr>
      <w:r>
        <w:separator/>
      </w:r>
    </w:p>
  </w:footnote>
  <w:footnote w:type="continuationSeparator" w:id="0">
    <w:p w:rsidR="00823FA4" w:rsidRDefault="00823FA4" w:rsidP="000B7010">
      <w:pPr>
        <w:spacing w:line="240" w:lineRule="auto"/>
      </w:pPr>
      <w:r>
        <w:continuationSeparator/>
      </w:r>
    </w:p>
  </w:footnote>
  <w:footnote w:id="1">
    <w:p w:rsidR="00551064" w:rsidRDefault="00551064">
      <w:pPr>
        <w:pStyle w:val="FootnoteText"/>
      </w:pPr>
      <w:r>
        <w:rPr>
          <w:rStyle w:val="FootnoteReference"/>
        </w:rPr>
        <w:footnoteRef/>
      </w:r>
      <w:r>
        <w:t xml:space="preserve"> </w:t>
      </w:r>
      <w:r w:rsidR="00824484">
        <w:t xml:space="preserve">This version: </w:t>
      </w:r>
      <w:r w:rsidR="009369F0">
        <w:t>February</w:t>
      </w:r>
      <w:r w:rsidR="006D3487">
        <w:t xml:space="preserve"> 2019</w:t>
      </w:r>
      <w:r w:rsidR="00824484">
        <w:t xml:space="preserve">. </w:t>
      </w:r>
      <w:r>
        <w:t xml:space="preserve">Drafted by </w:t>
      </w:r>
      <w:r w:rsidR="006D3487">
        <w:t>Romain Lafarguette (</w:t>
      </w:r>
      <w:hyperlink r:id="rId1" w:history="1">
        <w:r w:rsidR="006D3487" w:rsidRPr="00D63648">
          <w:rPr>
            <w:rStyle w:val="Hyperlink"/>
          </w:rPr>
          <w:t>rlafarguette@imf.org</w:t>
        </w:r>
      </w:hyperlink>
      <w:r w:rsidR="006D3487">
        <w:t xml:space="preserve">), </w:t>
      </w:r>
      <w:r>
        <w:t xml:space="preserve">Kei Moriya </w:t>
      </w:r>
      <w:r w:rsidR="006D3487">
        <w:t>(</w:t>
      </w:r>
      <w:hyperlink r:id="rId2" w:history="1">
        <w:r w:rsidR="006D3487" w:rsidRPr="00D63648">
          <w:rPr>
            <w:rStyle w:val="Hyperlink"/>
          </w:rPr>
          <w:t>kmoriya@imf.org</w:t>
        </w:r>
      </w:hyperlink>
      <w:r w:rsidR="006D3487">
        <w:t>) and</w:t>
      </w:r>
      <w:r>
        <w:t xml:space="preserve"> Changchun Wang (</w:t>
      </w:r>
      <w:hyperlink r:id="rId3" w:history="1">
        <w:r w:rsidR="00C66062" w:rsidRPr="0003507B">
          <w:rPr>
            <w:rStyle w:val="Hyperlink"/>
          </w:rPr>
          <w:t>cwang2@imf.org</w:t>
        </w:r>
      </w:hyperlink>
      <w:r>
        <w:t>)</w:t>
      </w:r>
      <w:r w:rsidR="00C66062">
        <w:t xml:space="preserve">. </w:t>
      </w:r>
      <w:bookmarkStart w:id="0" w:name="_GoBack"/>
      <w:bookmarkEnd w:id="0"/>
      <w:r w:rsidR="009369F0">
        <w:t>Reuse of this tool and IMF data does not imply any endorsement of the research and/or product. Any research presented should not be reported as representing the views of the IMF, its Executiv</w:t>
      </w:r>
      <w:r w:rsidR="009369F0">
        <w:t>e Board, or member governments.</w:t>
      </w:r>
    </w:p>
  </w:footnote>
  <w:footnote w:id="2">
    <w:p w:rsidR="00C66062" w:rsidRDefault="00C66062">
      <w:pPr>
        <w:pStyle w:val="FootnoteText"/>
      </w:pPr>
      <w:r>
        <w:rPr>
          <w:rStyle w:val="FootnoteReference"/>
        </w:rPr>
        <w:footnoteRef/>
      </w:r>
      <w:r>
        <w:t xml:space="preserve"> Anaconda </w:t>
      </w:r>
      <w:r w:rsidR="002351C0">
        <w:t>(www.anaconda.com)</w:t>
      </w:r>
      <w:r>
        <w:t xml:space="preserve"> is a free and open-source distribution of Python for scientific programming</w:t>
      </w:r>
      <w:r w:rsidR="002351C0">
        <w:t xml:space="preserve">, containing by default all the packages needed to run the </w:t>
      </w:r>
      <w:proofErr w:type="spellStart"/>
      <w:r w:rsidR="002351C0">
        <w:t>GaR</w:t>
      </w:r>
      <w:proofErr w:type="spellEnd"/>
      <w:r w:rsidR="002351C0">
        <w:t xml:space="preserve"> excel too</w:t>
      </w:r>
      <w:r w:rsidR="00665386">
        <w:t>l</w:t>
      </w:r>
      <w:r>
        <w:t xml:space="preserve">. The </w:t>
      </w:r>
      <w:proofErr w:type="spellStart"/>
      <w:r>
        <w:t>GaR</w:t>
      </w:r>
      <w:proofErr w:type="spellEnd"/>
      <w:r>
        <w:t xml:space="preserve"> tool can </w:t>
      </w:r>
      <w:r w:rsidR="003B7F05">
        <w:t xml:space="preserve">also </w:t>
      </w:r>
      <w:r>
        <w:t xml:space="preserve">work with a plain Python distribution, providing that the required packages </w:t>
      </w:r>
      <w:r w:rsidR="00F56381">
        <w:t>have been installed</w:t>
      </w:r>
      <w:r>
        <w:t xml:space="preserve"> (pandas, </w:t>
      </w:r>
      <w:proofErr w:type="spellStart"/>
      <w:r>
        <w:t>numpy</w:t>
      </w:r>
      <w:proofErr w:type="spellEnd"/>
      <w:r>
        <w:t xml:space="preserve">, </w:t>
      </w:r>
      <w:proofErr w:type="spellStart"/>
      <w:r>
        <w:t>scipy</w:t>
      </w:r>
      <w:proofErr w:type="spellEnd"/>
      <w:r>
        <w:t>, etc.)</w:t>
      </w:r>
    </w:p>
  </w:footnote>
  <w:footnote w:id="3">
    <w:p w:rsidR="00E74349" w:rsidRDefault="00E74349">
      <w:pPr>
        <w:pStyle w:val="FootnoteText"/>
      </w:pPr>
      <w:r>
        <w:rPr>
          <w:rStyle w:val="FootnoteReference"/>
        </w:rPr>
        <w:footnoteRef/>
      </w:r>
      <w:r>
        <w:t xml:space="preserve"> Basically, the user can </w:t>
      </w:r>
      <w:proofErr w:type="gramStart"/>
      <w:r>
        <w:t>parametrized</w:t>
      </w:r>
      <w:proofErr w:type="gramEnd"/>
      <w:r>
        <w:t xml:space="preserve"> the constraints of the Python optimization algorithm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r>
      <w:rPr>
        <w:rStyle w:val="PageNumber"/>
      </w:rPr>
      <w:fldChar w:fldCharType="begin"/>
    </w:r>
    <w:r>
      <w:rPr>
        <w:rStyle w:val="PageNumber"/>
      </w:rPr>
      <w:instrText xml:space="preserve"> PAGE </w:instrText>
    </w:r>
    <w:r>
      <w:rPr>
        <w:rStyle w:val="PageNumber"/>
      </w:rPr>
      <w:fldChar w:fldCharType="separate"/>
    </w:r>
    <w:r w:rsidR="00F21975">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1F9E495C"/>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B72F90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95C684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D976226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AB90612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E0245FFA"/>
    <w:lvl w:ilvl="0">
      <w:start w:val="1"/>
      <w:numFmt w:val="bullet"/>
      <w:pStyle w:val="ListBullet"/>
      <w:lvlText w:val=""/>
      <w:lvlJc w:val="left"/>
      <w:pPr>
        <w:tabs>
          <w:tab w:val="num" w:pos="720"/>
        </w:tabs>
        <w:ind w:left="720" w:hanging="720"/>
      </w:pPr>
      <w:rPr>
        <w:rFonts w:ascii="Symbol" w:hAnsi="Symbol" w:hint="default"/>
      </w:rPr>
    </w:lvl>
  </w:abstractNum>
  <w:abstractNum w:abstractNumId="6" w15:restartNumberingAfterBreak="0">
    <w:nsid w:val="07417EFE"/>
    <w:multiLevelType w:val="hybridMultilevel"/>
    <w:tmpl w:val="8D2C31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E51FB3"/>
    <w:multiLevelType w:val="hybridMultilevel"/>
    <w:tmpl w:val="7186B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EA6F9E"/>
    <w:multiLevelType w:val="hybridMultilevel"/>
    <w:tmpl w:val="53FA1914"/>
    <w:lvl w:ilvl="0" w:tplc="69EAC34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105CA9"/>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48435EB"/>
    <w:multiLevelType w:val="hybridMultilevel"/>
    <w:tmpl w:val="0A2CA934"/>
    <w:lvl w:ilvl="0" w:tplc="462A22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34F4249"/>
    <w:multiLevelType w:val="hybridMultilevel"/>
    <w:tmpl w:val="A1326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E34941"/>
    <w:multiLevelType w:val="hybridMultilevel"/>
    <w:tmpl w:val="D18A1DBA"/>
    <w:lvl w:ilvl="0" w:tplc="804E929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CF7548"/>
    <w:multiLevelType w:val="hybridMultilevel"/>
    <w:tmpl w:val="A1326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063BEB"/>
    <w:multiLevelType w:val="hybridMultilevel"/>
    <w:tmpl w:val="B720C62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374202C"/>
    <w:multiLevelType w:val="hybridMultilevel"/>
    <w:tmpl w:val="D550D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381A7C"/>
    <w:multiLevelType w:val="hybridMultilevel"/>
    <w:tmpl w:val="5F6075EA"/>
    <w:lvl w:ilvl="0" w:tplc="257A29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1A5999"/>
    <w:multiLevelType w:val="hybridMultilevel"/>
    <w:tmpl w:val="7D9EA4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884F7A"/>
    <w:multiLevelType w:val="hybridMultilevel"/>
    <w:tmpl w:val="34D8C392"/>
    <w:lvl w:ilvl="0" w:tplc="9E3270DC">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177ECC"/>
    <w:multiLevelType w:val="hybridMultilevel"/>
    <w:tmpl w:val="53FA1914"/>
    <w:lvl w:ilvl="0" w:tplc="69EAC34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DA5569"/>
    <w:multiLevelType w:val="hybridMultilevel"/>
    <w:tmpl w:val="045A6558"/>
    <w:lvl w:ilvl="0" w:tplc="80D00A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3047E9D"/>
    <w:multiLevelType w:val="hybridMultilevel"/>
    <w:tmpl w:val="710653C2"/>
    <w:lvl w:ilvl="0" w:tplc="1714CDBE">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BB2A86"/>
    <w:multiLevelType w:val="hybridMultilevel"/>
    <w:tmpl w:val="53FA1914"/>
    <w:lvl w:ilvl="0" w:tplc="69EAC34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10152F"/>
    <w:multiLevelType w:val="hybridMultilevel"/>
    <w:tmpl w:val="A3DEF804"/>
    <w:lvl w:ilvl="0" w:tplc="ED14AB94">
      <w:start w:val="6"/>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EA15A1"/>
    <w:multiLevelType w:val="multilevel"/>
    <w:tmpl w:val="68701036"/>
    <w:lvl w:ilvl="0">
      <w:start w:val="1"/>
      <w:numFmt w:val="upperRoman"/>
      <w:pStyle w:val="Heading1"/>
      <w:suff w:val="nothing"/>
      <w:lvlText w:val="%1.   "/>
      <w:lvlJc w:val="left"/>
      <w:pPr>
        <w:ind w:left="0" w:firstLine="0"/>
      </w:pPr>
      <w:rPr>
        <w:rFonts w:hint="default"/>
      </w:rPr>
    </w:lvl>
    <w:lvl w:ilvl="1">
      <w:start w:val="1"/>
      <w:numFmt w:val="upperLetter"/>
      <w:pStyle w:val="Heading2"/>
      <w:suff w:val="nothing"/>
      <w:lvlText w:val="%2.   "/>
      <w:lvlJc w:val="left"/>
      <w:pPr>
        <w:ind w:left="0" w:firstLine="0"/>
      </w:pPr>
      <w:rPr>
        <w:rFonts w:hint="default"/>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num w:numId="1">
    <w:abstractNumId w:val="24"/>
  </w:num>
  <w:num w:numId="2">
    <w:abstractNumId w:val="24"/>
  </w:num>
  <w:num w:numId="3">
    <w:abstractNumId w:val="5"/>
  </w:num>
  <w:num w:numId="4">
    <w:abstractNumId w:val="5"/>
  </w:num>
  <w:num w:numId="5">
    <w:abstractNumId w:val="3"/>
  </w:num>
  <w:num w:numId="6">
    <w:abstractNumId w:val="3"/>
  </w:num>
  <w:num w:numId="7">
    <w:abstractNumId w:val="2"/>
  </w:num>
  <w:num w:numId="8">
    <w:abstractNumId w:val="2"/>
  </w:num>
  <w:num w:numId="9">
    <w:abstractNumId w:val="1"/>
  </w:num>
  <w:num w:numId="10">
    <w:abstractNumId w:val="1"/>
  </w:num>
  <w:num w:numId="11">
    <w:abstractNumId w:val="0"/>
  </w:num>
  <w:num w:numId="12">
    <w:abstractNumId w:val="0"/>
  </w:num>
  <w:num w:numId="13">
    <w:abstractNumId w:val="4"/>
  </w:num>
  <w:num w:numId="14">
    <w:abstractNumId w:val="4"/>
  </w:num>
  <w:num w:numId="15">
    <w:abstractNumId w:val="9"/>
  </w:num>
  <w:num w:numId="16">
    <w:abstractNumId w:val="11"/>
  </w:num>
  <w:num w:numId="17">
    <w:abstractNumId w:val="10"/>
  </w:num>
  <w:num w:numId="18">
    <w:abstractNumId w:val="17"/>
  </w:num>
  <w:num w:numId="19">
    <w:abstractNumId w:val="16"/>
  </w:num>
  <w:num w:numId="20">
    <w:abstractNumId w:val="13"/>
  </w:num>
  <w:num w:numId="21">
    <w:abstractNumId w:val="20"/>
  </w:num>
  <w:num w:numId="22">
    <w:abstractNumId w:val="14"/>
  </w:num>
  <w:num w:numId="23">
    <w:abstractNumId w:val="8"/>
  </w:num>
  <w:num w:numId="24">
    <w:abstractNumId w:val="6"/>
  </w:num>
  <w:num w:numId="25">
    <w:abstractNumId w:val="18"/>
  </w:num>
  <w:num w:numId="26">
    <w:abstractNumId w:val="15"/>
  </w:num>
  <w:num w:numId="27">
    <w:abstractNumId w:val="7"/>
  </w:num>
  <w:num w:numId="28">
    <w:abstractNumId w:val="21"/>
  </w:num>
  <w:num w:numId="29">
    <w:abstractNumId w:val="12"/>
  </w:num>
  <w:num w:numId="30">
    <w:abstractNumId w:val="22"/>
  </w:num>
  <w:num w:numId="31">
    <w:abstractNumId w:val="23"/>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FA4"/>
    <w:rsid w:val="00071399"/>
    <w:rsid w:val="00086FC8"/>
    <w:rsid w:val="0009452A"/>
    <w:rsid w:val="000A1AEE"/>
    <w:rsid w:val="000A2294"/>
    <w:rsid w:val="000B7010"/>
    <w:rsid w:val="000F759C"/>
    <w:rsid w:val="0014595D"/>
    <w:rsid w:val="001D081E"/>
    <w:rsid w:val="00232FB2"/>
    <w:rsid w:val="002351C0"/>
    <w:rsid w:val="00267447"/>
    <w:rsid w:val="00276D93"/>
    <w:rsid w:val="002868A0"/>
    <w:rsid w:val="002A5057"/>
    <w:rsid w:val="00325E95"/>
    <w:rsid w:val="003712A7"/>
    <w:rsid w:val="003748FE"/>
    <w:rsid w:val="003A7158"/>
    <w:rsid w:val="003B7F05"/>
    <w:rsid w:val="003D2443"/>
    <w:rsid w:val="00434163"/>
    <w:rsid w:val="00451C7E"/>
    <w:rsid w:val="00490FB9"/>
    <w:rsid w:val="004A59E5"/>
    <w:rsid w:val="00505492"/>
    <w:rsid w:val="00527B01"/>
    <w:rsid w:val="00531040"/>
    <w:rsid w:val="00551064"/>
    <w:rsid w:val="00573205"/>
    <w:rsid w:val="00591D85"/>
    <w:rsid w:val="005A2A5E"/>
    <w:rsid w:val="005C0460"/>
    <w:rsid w:val="005F722E"/>
    <w:rsid w:val="0060374F"/>
    <w:rsid w:val="0061550F"/>
    <w:rsid w:val="00665386"/>
    <w:rsid w:val="006D3487"/>
    <w:rsid w:val="006D4D27"/>
    <w:rsid w:val="006E0698"/>
    <w:rsid w:val="006F658C"/>
    <w:rsid w:val="0075129C"/>
    <w:rsid w:val="007C6BA2"/>
    <w:rsid w:val="007F5EE5"/>
    <w:rsid w:val="00803DD6"/>
    <w:rsid w:val="00823FA4"/>
    <w:rsid w:val="00824484"/>
    <w:rsid w:val="00845047"/>
    <w:rsid w:val="008A3DEB"/>
    <w:rsid w:val="008E38C5"/>
    <w:rsid w:val="008F7F29"/>
    <w:rsid w:val="00905B8E"/>
    <w:rsid w:val="009250AB"/>
    <w:rsid w:val="00934620"/>
    <w:rsid w:val="009369F0"/>
    <w:rsid w:val="00957285"/>
    <w:rsid w:val="00A862BD"/>
    <w:rsid w:val="00AD1BC4"/>
    <w:rsid w:val="00AF34FE"/>
    <w:rsid w:val="00AF5253"/>
    <w:rsid w:val="00B21B68"/>
    <w:rsid w:val="00B24C33"/>
    <w:rsid w:val="00B26C16"/>
    <w:rsid w:val="00BA3C17"/>
    <w:rsid w:val="00C45382"/>
    <w:rsid w:val="00C463BB"/>
    <w:rsid w:val="00C66062"/>
    <w:rsid w:val="00C87BE2"/>
    <w:rsid w:val="00CC1206"/>
    <w:rsid w:val="00CE4A79"/>
    <w:rsid w:val="00CE6B34"/>
    <w:rsid w:val="00D87E53"/>
    <w:rsid w:val="00DA7820"/>
    <w:rsid w:val="00DC4403"/>
    <w:rsid w:val="00E47ACE"/>
    <w:rsid w:val="00E74349"/>
    <w:rsid w:val="00E82F3E"/>
    <w:rsid w:val="00E96BF6"/>
    <w:rsid w:val="00ED16EA"/>
    <w:rsid w:val="00EF57C0"/>
    <w:rsid w:val="00EF61BA"/>
    <w:rsid w:val="00F078E4"/>
    <w:rsid w:val="00F21975"/>
    <w:rsid w:val="00F2443A"/>
    <w:rsid w:val="00F56381"/>
    <w:rsid w:val="00F965D4"/>
    <w:rsid w:val="00FA5E7A"/>
    <w:rsid w:val="00FD23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278B8D6"/>
  <w15:chartTrackingRefBased/>
  <w15:docId w15:val="{EACC8AAD-56D2-4D17-9137-10881FA96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iPriority="8" w:unhideWhenUsed="1"/>
    <w:lsdException w:name="index 2" w:semiHidden="1" w:uiPriority="8" w:unhideWhenUsed="1"/>
    <w:lsdException w:name="index 3" w:semiHidden="1" w:uiPriority="8" w:unhideWhenUsed="1"/>
    <w:lsdException w:name="index 4" w:semiHidden="1" w:uiPriority="8" w:unhideWhenUsed="1"/>
    <w:lsdException w:name="index 5" w:semiHidden="1" w:uiPriority="8" w:unhideWhenUsed="1"/>
    <w:lsdException w:name="index 6" w:semiHidden="1" w:uiPriority="8" w:unhideWhenUsed="1"/>
    <w:lsdException w:name="index 7" w:semiHidden="1" w:uiPriority="8" w:unhideWhenUsed="1"/>
    <w:lsdException w:name="index 8" w:semiHidden="1" w:uiPriority="8" w:unhideWhenUsed="1"/>
    <w:lsdException w:name="index 9" w:semiHidden="1" w:uiPriority="8" w:unhideWhenUsed="1"/>
    <w:lsdException w:name="toc 1" w:semiHidden="1" w:uiPriority="8" w:unhideWhenUsed="1"/>
    <w:lsdException w:name="toc 2" w:semiHidden="1" w:uiPriority="8" w:unhideWhenUsed="1"/>
    <w:lsdException w:name="toc 3" w:semiHidden="1" w:uiPriority="8" w:unhideWhenUsed="1"/>
    <w:lsdException w:name="toc 4" w:semiHidden="1" w:uiPriority="8" w:unhideWhenUsed="1"/>
    <w:lsdException w:name="toc 5" w:semiHidden="1" w:uiPriority="8" w:unhideWhenUsed="1"/>
    <w:lsdException w:name="toc 6" w:semiHidden="1" w:uiPriority="8" w:unhideWhenUsed="1"/>
    <w:lsdException w:name="toc 7" w:semiHidden="1" w:uiPriority="8" w:unhideWhenUsed="1"/>
    <w:lsdException w:name="toc 8" w:semiHidden="1" w:uiPriority="8" w:unhideWhenUsed="1"/>
    <w:lsdException w:name="toc 9" w:semiHidden="1" w:uiPriority="8"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iPriority="8"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DEB"/>
    <w:pPr>
      <w:spacing w:after="0" w:line="264" w:lineRule="auto"/>
    </w:pPr>
    <w:rPr>
      <w:rFonts w:ascii="Times New Roman" w:hAnsi="Times New Roman" w:cs="Times New Roman"/>
      <w:sz w:val="24"/>
      <w:szCs w:val="24"/>
    </w:rPr>
  </w:style>
  <w:style w:type="paragraph" w:styleId="Heading1">
    <w:name w:val="heading 1"/>
    <w:basedOn w:val="Normal"/>
    <w:next w:val="Normal"/>
    <w:link w:val="Heading1Char"/>
    <w:uiPriority w:val="3"/>
    <w:qFormat/>
    <w:rsid w:val="008A3DEB"/>
    <w:pPr>
      <w:keepNext/>
      <w:numPr>
        <w:numId w:val="2"/>
      </w:numPr>
      <w:spacing w:after="240"/>
      <w:jc w:val="center"/>
      <w:outlineLvl w:val="0"/>
    </w:pPr>
    <w:rPr>
      <w:rFonts w:cs="Arial"/>
      <w:b/>
      <w:bCs/>
      <w:smallCaps/>
      <w:kern w:val="28"/>
      <w:szCs w:val="32"/>
    </w:rPr>
  </w:style>
  <w:style w:type="paragraph" w:styleId="Heading2">
    <w:name w:val="heading 2"/>
    <w:basedOn w:val="Normal"/>
    <w:next w:val="Normal"/>
    <w:link w:val="Heading2Char"/>
    <w:uiPriority w:val="4"/>
    <w:qFormat/>
    <w:rsid w:val="008A3DEB"/>
    <w:pPr>
      <w:keepNext/>
      <w:numPr>
        <w:ilvl w:val="1"/>
        <w:numId w:val="2"/>
      </w:numPr>
      <w:spacing w:after="240"/>
      <w:jc w:val="center"/>
      <w:outlineLvl w:val="1"/>
    </w:pPr>
    <w:rPr>
      <w:rFonts w:cs="Arial"/>
      <w:b/>
      <w:bCs/>
      <w:iCs/>
      <w:szCs w:val="28"/>
    </w:rPr>
  </w:style>
  <w:style w:type="paragraph" w:styleId="Heading3">
    <w:name w:val="heading 3"/>
    <w:basedOn w:val="Normal"/>
    <w:next w:val="Normal"/>
    <w:link w:val="Heading3Char"/>
    <w:uiPriority w:val="5"/>
    <w:qFormat/>
    <w:rsid w:val="008A3DEB"/>
    <w:pPr>
      <w:keepNext/>
      <w:spacing w:after="240"/>
      <w:outlineLvl w:val="2"/>
    </w:pPr>
    <w:rPr>
      <w:rFonts w:cs="Arial"/>
      <w:b/>
      <w:bCs/>
      <w:szCs w:val="26"/>
    </w:rPr>
  </w:style>
  <w:style w:type="paragraph" w:styleId="Heading4">
    <w:name w:val="heading 4"/>
    <w:basedOn w:val="Normal"/>
    <w:next w:val="Normal"/>
    <w:link w:val="Heading4Char"/>
    <w:uiPriority w:val="6"/>
    <w:qFormat/>
    <w:rsid w:val="008A3DEB"/>
    <w:pPr>
      <w:keepNext/>
      <w:spacing w:after="240"/>
      <w:outlineLvl w:val="3"/>
    </w:pPr>
    <w:rPr>
      <w:b/>
      <w:bCs/>
      <w:i/>
      <w:szCs w:val="28"/>
    </w:rPr>
  </w:style>
  <w:style w:type="paragraph" w:styleId="Heading5">
    <w:name w:val="heading 5"/>
    <w:basedOn w:val="Normal"/>
    <w:next w:val="Normal"/>
    <w:link w:val="Heading5Char"/>
    <w:uiPriority w:val="7"/>
    <w:qFormat/>
    <w:rsid w:val="008A3DEB"/>
    <w:pPr>
      <w:keepNext/>
      <w:spacing w:after="240"/>
      <w:outlineLvl w:val="4"/>
    </w:pPr>
    <w:rPr>
      <w:bCs/>
      <w:i/>
      <w:iCs/>
      <w:szCs w:val="26"/>
    </w:rPr>
  </w:style>
  <w:style w:type="paragraph" w:styleId="Heading6">
    <w:name w:val="heading 6"/>
    <w:basedOn w:val="Normal"/>
    <w:next w:val="Normal"/>
    <w:link w:val="Heading6Char"/>
    <w:uiPriority w:val="8"/>
    <w:rsid w:val="008A3DEB"/>
    <w:pPr>
      <w:outlineLvl w:val="5"/>
    </w:pPr>
    <w:rPr>
      <w:bCs/>
      <w:szCs w:val="22"/>
    </w:rPr>
  </w:style>
  <w:style w:type="paragraph" w:styleId="Heading7">
    <w:name w:val="heading 7"/>
    <w:basedOn w:val="Normal"/>
    <w:next w:val="Normal"/>
    <w:link w:val="Heading7Char"/>
    <w:uiPriority w:val="8"/>
    <w:rsid w:val="008A3DEB"/>
    <w:pPr>
      <w:outlineLvl w:val="6"/>
    </w:pPr>
  </w:style>
  <w:style w:type="paragraph" w:styleId="Heading8">
    <w:name w:val="heading 8"/>
    <w:basedOn w:val="Normal"/>
    <w:next w:val="Normal"/>
    <w:link w:val="Heading8Char"/>
    <w:uiPriority w:val="8"/>
    <w:rsid w:val="008A3DEB"/>
    <w:pPr>
      <w:outlineLvl w:val="7"/>
    </w:pPr>
    <w:rPr>
      <w:iCs/>
    </w:rPr>
  </w:style>
  <w:style w:type="paragraph" w:styleId="Heading9">
    <w:name w:val="heading 9"/>
    <w:basedOn w:val="Normal"/>
    <w:next w:val="Normal"/>
    <w:link w:val="Heading9Char"/>
    <w:uiPriority w:val="8"/>
    <w:rsid w:val="008A3DEB"/>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uiPriority w:val="8"/>
    <w:qFormat/>
    <w:rsid w:val="008A3DEB"/>
    <w:pPr>
      <w:jc w:val="center"/>
    </w:pPr>
    <w:rPr>
      <w:b/>
    </w:rPr>
  </w:style>
  <w:style w:type="paragraph" w:styleId="BodyText">
    <w:name w:val="Body Text"/>
    <w:basedOn w:val="Normal"/>
    <w:link w:val="BodyTextChar"/>
    <w:uiPriority w:val="8"/>
    <w:rsid w:val="008A3DEB"/>
    <w:pPr>
      <w:spacing w:after="120"/>
    </w:pPr>
  </w:style>
  <w:style w:type="character" w:customStyle="1" w:styleId="BodyTextChar">
    <w:name w:val="Body Text Char"/>
    <w:basedOn w:val="DefaultParagraphFont"/>
    <w:link w:val="BodyText"/>
    <w:uiPriority w:val="8"/>
    <w:rsid w:val="008A3DEB"/>
    <w:rPr>
      <w:rFonts w:ascii="Times New Roman" w:hAnsi="Times New Roman" w:cs="Times New Roman"/>
      <w:sz w:val="24"/>
      <w:szCs w:val="24"/>
    </w:rPr>
  </w:style>
  <w:style w:type="paragraph" w:styleId="Footer">
    <w:name w:val="footer"/>
    <w:basedOn w:val="Normal"/>
    <w:link w:val="FooterChar"/>
    <w:uiPriority w:val="8"/>
    <w:rsid w:val="008A3DEB"/>
    <w:pPr>
      <w:tabs>
        <w:tab w:val="center" w:pos="4320"/>
        <w:tab w:val="right" w:pos="8640"/>
      </w:tabs>
    </w:pPr>
  </w:style>
  <w:style w:type="character" w:customStyle="1" w:styleId="FooterChar">
    <w:name w:val="Footer Char"/>
    <w:basedOn w:val="DefaultParagraphFont"/>
    <w:link w:val="Footer"/>
    <w:uiPriority w:val="8"/>
    <w:rsid w:val="008A3DEB"/>
    <w:rPr>
      <w:rFonts w:ascii="Times New Roman" w:hAnsi="Times New Roman" w:cs="Times New Roman"/>
      <w:sz w:val="24"/>
      <w:szCs w:val="24"/>
    </w:rPr>
  </w:style>
  <w:style w:type="character" w:styleId="FootnoteReference">
    <w:name w:val="footnote reference"/>
    <w:basedOn w:val="DefaultParagraphFont"/>
    <w:uiPriority w:val="8"/>
    <w:rsid w:val="008A3DEB"/>
    <w:rPr>
      <w:sz w:val="20"/>
      <w:vertAlign w:val="superscript"/>
    </w:rPr>
  </w:style>
  <w:style w:type="paragraph" w:styleId="FootnoteText">
    <w:name w:val="footnote text"/>
    <w:basedOn w:val="Normal"/>
    <w:link w:val="FootnoteTextChar"/>
    <w:uiPriority w:val="8"/>
    <w:rsid w:val="008A3DEB"/>
    <w:pPr>
      <w:spacing w:after="200"/>
    </w:pPr>
    <w:rPr>
      <w:sz w:val="20"/>
      <w:szCs w:val="20"/>
    </w:rPr>
  </w:style>
  <w:style w:type="character" w:customStyle="1" w:styleId="FootnoteTextChar">
    <w:name w:val="Footnote Text Char"/>
    <w:basedOn w:val="DefaultParagraphFont"/>
    <w:link w:val="FootnoteText"/>
    <w:uiPriority w:val="8"/>
    <w:rsid w:val="008A3DEB"/>
    <w:rPr>
      <w:rFonts w:ascii="Times New Roman" w:hAnsi="Times New Roman" w:cs="Times New Roman"/>
      <w:sz w:val="20"/>
      <w:szCs w:val="20"/>
    </w:rPr>
  </w:style>
  <w:style w:type="paragraph" w:styleId="Header">
    <w:name w:val="header"/>
    <w:basedOn w:val="Normal"/>
    <w:link w:val="HeaderChar"/>
    <w:uiPriority w:val="99"/>
    <w:rsid w:val="008A3DEB"/>
    <w:pPr>
      <w:tabs>
        <w:tab w:val="center" w:pos="4320"/>
        <w:tab w:val="right" w:pos="8640"/>
      </w:tabs>
    </w:pPr>
  </w:style>
  <w:style w:type="character" w:customStyle="1" w:styleId="HeaderChar">
    <w:name w:val="Header Char"/>
    <w:basedOn w:val="DefaultParagraphFont"/>
    <w:link w:val="Header"/>
    <w:uiPriority w:val="99"/>
    <w:rsid w:val="008A3DEB"/>
    <w:rPr>
      <w:rFonts w:ascii="Times New Roman" w:hAnsi="Times New Roman" w:cs="Times New Roman"/>
      <w:sz w:val="24"/>
      <w:szCs w:val="24"/>
    </w:rPr>
  </w:style>
  <w:style w:type="character" w:customStyle="1" w:styleId="Heading1Char">
    <w:name w:val="Heading 1 Char"/>
    <w:basedOn w:val="DefaultParagraphFont"/>
    <w:link w:val="Heading1"/>
    <w:uiPriority w:val="3"/>
    <w:rsid w:val="008A3DEB"/>
    <w:rPr>
      <w:rFonts w:ascii="Times New Roman" w:hAnsi="Times New Roman" w:cs="Arial"/>
      <w:b/>
      <w:bCs/>
      <w:smallCaps/>
      <w:kern w:val="28"/>
      <w:sz w:val="24"/>
      <w:szCs w:val="32"/>
    </w:rPr>
  </w:style>
  <w:style w:type="character" w:customStyle="1" w:styleId="Heading2Char">
    <w:name w:val="Heading 2 Char"/>
    <w:basedOn w:val="DefaultParagraphFont"/>
    <w:link w:val="Heading2"/>
    <w:uiPriority w:val="4"/>
    <w:rsid w:val="008A3DEB"/>
    <w:rPr>
      <w:rFonts w:ascii="Times New Roman" w:hAnsi="Times New Roman" w:cs="Arial"/>
      <w:b/>
      <w:bCs/>
      <w:iCs/>
      <w:sz w:val="24"/>
      <w:szCs w:val="28"/>
    </w:rPr>
  </w:style>
  <w:style w:type="character" w:customStyle="1" w:styleId="Heading3Char">
    <w:name w:val="Heading 3 Char"/>
    <w:basedOn w:val="DefaultParagraphFont"/>
    <w:link w:val="Heading3"/>
    <w:uiPriority w:val="5"/>
    <w:rsid w:val="008A3DEB"/>
    <w:rPr>
      <w:rFonts w:ascii="Times New Roman" w:hAnsi="Times New Roman" w:cs="Arial"/>
      <w:b/>
      <w:bCs/>
      <w:sz w:val="24"/>
      <w:szCs w:val="26"/>
    </w:rPr>
  </w:style>
  <w:style w:type="character" w:customStyle="1" w:styleId="Heading4Char">
    <w:name w:val="Heading 4 Char"/>
    <w:basedOn w:val="DefaultParagraphFont"/>
    <w:link w:val="Heading4"/>
    <w:uiPriority w:val="6"/>
    <w:rsid w:val="008A3DEB"/>
    <w:rPr>
      <w:rFonts w:ascii="Times New Roman" w:hAnsi="Times New Roman" w:cs="Times New Roman"/>
      <w:b/>
      <w:bCs/>
      <w:i/>
      <w:sz w:val="24"/>
      <w:szCs w:val="28"/>
    </w:rPr>
  </w:style>
  <w:style w:type="character" w:customStyle="1" w:styleId="Heading5Char">
    <w:name w:val="Heading 5 Char"/>
    <w:basedOn w:val="DefaultParagraphFont"/>
    <w:link w:val="Heading5"/>
    <w:uiPriority w:val="7"/>
    <w:rsid w:val="008A3DEB"/>
    <w:rPr>
      <w:rFonts w:ascii="Times New Roman" w:hAnsi="Times New Roman" w:cs="Times New Roman"/>
      <w:bCs/>
      <w:i/>
      <w:iCs/>
      <w:sz w:val="24"/>
      <w:szCs w:val="26"/>
    </w:rPr>
  </w:style>
  <w:style w:type="character" w:customStyle="1" w:styleId="Heading6Char">
    <w:name w:val="Heading 6 Char"/>
    <w:basedOn w:val="DefaultParagraphFont"/>
    <w:link w:val="Heading6"/>
    <w:uiPriority w:val="8"/>
    <w:rsid w:val="008A3DEB"/>
    <w:rPr>
      <w:rFonts w:ascii="Times New Roman" w:hAnsi="Times New Roman" w:cs="Times New Roman"/>
      <w:bCs/>
      <w:sz w:val="24"/>
    </w:rPr>
  </w:style>
  <w:style w:type="character" w:customStyle="1" w:styleId="Heading7Char">
    <w:name w:val="Heading 7 Char"/>
    <w:basedOn w:val="DefaultParagraphFont"/>
    <w:link w:val="Heading7"/>
    <w:uiPriority w:val="8"/>
    <w:rsid w:val="008A3DEB"/>
    <w:rPr>
      <w:rFonts w:ascii="Times New Roman" w:hAnsi="Times New Roman" w:cs="Times New Roman"/>
      <w:sz w:val="24"/>
      <w:szCs w:val="24"/>
    </w:rPr>
  </w:style>
  <w:style w:type="character" w:customStyle="1" w:styleId="Heading8Char">
    <w:name w:val="Heading 8 Char"/>
    <w:basedOn w:val="DefaultParagraphFont"/>
    <w:link w:val="Heading8"/>
    <w:uiPriority w:val="8"/>
    <w:rsid w:val="008A3DEB"/>
    <w:rPr>
      <w:rFonts w:ascii="Times New Roman" w:hAnsi="Times New Roman" w:cs="Times New Roman"/>
      <w:iCs/>
      <w:sz w:val="24"/>
      <w:szCs w:val="24"/>
    </w:rPr>
  </w:style>
  <w:style w:type="character" w:customStyle="1" w:styleId="Heading9Char">
    <w:name w:val="Heading 9 Char"/>
    <w:basedOn w:val="DefaultParagraphFont"/>
    <w:link w:val="Heading9"/>
    <w:uiPriority w:val="8"/>
    <w:rsid w:val="008A3DEB"/>
    <w:rPr>
      <w:rFonts w:ascii="Times New Roman" w:hAnsi="Times New Roman" w:cs="Arial"/>
      <w:sz w:val="24"/>
    </w:rPr>
  </w:style>
  <w:style w:type="paragraph" w:customStyle="1" w:styleId="Indent">
    <w:name w:val="Indent"/>
    <w:basedOn w:val="Normal"/>
    <w:uiPriority w:val="8"/>
    <w:qFormat/>
    <w:rsid w:val="008A3DEB"/>
    <w:pPr>
      <w:ind w:left="720" w:hanging="720"/>
    </w:pPr>
  </w:style>
  <w:style w:type="paragraph" w:styleId="Index1">
    <w:name w:val="index 1"/>
    <w:basedOn w:val="Normal"/>
    <w:next w:val="Normal"/>
    <w:uiPriority w:val="8"/>
    <w:rsid w:val="008A3DEB"/>
    <w:pPr>
      <w:ind w:left="240" w:hanging="240"/>
    </w:pPr>
  </w:style>
  <w:style w:type="paragraph" w:styleId="Index2">
    <w:name w:val="index 2"/>
    <w:basedOn w:val="Normal"/>
    <w:next w:val="Normal"/>
    <w:uiPriority w:val="8"/>
    <w:rsid w:val="008A3DEB"/>
    <w:pPr>
      <w:ind w:left="480" w:hanging="240"/>
    </w:pPr>
  </w:style>
  <w:style w:type="paragraph" w:styleId="Index3">
    <w:name w:val="index 3"/>
    <w:basedOn w:val="Normal"/>
    <w:next w:val="Normal"/>
    <w:uiPriority w:val="8"/>
    <w:rsid w:val="008A3DEB"/>
    <w:pPr>
      <w:ind w:left="720" w:hanging="240"/>
    </w:pPr>
  </w:style>
  <w:style w:type="paragraph" w:styleId="Index4">
    <w:name w:val="index 4"/>
    <w:basedOn w:val="Normal"/>
    <w:next w:val="Normal"/>
    <w:uiPriority w:val="8"/>
    <w:rsid w:val="008A3DEB"/>
    <w:pPr>
      <w:ind w:left="960" w:hanging="240"/>
    </w:pPr>
  </w:style>
  <w:style w:type="paragraph" w:styleId="Index5">
    <w:name w:val="index 5"/>
    <w:basedOn w:val="Normal"/>
    <w:next w:val="Normal"/>
    <w:uiPriority w:val="8"/>
    <w:rsid w:val="008A3DEB"/>
    <w:pPr>
      <w:ind w:left="1200" w:hanging="240"/>
    </w:pPr>
  </w:style>
  <w:style w:type="paragraph" w:styleId="Index6">
    <w:name w:val="index 6"/>
    <w:basedOn w:val="Normal"/>
    <w:next w:val="Normal"/>
    <w:uiPriority w:val="8"/>
    <w:rsid w:val="008A3DEB"/>
    <w:pPr>
      <w:ind w:left="1440" w:hanging="240"/>
    </w:pPr>
  </w:style>
  <w:style w:type="paragraph" w:styleId="Index7">
    <w:name w:val="index 7"/>
    <w:basedOn w:val="Normal"/>
    <w:next w:val="Normal"/>
    <w:uiPriority w:val="8"/>
    <w:rsid w:val="008A3DEB"/>
    <w:pPr>
      <w:ind w:left="1680" w:hanging="240"/>
    </w:pPr>
  </w:style>
  <w:style w:type="paragraph" w:styleId="Index8">
    <w:name w:val="index 8"/>
    <w:basedOn w:val="Normal"/>
    <w:next w:val="Normal"/>
    <w:uiPriority w:val="8"/>
    <w:rsid w:val="008A3DEB"/>
    <w:pPr>
      <w:ind w:left="1920" w:hanging="240"/>
    </w:pPr>
  </w:style>
  <w:style w:type="paragraph" w:styleId="Index9">
    <w:name w:val="index 9"/>
    <w:basedOn w:val="Normal"/>
    <w:next w:val="Normal"/>
    <w:uiPriority w:val="8"/>
    <w:rsid w:val="008A3DEB"/>
    <w:pPr>
      <w:ind w:left="2160" w:hanging="240"/>
    </w:pPr>
  </w:style>
  <w:style w:type="paragraph" w:styleId="ListBullet">
    <w:name w:val="List Bullet"/>
    <w:basedOn w:val="Normal"/>
    <w:uiPriority w:val="2"/>
    <w:qFormat/>
    <w:rsid w:val="008A3DEB"/>
    <w:pPr>
      <w:numPr>
        <w:numId w:val="4"/>
      </w:numPr>
      <w:spacing w:after="240"/>
    </w:pPr>
  </w:style>
  <w:style w:type="paragraph" w:styleId="ListBullet2">
    <w:name w:val="List Bullet 2"/>
    <w:basedOn w:val="Normal"/>
    <w:uiPriority w:val="8"/>
    <w:rsid w:val="008A3DEB"/>
    <w:pPr>
      <w:numPr>
        <w:numId w:val="6"/>
      </w:numPr>
    </w:pPr>
  </w:style>
  <w:style w:type="paragraph" w:styleId="ListBullet3">
    <w:name w:val="List Bullet 3"/>
    <w:basedOn w:val="Normal"/>
    <w:uiPriority w:val="8"/>
    <w:rsid w:val="008A3DEB"/>
    <w:pPr>
      <w:numPr>
        <w:numId w:val="8"/>
      </w:numPr>
    </w:pPr>
  </w:style>
  <w:style w:type="paragraph" w:styleId="ListBullet4">
    <w:name w:val="List Bullet 4"/>
    <w:basedOn w:val="Normal"/>
    <w:uiPriority w:val="8"/>
    <w:rsid w:val="008A3DEB"/>
    <w:pPr>
      <w:numPr>
        <w:numId w:val="10"/>
      </w:numPr>
    </w:pPr>
  </w:style>
  <w:style w:type="paragraph" w:styleId="ListBullet5">
    <w:name w:val="List Bullet 5"/>
    <w:basedOn w:val="Normal"/>
    <w:uiPriority w:val="8"/>
    <w:rsid w:val="008A3DEB"/>
    <w:pPr>
      <w:numPr>
        <w:numId w:val="12"/>
      </w:numPr>
    </w:pPr>
  </w:style>
  <w:style w:type="paragraph" w:styleId="ListNumber">
    <w:name w:val="List Number"/>
    <w:basedOn w:val="Normal"/>
    <w:uiPriority w:val="8"/>
    <w:rsid w:val="008A3DEB"/>
    <w:pPr>
      <w:numPr>
        <w:numId w:val="14"/>
      </w:numPr>
      <w:contextualSpacing/>
    </w:pPr>
  </w:style>
  <w:style w:type="paragraph" w:styleId="ListParagraph">
    <w:name w:val="List Paragraph"/>
    <w:basedOn w:val="Normal"/>
    <w:uiPriority w:val="42"/>
    <w:rsid w:val="008A3DEB"/>
    <w:pPr>
      <w:ind w:left="720"/>
      <w:contextualSpacing/>
    </w:pPr>
  </w:style>
  <w:style w:type="paragraph" w:customStyle="1" w:styleId="ParagraphNumbering">
    <w:name w:val="Paragraph Numbering"/>
    <w:basedOn w:val="Normal"/>
    <w:uiPriority w:val="1"/>
    <w:qFormat/>
    <w:rsid w:val="008A3DEB"/>
    <w:pPr>
      <w:spacing w:after="240"/>
    </w:pPr>
  </w:style>
  <w:style w:type="paragraph" w:styleId="Title">
    <w:name w:val="Title"/>
    <w:basedOn w:val="Normal"/>
    <w:link w:val="TitleChar"/>
    <w:uiPriority w:val="8"/>
    <w:rsid w:val="008A3DE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8"/>
    <w:rsid w:val="008A3DEB"/>
    <w:rPr>
      <w:rFonts w:ascii="Arial" w:hAnsi="Arial" w:cs="Arial"/>
      <w:b/>
      <w:bCs/>
      <w:kern w:val="28"/>
      <w:sz w:val="32"/>
      <w:szCs w:val="32"/>
    </w:rPr>
  </w:style>
  <w:style w:type="paragraph" w:styleId="TOC1">
    <w:name w:val="toc 1"/>
    <w:basedOn w:val="Normal"/>
    <w:next w:val="Normal"/>
    <w:uiPriority w:val="8"/>
    <w:rsid w:val="008A3DEB"/>
  </w:style>
  <w:style w:type="paragraph" w:styleId="TOC2">
    <w:name w:val="toc 2"/>
    <w:basedOn w:val="Normal"/>
    <w:next w:val="Normal"/>
    <w:uiPriority w:val="8"/>
    <w:rsid w:val="008A3DEB"/>
    <w:pPr>
      <w:ind w:left="240"/>
    </w:pPr>
  </w:style>
  <w:style w:type="paragraph" w:styleId="TOC3">
    <w:name w:val="toc 3"/>
    <w:basedOn w:val="Normal"/>
    <w:next w:val="Normal"/>
    <w:uiPriority w:val="8"/>
    <w:rsid w:val="008A3DEB"/>
    <w:pPr>
      <w:ind w:left="480"/>
    </w:pPr>
  </w:style>
  <w:style w:type="paragraph" w:styleId="TOC4">
    <w:name w:val="toc 4"/>
    <w:basedOn w:val="Normal"/>
    <w:next w:val="Normal"/>
    <w:uiPriority w:val="8"/>
    <w:rsid w:val="008A3DEB"/>
    <w:pPr>
      <w:ind w:left="720"/>
    </w:pPr>
  </w:style>
  <w:style w:type="paragraph" w:styleId="TOC5">
    <w:name w:val="toc 5"/>
    <w:basedOn w:val="Normal"/>
    <w:next w:val="Normal"/>
    <w:uiPriority w:val="8"/>
    <w:rsid w:val="008A3DEB"/>
    <w:pPr>
      <w:ind w:left="960"/>
    </w:pPr>
  </w:style>
  <w:style w:type="paragraph" w:styleId="TOC6">
    <w:name w:val="toc 6"/>
    <w:basedOn w:val="Normal"/>
    <w:next w:val="Normal"/>
    <w:uiPriority w:val="8"/>
    <w:rsid w:val="008A3DEB"/>
    <w:pPr>
      <w:ind w:left="1200"/>
    </w:pPr>
  </w:style>
  <w:style w:type="paragraph" w:styleId="TOC7">
    <w:name w:val="toc 7"/>
    <w:basedOn w:val="Normal"/>
    <w:next w:val="Normal"/>
    <w:uiPriority w:val="8"/>
    <w:rsid w:val="008A3DEB"/>
    <w:pPr>
      <w:ind w:left="1440"/>
    </w:pPr>
  </w:style>
  <w:style w:type="paragraph" w:styleId="TOC8">
    <w:name w:val="toc 8"/>
    <w:basedOn w:val="Normal"/>
    <w:next w:val="Normal"/>
    <w:uiPriority w:val="8"/>
    <w:rsid w:val="008A3DEB"/>
    <w:pPr>
      <w:ind w:left="1680"/>
    </w:pPr>
  </w:style>
  <w:style w:type="paragraph" w:styleId="TOC9">
    <w:name w:val="toc 9"/>
    <w:basedOn w:val="Normal"/>
    <w:next w:val="Normal"/>
    <w:uiPriority w:val="8"/>
    <w:rsid w:val="008A3DEB"/>
    <w:pPr>
      <w:ind w:left="1920"/>
    </w:pPr>
  </w:style>
  <w:style w:type="paragraph" w:customStyle="1" w:styleId="UnNumberedHeading1">
    <w:name w:val="UnNumbered Heading 1"/>
    <w:basedOn w:val="Normal"/>
    <w:next w:val="Normal"/>
    <w:uiPriority w:val="8"/>
    <w:rsid w:val="008A3DEB"/>
    <w:pPr>
      <w:jc w:val="center"/>
    </w:pPr>
    <w:rPr>
      <w:b/>
      <w:smallCaps/>
    </w:rPr>
  </w:style>
  <w:style w:type="character" w:styleId="PageNumber">
    <w:name w:val="page number"/>
    <w:basedOn w:val="DefaultParagraphFont"/>
    <w:uiPriority w:val="99"/>
    <w:semiHidden/>
    <w:unhideWhenUsed/>
    <w:rsid w:val="005F722E"/>
  </w:style>
  <w:style w:type="paragraph" w:styleId="EndnoteText">
    <w:name w:val="endnote text"/>
    <w:basedOn w:val="Normal"/>
    <w:link w:val="EndnoteTextChar"/>
    <w:uiPriority w:val="99"/>
    <w:semiHidden/>
    <w:unhideWhenUsed/>
    <w:rsid w:val="00490FB9"/>
    <w:pPr>
      <w:spacing w:line="240" w:lineRule="auto"/>
    </w:pPr>
    <w:rPr>
      <w:sz w:val="20"/>
      <w:szCs w:val="20"/>
    </w:rPr>
  </w:style>
  <w:style w:type="character" w:customStyle="1" w:styleId="EndnoteTextChar">
    <w:name w:val="Endnote Text Char"/>
    <w:basedOn w:val="DefaultParagraphFont"/>
    <w:link w:val="EndnoteText"/>
    <w:uiPriority w:val="99"/>
    <w:semiHidden/>
    <w:rsid w:val="00490FB9"/>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490FB9"/>
    <w:rPr>
      <w:vertAlign w:val="superscript"/>
    </w:rPr>
  </w:style>
  <w:style w:type="character" w:styleId="PlaceholderText">
    <w:name w:val="Placeholder Text"/>
    <w:basedOn w:val="DefaultParagraphFont"/>
    <w:uiPriority w:val="99"/>
    <w:semiHidden/>
    <w:rsid w:val="00434163"/>
    <w:rPr>
      <w:color w:val="808080"/>
    </w:rPr>
  </w:style>
  <w:style w:type="character" w:styleId="Hyperlink">
    <w:name w:val="Hyperlink"/>
    <w:basedOn w:val="DefaultParagraphFont"/>
    <w:uiPriority w:val="99"/>
    <w:unhideWhenUsed/>
    <w:rsid w:val="006D3487"/>
    <w:rPr>
      <w:color w:val="0563C1" w:themeColor="hyperlink"/>
      <w:u w:val="single"/>
    </w:rPr>
  </w:style>
  <w:style w:type="character" w:styleId="UnresolvedMention">
    <w:name w:val="Unresolved Mention"/>
    <w:basedOn w:val="DefaultParagraphFont"/>
    <w:uiPriority w:val="99"/>
    <w:semiHidden/>
    <w:unhideWhenUsed/>
    <w:rsid w:val="006D348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2.bin"/><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wmf"/><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1.bin"/><Relationship Id="rId28" Type="http://schemas.openxmlformats.org/officeDocument/2006/relationships/oleObject" Target="embeddings/oleObject4.bin"/><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wmf"/><Relationship Id="rId27" Type="http://schemas.openxmlformats.org/officeDocument/2006/relationships/image" Target="media/image17.wmf"/><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mailto:cwang2@imf.org" TargetMode="External"/><Relationship Id="rId2" Type="http://schemas.openxmlformats.org/officeDocument/2006/relationships/hyperlink" Target="mailto:kmoriya@imf.org" TargetMode="External"/><Relationship Id="rId1" Type="http://schemas.openxmlformats.org/officeDocument/2006/relationships/hyperlink" Target="mailto:rlafarguette@im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E4A26-4D99-468B-A184-63B34169D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11</Pages>
  <Words>1607</Words>
  <Characters>9162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 Kei</dc:creator>
  <cp:keywords/>
  <dc:description/>
  <cp:lastModifiedBy>Lafarguette, Romain</cp:lastModifiedBy>
  <cp:revision>49</cp:revision>
  <dcterms:created xsi:type="dcterms:W3CDTF">2018-06-06T14:15:00Z</dcterms:created>
  <dcterms:modified xsi:type="dcterms:W3CDTF">2019-02-15T14:13:00Z</dcterms:modified>
</cp:coreProperties>
</file>