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C2" w:rsidRPr="00436A55" w:rsidRDefault="00436A55" w:rsidP="00D41E6C">
      <w:pPr>
        <w:jc w:val="both"/>
        <w:rPr>
          <w:b/>
          <w:sz w:val="24"/>
          <w:szCs w:val="24"/>
        </w:rPr>
      </w:pPr>
      <w:r w:rsidRPr="00436A55">
        <w:rPr>
          <w:b/>
          <w:sz w:val="24"/>
          <w:szCs w:val="24"/>
        </w:rPr>
        <w:t>EA_PV15</w:t>
      </w:r>
    </w:p>
    <w:p w:rsidR="00436A55" w:rsidRPr="00D41E6C" w:rsidRDefault="00436A55" w:rsidP="00D41E6C">
      <w:pPr>
        <w:jc w:val="both"/>
      </w:pPr>
    </w:p>
    <w:p w:rsidR="00436A55" w:rsidRPr="00D41E6C" w:rsidRDefault="00B807DB" w:rsidP="00D41E6C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lang w:val="en-US"/>
        </w:rPr>
      </w:pPr>
      <w:proofErr w:type="spellStart"/>
      <w:r w:rsidRPr="00D41E6C">
        <w:rPr>
          <w:rFonts w:cs="CMR10"/>
          <w:lang w:val="en-US"/>
        </w:rPr>
        <w:t>Poutineau</w:t>
      </w:r>
      <w:proofErr w:type="spellEnd"/>
      <w:r w:rsidRPr="00D41E6C">
        <w:rPr>
          <w:rFonts w:cs="CMR10"/>
          <w:lang w:val="en-US"/>
        </w:rPr>
        <w:t xml:space="preserve"> and Vermandel (2015)</w:t>
      </w:r>
      <w:r w:rsidR="00436A55" w:rsidRPr="00D41E6C">
        <w:rPr>
          <w:rFonts w:cs="CMR10"/>
          <w:lang w:val="en-US"/>
        </w:rPr>
        <w:t xml:space="preserve"> evaluate quantitatively how inte</w:t>
      </w:r>
      <w:r w:rsidRPr="00D41E6C">
        <w:rPr>
          <w:rFonts w:cs="CMR10"/>
          <w:lang w:val="en-US"/>
        </w:rPr>
        <w:t>rbank and corporate cross-border fl</w:t>
      </w:r>
      <w:r w:rsidR="00436A55" w:rsidRPr="00D41E6C">
        <w:rPr>
          <w:rFonts w:cs="CMR10"/>
          <w:lang w:val="en-US"/>
        </w:rPr>
        <w:t xml:space="preserve">ows shape business cycles in a monetary union. </w:t>
      </w:r>
      <w:r w:rsidR="008D251F" w:rsidRPr="00D41E6C">
        <w:rPr>
          <w:rFonts w:cs="CMR10"/>
          <w:lang w:val="en-US"/>
        </w:rPr>
        <w:t>They estimate</w:t>
      </w:r>
      <w:r w:rsidR="00436A55" w:rsidRPr="00D41E6C">
        <w:rPr>
          <w:rFonts w:cs="CMR10"/>
          <w:lang w:val="en-US"/>
        </w:rPr>
        <w:t xml:space="preserve"> a two-country DSGE model </w:t>
      </w:r>
      <w:r w:rsidR="009C3E45">
        <w:rPr>
          <w:rFonts w:cs="CMR10"/>
          <w:lang w:val="en-US"/>
        </w:rPr>
        <w:t>(equal-</w:t>
      </w:r>
      <w:r w:rsidR="008D251F" w:rsidRPr="00D41E6C">
        <w:rPr>
          <w:rFonts w:cs="CMR10"/>
          <w:lang w:val="en-US"/>
        </w:rPr>
        <w:t xml:space="preserve">size </w:t>
      </w:r>
      <w:r w:rsidR="008D251F" w:rsidRPr="00D41E6C">
        <w:rPr>
          <w:rFonts w:cs="CMR10"/>
          <w:lang w:val="en-US"/>
        </w:rPr>
        <w:t>Eurozone</w:t>
      </w:r>
      <w:r w:rsidR="008D251F" w:rsidRPr="00D41E6C">
        <w:rPr>
          <w:rFonts w:cs="CMR10"/>
          <w:lang w:val="en-US"/>
        </w:rPr>
        <w:t xml:space="preserve"> </w:t>
      </w:r>
      <w:r w:rsidR="008D251F" w:rsidRPr="00D41E6C">
        <w:rPr>
          <w:rFonts w:cs="CMR10"/>
          <w:lang w:val="en-US"/>
        </w:rPr>
        <w:t>core and peripheral countries</w:t>
      </w:r>
      <w:r w:rsidR="008D251F" w:rsidRPr="00D41E6C">
        <w:rPr>
          <w:rFonts w:cs="CMR10"/>
          <w:lang w:val="en-US"/>
        </w:rPr>
        <w:t xml:space="preserve">) that </w:t>
      </w:r>
      <w:r w:rsidR="00436A55" w:rsidRPr="00D41E6C">
        <w:rPr>
          <w:rFonts w:cs="CMR10"/>
          <w:lang w:val="en-US"/>
        </w:rPr>
        <w:t>accounts for</w:t>
      </w:r>
      <w:r w:rsidR="008D251F" w:rsidRPr="00D41E6C">
        <w:rPr>
          <w:rFonts w:cs="CMR10"/>
          <w:lang w:val="en-US"/>
        </w:rPr>
        <w:t xml:space="preserve"> national heterogeneities and a set of real, nominal and fi</w:t>
      </w:r>
      <w:r w:rsidR="00436A55" w:rsidRPr="00D41E6C">
        <w:rPr>
          <w:rFonts w:cs="CMR10"/>
          <w:lang w:val="en-US"/>
        </w:rPr>
        <w:t xml:space="preserve">nancial frictions. </w:t>
      </w:r>
      <w:r w:rsidR="008D251F" w:rsidRPr="00D41E6C">
        <w:rPr>
          <w:rFonts w:cs="CMR12"/>
          <w:lang w:val="en-US"/>
        </w:rPr>
        <w:t xml:space="preserve">Each country </w:t>
      </w:r>
      <w:r w:rsidR="008D251F" w:rsidRPr="00D41E6C">
        <w:rPr>
          <w:rFonts w:cs="CMR12"/>
          <w:lang w:val="en-US"/>
        </w:rPr>
        <w:t xml:space="preserve">is </w:t>
      </w:r>
      <w:r w:rsidR="008D251F" w:rsidRPr="00D41E6C">
        <w:rPr>
          <w:rFonts w:cs="CMR12"/>
          <w:lang w:val="en-US"/>
        </w:rPr>
        <w:t xml:space="preserve">populated by consumers, </w:t>
      </w:r>
      <w:r w:rsidR="008D251F" w:rsidRPr="00D41E6C">
        <w:rPr>
          <w:rFonts w:cs="CMR12"/>
          <w:lang w:val="en-US"/>
        </w:rPr>
        <w:t xml:space="preserve">labor unions, intermediate and final producers, entrepreneurs, </w:t>
      </w:r>
      <w:r w:rsidR="008D251F" w:rsidRPr="00D41E6C">
        <w:rPr>
          <w:rFonts w:cs="CMR12"/>
          <w:lang w:val="en-US"/>
        </w:rPr>
        <w:t>capital suppliers and a banking system.</w:t>
      </w:r>
      <w:r w:rsidR="008D251F" w:rsidRPr="00D41E6C">
        <w:rPr>
          <w:rFonts w:cs="CMR12"/>
          <w:lang w:val="en-US"/>
        </w:rPr>
        <w:t xml:space="preserve"> The set of real rigidities </w:t>
      </w:r>
      <w:r w:rsidR="008D251F" w:rsidRPr="00D41E6C">
        <w:rPr>
          <w:rFonts w:cs="CMR12"/>
          <w:lang w:val="en-US"/>
        </w:rPr>
        <w:t>encompasses consumption habits, investment adjust</w:t>
      </w:r>
      <w:r w:rsidR="008D251F" w:rsidRPr="00D41E6C">
        <w:rPr>
          <w:rFonts w:cs="CMR12"/>
          <w:lang w:val="en-US"/>
        </w:rPr>
        <w:t xml:space="preserve">ment costs and loan demand habits. </w:t>
      </w:r>
      <w:r w:rsidR="008D251F" w:rsidRPr="00D41E6C">
        <w:rPr>
          <w:rFonts w:cs="CMR12"/>
          <w:lang w:val="en-US"/>
        </w:rPr>
        <w:t xml:space="preserve">Regarding nominal rigidities, </w:t>
      </w:r>
      <w:r w:rsidR="008D251F" w:rsidRPr="00D41E6C">
        <w:rPr>
          <w:rFonts w:cs="CMR12"/>
          <w:lang w:val="en-US"/>
        </w:rPr>
        <w:t xml:space="preserve">they account for stickiness in final goods prices, wages and </w:t>
      </w:r>
      <w:r w:rsidR="008D251F" w:rsidRPr="00D41E6C">
        <w:rPr>
          <w:rFonts w:cs="CMR12"/>
          <w:lang w:val="en-US"/>
        </w:rPr>
        <w:t>loan interest rates.</w:t>
      </w:r>
      <w:r w:rsidR="008D251F" w:rsidRPr="00D41E6C">
        <w:rPr>
          <w:rFonts w:cs="CMR12"/>
          <w:lang w:val="en-US"/>
        </w:rPr>
        <w:t xml:space="preserve"> Obtained</w:t>
      </w:r>
      <w:r w:rsidR="008D251F" w:rsidRPr="00D41E6C">
        <w:rPr>
          <w:rFonts w:cs="CMR10"/>
          <w:lang w:val="en-US"/>
        </w:rPr>
        <w:t xml:space="preserve"> results support</w:t>
      </w:r>
      <w:r w:rsidR="00436A55" w:rsidRPr="00D41E6C">
        <w:rPr>
          <w:rFonts w:cs="CMR10"/>
          <w:lang w:val="en-US"/>
        </w:rPr>
        <w:t xml:space="preserve"> the key role of </w:t>
      </w:r>
      <w:r w:rsidR="008D251F" w:rsidRPr="00D41E6C">
        <w:rPr>
          <w:rFonts w:cs="CMR10"/>
          <w:lang w:val="en-US"/>
        </w:rPr>
        <w:t>the</w:t>
      </w:r>
      <w:r w:rsidR="008D251F" w:rsidRPr="00D41E6C">
        <w:rPr>
          <w:rFonts w:cs="CMR12"/>
          <w:lang w:val="en-US"/>
        </w:rPr>
        <w:t xml:space="preserve"> </w:t>
      </w:r>
      <w:r w:rsidR="00436A55" w:rsidRPr="00D41E6C">
        <w:rPr>
          <w:rFonts w:cs="CMR10"/>
          <w:lang w:val="en-US"/>
        </w:rPr>
        <w:t>cross-border channel as an</w:t>
      </w:r>
      <w:r w:rsidR="008D251F" w:rsidRPr="00D41E6C">
        <w:rPr>
          <w:rFonts w:cs="CMR10"/>
          <w:lang w:val="en-US"/>
        </w:rPr>
        <w:t xml:space="preserve"> amplifying mechanism in the diff</w:t>
      </w:r>
      <w:r w:rsidR="00436A55" w:rsidRPr="00D41E6C">
        <w:rPr>
          <w:rFonts w:cs="CMR10"/>
          <w:lang w:val="en-US"/>
        </w:rPr>
        <w:t>usion of asymmetric</w:t>
      </w:r>
      <w:r w:rsidR="008D251F" w:rsidRPr="00D41E6C">
        <w:rPr>
          <w:rFonts w:cs="CMR12"/>
          <w:lang w:val="en-US"/>
        </w:rPr>
        <w:t xml:space="preserve"> </w:t>
      </w:r>
      <w:r w:rsidR="00436A55" w:rsidRPr="00D41E6C">
        <w:rPr>
          <w:rFonts w:cs="CMR10"/>
          <w:lang w:val="en-US"/>
        </w:rPr>
        <w:t>shocks.</w:t>
      </w:r>
    </w:p>
    <w:p w:rsidR="004A2AB1" w:rsidRPr="00D41E6C" w:rsidRDefault="004A2AB1" w:rsidP="00D41E6C">
      <w:pPr>
        <w:jc w:val="both"/>
        <w:rPr>
          <w:rFonts w:cs="CMR10"/>
          <w:lang w:val="en-US"/>
        </w:rPr>
      </w:pPr>
    </w:p>
    <w:p w:rsidR="008D251F" w:rsidRPr="00D41E6C" w:rsidRDefault="008D251F" w:rsidP="00D41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CMR12"/>
          <w:lang w:val="en-US"/>
        </w:rPr>
      </w:pPr>
      <w:r w:rsidRPr="00D41E6C">
        <w:rPr>
          <w:iCs/>
          <w:lang w:val="en-US"/>
        </w:rPr>
        <w:t>•</w:t>
      </w:r>
      <w:r w:rsidRPr="00D41E6C">
        <w:rPr>
          <w:iCs/>
          <w:lang w:val="en-US"/>
        </w:rPr>
        <w:t xml:space="preserve"> </w:t>
      </w:r>
      <w:proofErr w:type="gramStart"/>
      <w:r w:rsidRPr="00D41E6C">
        <w:rPr>
          <w:lang w:val="en-US"/>
        </w:rPr>
        <w:t>Aggregate  Demand</w:t>
      </w:r>
      <w:proofErr w:type="gramEnd"/>
      <w:r w:rsidRPr="00D41E6C">
        <w:rPr>
          <w:lang w:val="en-US"/>
        </w:rPr>
        <w:t xml:space="preserve">:  Households  in  </w:t>
      </w:r>
      <w:r w:rsidRPr="00D41E6C">
        <w:rPr>
          <w:lang w:val="en-US"/>
        </w:rPr>
        <w:t>both countries consume, save and work in intermediate firms, and</w:t>
      </w:r>
      <w:r w:rsidRPr="00D41E6C">
        <w:rPr>
          <w:lang w:val="en-US"/>
        </w:rPr>
        <w:t xml:space="preserve">  maximize  expected  lifetime  utility  </w:t>
      </w:r>
      <w:r w:rsidR="00EE65A8" w:rsidRPr="00D41E6C">
        <w:rPr>
          <w:lang w:val="en-US"/>
        </w:rPr>
        <w:t>with respect to the</w:t>
      </w:r>
      <w:r w:rsidRPr="00D41E6C">
        <w:rPr>
          <w:lang w:val="en-US"/>
        </w:rPr>
        <w:t xml:space="preserve"> consumption and labor effort</w:t>
      </w:r>
      <w:r w:rsidRPr="00D41E6C">
        <w:rPr>
          <w:lang w:val="en-US"/>
        </w:rPr>
        <w:t xml:space="preserve">.  </w:t>
      </w:r>
      <w:r w:rsidR="00EE65A8" w:rsidRPr="00D41E6C">
        <w:rPr>
          <w:rFonts w:cs="CMR12"/>
          <w:lang w:val="en-US"/>
        </w:rPr>
        <w:t>The</w:t>
      </w:r>
      <w:r w:rsidR="00EE65A8" w:rsidRPr="00D41E6C">
        <w:rPr>
          <w:rFonts w:cs="CMR12"/>
          <w:lang w:val="en-US"/>
        </w:rPr>
        <w:t>y</w:t>
      </w:r>
      <w:r w:rsidR="00D41E6C">
        <w:rPr>
          <w:rFonts w:cs="CMR12"/>
          <w:lang w:val="en-US"/>
        </w:rPr>
        <w:t xml:space="preserve"> </w:t>
      </w:r>
      <w:r w:rsidR="00EE65A8" w:rsidRPr="00D41E6C">
        <w:rPr>
          <w:rFonts w:cs="CMR12"/>
          <w:lang w:val="en-US"/>
        </w:rPr>
        <w:t>spend their</w:t>
      </w:r>
      <w:r w:rsidR="00EE65A8" w:rsidRPr="00D41E6C">
        <w:rPr>
          <w:rFonts w:cs="CMR12"/>
          <w:lang w:val="en-US"/>
        </w:rPr>
        <w:t xml:space="preserve"> income</w:t>
      </w:r>
      <w:r w:rsidR="00EE65A8" w:rsidRPr="00D41E6C">
        <w:rPr>
          <w:rFonts w:cs="CMR12"/>
          <w:lang w:val="en-US"/>
        </w:rPr>
        <w:t>s</w:t>
      </w:r>
      <w:r w:rsidR="00EE65A8" w:rsidRPr="00D41E6C">
        <w:rPr>
          <w:rFonts w:cs="CMR12"/>
          <w:lang w:val="en-US"/>
        </w:rPr>
        <w:t xml:space="preserve"> on con</w:t>
      </w:r>
      <w:r w:rsidR="00EE65A8" w:rsidRPr="00D41E6C">
        <w:rPr>
          <w:rFonts w:cs="CMR12"/>
          <w:lang w:val="en-US"/>
        </w:rPr>
        <w:t xml:space="preserve">sumption, bond subscription and tax payments. </w:t>
      </w:r>
      <w:r w:rsidR="00951518" w:rsidRPr="00D41E6C">
        <w:rPr>
          <w:rFonts w:cs="CMR12"/>
          <w:lang w:val="en-US"/>
        </w:rPr>
        <w:t>In addition to that,</w:t>
      </w:r>
      <w:r w:rsidR="00EE65A8" w:rsidRPr="00D41E6C">
        <w:rPr>
          <w:rFonts w:cs="CMR12"/>
          <w:lang w:val="en-US"/>
        </w:rPr>
        <w:t xml:space="preserve"> there </w:t>
      </w:r>
      <w:r w:rsidR="009C3E45">
        <w:rPr>
          <w:rFonts w:cs="CMR12"/>
          <w:lang w:val="en-US"/>
        </w:rPr>
        <w:t>exist</w:t>
      </w:r>
      <w:r w:rsidR="00EE65A8" w:rsidRPr="00D41E6C">
        <w:rPr>
          <w:rFonts w:cs="CMR12"/>
          <w:lang w:val="en-US"/>
        </w:rPr>
        <w:t xml:space="preserve"> quadratic </w:t>
      </w:r>
      <w:r w:rsidR="00EE65A8" w:rsidRPr="00D41E6C">
        <w:rPr>
          <w:rFonts w:cs="CMR12"/>
          <w:lang w:val="en-US"/>
        </w:rPr>
        <w:t xml:space="preserve">adjustment costs </w:t>
      </w:r>
      <w:r w:rsidR="00EE65A8" w:rsidRPr="00D41E6C">
        <w:rPr>
          <w:rFonts w:cs="CMR12"/>
          <w:lang w:val="en-US"/>
        </w:rPr>
        <w:t>necessary to buy new bonds (Schmitt-Groh</w:t>
      </w:r>
      <w:r w:rsidR="00EE65A8" w:rsidRPr="00D41E6C">
        <w:rPr>
          <w:rFonts w:cs="CMR12"/>
          <w:lang w:val="en-US"/>
        </w:rPr>
        <w:t>e and Uribe, 2003)</w:t>
      </w:r>
      <w:r w:rsidR="00EE65A8" w:rsidRPr="00D41E6C">
        <w:rPr>
          <w:rFonts w:cs="CMR12"/>
          <w:lang w:val="en-US"/>
        </w:rPr>
        <w:t>. Households provide diff</w:t>
      </w:r>
      <w:r w:rsidRPr="00D41E6C">
        <w:rPr>
          <w:rFonts w:cs="CMR12"/>
          <w:lang w:val="en-US"/>
        </w:rPr>
        <w:t>erentiated labor types, sold by lab</w:t>
      </w:r>
      <w:r w:rsidR="00EE65A8" w:rsidRPr="00D41E6C">
        <w:rPr>
          <w:rFonts w:cs="CMR12"/>
          <w:lang w:val="en-US"/>
        </w:rPr>
        <w:t>or unions to perfectly competi</w:t>
      </w:r>
      <w:r w:rsidRPr="00D41E6C">
        <w:rPr>
          <w:rFonts w:cs="CMR12"/>
          <w:lang w:val="en-US"/>
        </w:rPr>
        <w:t>tive labor packers who assemble them in a CES aggregato</w:t>
      </w:r>
      <w:r w:rsidR="00EE65A8" w:rsidRPr="00D41E6C">
        <w:rPr>
          <w:rFonts w:cs="CMR12"/>
          <w:lang w:val="en-US"/>
        </w:rPr>
        <w:t>r and sell the homogenous labor to intermediate fi</w:t>
      </w:r>
      <w:r w:rsidRPr="00D41E6C">
        <w:rPr>
          <w:rFonts w:cs="CMR12"/>
          <w:lang w:val="en-US"/>
        </w:rPr>
        <w:t>rms.</w:t>
      </w:r>
    </w:p>
    <w:p w:rsidR="00951518" w:rsidRPr="00D41E6C" w:rsidRDefault="00B3083B" w:rsidP="00D41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CMR12"/>
          <w:lang w:val="en-US"/>
        </w:rPr>
      </w:pPr>
      <w:r w:rsidRPr="00D41E6C">
        <w:rPr>
          <w:iCs/>
          <w:lang w:val="en-US"/>
        </w:rPr>
        <w:t>•</w:t>
      </w:r>
      <w:r w:rsidRPr="00D41E6C">
        <w:rPr>
          <w:iCs/>
          <w:lang w:val="en-US"/>
        </w:rPr>
        <w:t xml:space="preserve"> </w:t>
      </w:r>
      <w:proofErr w:type="gramStart"/>
      <w:r w:rsidRPr="00D41E6C">
        <w:rPr>
          <w:lang w:val="en-US"/>
        </w:rPr>
        <w:t>Aggregate  Supply</w:t>
      </w:r>
      <w:proofErr w:type="gramEnd"/>
      <w:r w:rsidRPr="00D41E6C">
        <w:rPr>
          <w:lang w:val="en-US"/>
        </w:rPr>
        <w:t xml:space="preserve">:  Each  economy  is  characterized  by  </w:t>
      </w:r>
      <w:r w:rsidR="00951518" w:rsidRPr="00D41E6C">
        <w:rPr>
          <w:rFonts w:cs="CMR12"/>
          <w:lang w:val="en-US"/>
        </w:rPr>
        <w:t xml:space="preserve">two groups of </w:t>
      </w:r>
      <w:r w:rsidR="00951518" w:rsidRPr="00D41E6C">
        <w:rPr>
          <w:rFonts w:cs="CMR12"/>
          <w:lang w:val="en-US"/>
        </w:rPr>
        <w:t>firms</w:t>
      </w:r>
      <w:r w:rsidR="00951518" w:rsidRPr="00D41E6C">
        <w:rPr>
          <w:rFonts w:cs="CMR12"/>
          <w:lang w:val="en-US"/>
        </w:rPr>
        <w:t>: intermediate firms and final fi</w:t>
      </w:r>
      <w:r w:rsidR="00951518" w:rsidRPr="00D41E6C">
        <w:rPr>
          <w:rFonts w:cs="CMR12"/>
          <w:lang w:val="en-US"/>
        </w:rPr>
        <w:t xml:space="preserve">rms. </w:t>
      </w:r>
      <w:r w:rsidR="00951518" w:rsidRPr="00D41E6C">
        <w:rPr>
          <w:rFonts w:cs="CMR12"/>
          <w:lang w:val="en-US"/>
        </w:rPr>
        <w:t>Intermediate firms produce diff</w:t>
      </w:r>
      <w:r w:rsidR="00951518" w:rsidRPr="00D41E6C">
        <w:rPr>
          <w:rFonts w:cs="CMR12"/>
          <w:lang w:val="en-US"/>
        </w:rPr>
        <w:t>erentiated goods</w:t>
      </w:r>
      <w:r w:rsidR="00951518" w:rsidRPr="00D41E6C">
        <w:rPr>
          <w:rFonts w:cs="CMR12"/>
          <w:lang w:val="en-US"/>
        </w:rPr>
        <w:t xml:space="preserve">, choose labor and capital inputs, and set prices according to the </w:t>
      </w:r>
      <w:proofErr w:type="spellStart"/>
      <w:r w:rsidR="00951518" w:rsidRPr="00D41E6C">
        <w:rPr>
          <w:rFonts w:cs="CMR12"/>
          <w:lang w:val="en-US"/>
        </w:rPr>
        <w:t>Calvo</w:t>
      </w:r>
      <w:proofErr w:type="spellEnd"/>
      <w:r w:rsidR="00951518" w:rsidRPr="00D41E6C">
        <w:rPr>
          <w:rFonts w:cs="CMR12"/>
          <w:lang w:val="en-US"/>
        </w:rPr>
        <w:t xml:space="preserve"> model. Final goods</w:t>
      </w:r>
      <w:r w:rsidR="00951518" w:rsidRPr="00D41E6C">
        <w:rPr>
          <w:rFonts w:cs="CMR12"/>
          <w:lang w:val="en-US"/>
        </w:rPr>
        <w:t xml:space="preserve"> </w:t>
      </w:r>
      <w:r w:rsidR="00951518" w:rsidRPr="00D41E6C">
        <w:rPr>
          <w:rFonts w:cs="CMR12"/>
          <w:lang w:val="en-US"/>
        </w:rPr>
        <w:t>producers act as a consumption bundler by combining national intermediate goods to produce the homogenous final good</w:t>
      </w:r>
      <w:r w:rsidR="00951518" w:rsidRPr="00D41E6C">
        <w:rPr>
          <w:rFonts w:cs="CMR8"/>
          <w:lang w:val="en-US"/>
        </w:rPr>
        <w:t>.</w:t>
      </w:r>
    </w:p>
    <w:p w:rsidR="004A2AB1" w:rsidRPr="00D41E6C" w:rsidRDefault="00951518" w:rsidP="00D41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CMR12"/>
          <w:lang w:val="en-US"/>
        </w:rPr>
      </w:pPr>
      <w:r w:rsidRPr="00D41E6C">
        <w:rPr>
          <w:iCs/>
          <w:lang w:val="en-US"/>
        </w:rPr>
        <w:t>•</w:t>
      </w:r>
      <w:r w:rsidRPr="00D41E6C">
        <w:rPr>
          <w:iCs/>
          <w:lang w:val="en-US"/>
        </w:rPr>
        <w:t xml:space="preserve"> Financial Sector: </w:t>
      </w:r>
      <w:r w:rsidRPr="00D41E6C">
        <w:rPr>
          <w:rFonts w:cs="CMR12"/>
          <w:lang w:val="en-US"/>
        </w:rPr>
        <w:t xml:space="preserve"> </w:t>
      </w:r>
      <w:r w:rsidR="004A2AB1" w:rsidRPr="00D41E6C">
        <w:rPr>
          <w:rFonts w:cs="CMR12"/>
          <w:lang w:val="en-US"/>
        </w:rPr>
        <w:t>In eac</w:t>
      </w:r>
      <w:r w:rsidRPr="00D41E6C">
        <w:rPr>
          <w:rFonts w:cs="CMR12"/>
          <w:lang w:val="en-US"/>
        </w:rPr>
        <w:t>h c</w:t>
      </w:r>
      <w:r w:rsidR="009C3E45">
        <w:rPr>
          <w:rFonts w:cs="CMR12"/>
          <w:lang w:val="en-US"/>
        </w:rPr>
        <w:t xml:space="preserve">ountry </w:t>
      </w:r>
      <w:r w:rsidRPr="00D41E6C">
        <w:rPr>
          <w:rFonts w:cs="CMR12"/>
          <w:lang w:val="en-US"/>
        </w:rPr>
        <w:t>the banking sector fi</w:t>
      </w:r>
      <w:r w:rsidR="004A2AB1" w:rsidRPr="00D41E6C">
        <w:rPr>
          <w:rFonts w:cs="CMR12"/>
          <w:lang w:val="en-US"/>
        </w:rPr>
        <w:t>nances investme</w:t>
      </w:r>
      <w:r w:rsidRPr="00D41E6C">
        <w:rPr>
          <w:rFonts w:cs="CMR12"/>
          <w:lang w:val="en-US"/>
        </w:rPr>
        <w:t>nt projects to home and foreign entrepreneurs by supplying one-</w:t>
      </w:r>
      <w:r w:rsidR="004A2AB1" w:rsidRPr="00D41E6C">
        <w:rPr>
          <w:rFonts w:cs="CMR12"/>
          <w:lang w:val="en-US"/>
        </w:rPr>
        <w:t>period loans. The bank</w:t>
      </w:r>
      <w:r w:rsidRPr="00D41E6C">
        <w:rPr>
          <w:rFonts w:cs="CMR12"/>
          <w:lang w:val="en-US"/>
        </w:rPr>
        <w:t xml:space="preserve">ing system is </w:t>
      </w:r>
      <w:r w:rsidR="00D41E6C" w:rsidRPr="00D41E6C">
        <w:rPr>
          <w:rFonts w:cs="CMR12"/>
          <w:lang w:val="en-US"/>
        </w:rPr>
        <w:t>heterogeneous</w:t>
      </w:r>
      <w:r w:rsidRPr="00D41E6C">
        <w:rPr>
          <w:rFonts w:cs="CMR12"/>
          <w:lang w:val="en-US"/>
        </w:rPr>
        <w:t xml:space="preserve"> with </w:t>
      </w:r>
      <w:r w:rsidR="009C3E45">
        <w:rPr>
          <w:rFonts w:cs="CMR12"/>
          <w:lang w:val="en-US"/>
        </w:rPr>
        <w:t>regard to liquidity</w:t>
      </w:r>
      <w:r w:rsidR="004A2AB1" w:rsidRPr="00D41E6C">
        <w:rPr>
          <w:rFonts w:cs="CMR12"/>
          <w:lang w:val="en-US"/>
        </w:rPr>
        <w:t xml:space="preserve"> and banks engage in interbank lendi</w:t>
      </w:r>
      <w:r w:rsidRPr="00D41E6C">
        <w:rPr>
          <w:rFonts w:cs="CMR12"/>
          <w:lang w:val="en-US"/>
        </w:rPr>
        <w:t>ng at the national and interna</w:t>
      </w:r>
      <w:r w:rsidR="004A2AB1" w:rsidRPr="00D41E6C">
        <w:rPr>
          <w:rFonts w:cs="CMR12"/>
          <w:lang w:val="en-US"/>
        </w:rPr>
        <w:t>tional levels. Thus, cross-border loans are made of cor</w:t>
      </w:r>
      <w:r w:rsidRPr="00D41E6C">
        <w:rPr>
          <w:rFonts w:cs="CMR12"/>
          <w:lang w:val="en-US"/>
        </w:rPr>
        <w:t xml:space="preserve">porate loans (between banks and </w:t>
      </w:r>
      <w:r w:rsidR="004A2AB1" w:rsidRPr="00D41E6C">
        <w:rPr>
          <w:rFonts w:cs="CMR12"/>
          <w:lang w:val="en-US"/>
        </w:rPr>
        <w:t>entrepreneurs) and interbank loans.</w:t>
      </w:r>
      <w:r w:rsidRPr="00D41E6C">
        <w:rPr>
          <w:rFonts w:cs="CMR12"/>
          <w:lang w:val="en-US"/>
        </w:rPr>
        <w:t xml:space="preserve"> In order t</w:t>
      </w:r>
      <w:r w:rsidR="004A2AB1" w:rsidRPr="00D41E6C">
        <w:rPr>
          <w:rFonts w:cs="CMR12"/>
          <w:lang w:val="en-US"/>
        </w:rPr>
        <w:t xml:space="preserve">o introduce an interbank market, </w:t>
      </w:r>
      <w:r w:rsidRPr="00D41E6C">
        <w:rPr>
          <w:rFonts w:cs="CMR12"/>
          <w:lang w:val="en-US"/>
        </w:rPr>
        <w:t>authors</w:t>
      </w:r>
      <w:r w:rsidR="004A2AB1" w:rsidRPr="00D41E6C">
        <w:rPr>
          <w:rFonts w:cs="CMR12"/>
          <w:lang w:val="en-US"/>
        </w:rPr>
        <w:t xml:space="preserve"> suppose t</w:t>
      </w:r>
      <w:r w:rsidRPr="00D41E6C">
        <w:rPr>
          <w:rFonts w:cs="CMR12"/>
          <w:lang w:val="en-US"/>
        </w:rPr>
        <w:t xml:space="preserve">hat the banking system combines liquid and illiquid banks, where </w:t>
      </w:r>
      <w:r w:rsidR="004A2AB1" w:rsidRPr="00D41E6C">
        <w:rPr>
          <w:rFonts w:cs="CMR12"/>
          <w:lang w:val="en-US"/>
        </w:rPr>
        <w:t xml:space="preserve">liquid </w:t>
      </w:r>
      <w:r w:rsidRPr="00D41E6C">
        <w:rPr>
          <w:rFonts w:cs="CMR12"/>
          <w:lang w:val="en-US"/>
        </w:rPr>
        <w:t>banks</w:t>
      </w:r>
      <w:r w:rsidR="004A2AB1" w:rsidRPr="00D41E6C">
        <w:rPr>
          <w:rFonts w:cs="CMR12"/>
          <w:lang w:val="en-US"/>
        </w:rPr>
        <w:t xml:space="preserve"> </w:t>
      </w:r>
      <w:r w:rsidRPr="00D41E6C">
        <w:rPr>
          <w:rFonts w:cs="CMR12"/>
          <w:lang w:val="en-US"/>
        </w:rPr>
        <w:t>(characterized by</w:t>
      </w:r>
      <w:r w:rsidRPr="00D41E6C">
        <w:rPr>
          <w:rFonts w:cs="CMR12"/>
          <w:lang w:val="en-US"/>
        </w:rPr>
        <w:t xml:space="preserve"> direct a</w:t>
      </w:r>
      <w:r w:rsidR="009C3E45">
        <w:rPr>
          <w:rFonts w:cs="CMR12"/>
          <w:lang w:val="en-US"/>
        </w:rPr>
        <w:t>ccessibility to the ECB funding</w:t>
      </w:r>
      <w:r w:rsidRPr="00D41E6C">
        <w:rPr>
          <w:rFonts w:cs="CMR12"/>
          <w:lang w:val="en-US"/>
        </w:rPr>
        <w:t xml:space="preserve">) </w:t>
      </w:r>
      <w:r w:rsidR="004A2AB1" w:rsidRPr="00D41E6C">
        <w:rPr>
          <w:rFonts w:cs="CMR12"/>
          <w:lang w:val="en-US"/>
        </w:rPr>
        <w:t>supply loans to</w:t>
      </w:r>
      <w:r w:rsidRPr="00D41E6C">
        <w:rPr>
          <w:rFonts w:cs="CMR12"/>
          <w:lang w:val="en-US"/>
        </w:rPr>
        <w:t xml:space="preserve"> </w:t>
      </w:r>
      <w:r w:rsidR="004A2AB1" w:rsidRPr="00D41E6C">
        <w:rPr>
          <w:rFonts w:cs="CMR12"/>
          <w:lang w:val="en-US"/>
        </w:rPr>
        <w:t>entrepre</w:t>
      </w:r>
      <w:r w:rsidRPr="00D41E6C">
        <w:rPr>
          <w:rFonts w:cs="CMR12"/>
          <w:lang w:val="en-US"/>
        </w:rPr>
        <w:t xml:space="preserve">neurs and to illiquid banks. Additionally, </w:t>
      </w:r>
      <w:r w:rsidR="004A2AB1" w:rsidRPr="00D41E6C">
        <w:rPr>
          <w:rFonts w:cs="CMR12"/>
          <w:lang w:val="en-US"/>
        </w:rPr>
        <w:t>the intermediation process between liquid and illiquid banks is costly</w:t>
      </w:r>
      <w:r w:rsidR="00D41E6C" w:rsidRPr="00D41E6C">
        <w:rPr>
          <w:rFonts w:cs="CMR12"/>
          <w:lang w:val="en-US"/>
        </w:rPr>
        <w:t xml:space="preserve"> (</w:t>
      </w:r>
      <w:r w:rsidR="004A2AB1" w:rsidRPr="00D41E6C">
        <w:rPr>
          <w:rFonts w:cs="CMR12"/>
          <w:lang w:val="en-US"/>
        </w:rPr>
        <w:t>convex monitoring technology</w:t>
      </w:r>
      <w:r w:rsidR="00D41E6C" w:rsidRPr="00D41E6C">
        <w:rPr>
          <w:rFonts w:cs="CMR12"/>
          <w:lang w:val="en-US"/>
        </w:rPr>
        <w:t xml:space="preserve">). So-called financial accelerator mechanism is </w:t>
      </w:r>
      <w:r w:rsidR="004A2AB1" w:rsidRPr="00D41E6C">
        <w:rPr>
          <w:rFonts w:cs="CMR12"/>
          <w:lang w:val="en-US"/>
        </w:rPr>
        <w:t>borrow</w:t>
      </w:r>
      <w:r w:rsidR="00D41E6C" w:rsidRPr="00D41E6C">
        <w:rPr>
          <w:rFonts w:cs="CMR12"/>
          <w:lang w:val="en-US"/>
        </w:rPr>
        <w:t>ed</w:t>
      </w:r>
      <w:r w:rsidR="004A2AB1" w:rsidRPr="00D41E6C">
        <w:rPr>
          <w:rFonts w:cs="CMR12"/>
          <w:lang w:val="en-US"/>
        </w:rPr>
        <w:t xml:space="preserve"> </w:t>
      </w:r>
      <w:r w:rsidR="00D41E6C" w:rsidRPr="00D41E6C">
        <w:rPr>
          <w:rFonts w:cs="CMR12"/>
          <w:lang w:val="en-US"/>
        </w:rPr>
        <w:t xml:space="preserve">from De </w:t>
      </w:r>
      <w:proofErr w:type="spellStart"/>
      <w:r w:rsidR="00D41E6C" w:rsidRPr="00D41E6C">
        <w:rPr>
          <w:rFonts w:cs="CMR12"/>
          <w:lang w:val="en-US"/>
        </w:rPr>
        <w:t>Grauwe</w:t>
      </w:r>
      <w:proofErr w:type="spellEnd"/>
      <w:r w:rsidR="00D41E6C" w:rsidRPr="00D41E6C">
        <w:rPr>
          <w:rFonts w:cs="CMR12"/>
          <w:lang w:val="en-US"/>
        </w:rPr>
        <w:t xml:space="preserve"> (2010) and applied in a diff</w:t>
      </w:r>
      <w:r w:rsidR="004A2AB1" w:rsidRPr="00D41E6C">
        <w:rPr>
          <w:rFonts w:cs="CMR12"/>
          <w:lang w:val="en-US"/>
        </w:rPr>
        <w:t>erent context, by assuming that entrepr</w:t>
      </w:r>
      <w:r w:rsidR="00D41E6C" w:rsidRPr="00D41E6C">
        <w:rPr>
          <w:rFonts w:cs="CMR12"/>
          <w:lang w:val="en-US"/>
        </w:rPr>
        <w:t xml:space="preserve">eneurs' forecasts regarding the </w:t>
      </w:r>
      <w:r w:rsidR="004A2AB1" w:rsidRPr="00D41E6C">
        <w:rPr>
          <w:rFonts w:cs="CMR12"/>
          <w:lang w:val="en-US"/>
        </w:rPr>
        <w:t>aggregate pro</w:t>
      </w:r>
      <w:r w:rsidR="00D41E6C" w:rsidRPr="00D41E6C">
        <w:rPr>
          <w:rFonts w:cs="CMR12"/>
          <w:lang w:val="en-US"/>
        </w:rPr>
        <w:t>fi</w:t>
      </w:r>
      <w:r w:rsidR="004A2AB1" w:rsidRPr="00D41E6C">
        <w:rPr>
          <w:rFonts w:cs="CMR12"/>
          <w:lang w:val="en-US"/>
        </w:rPr>
        <w:t xml:space="preserve">tability of a given </w:t>
      </w:r>
      <w:r w:rsidR="00D41E6C" w:rsidRPr="00D41E6C">
        <w:rPr>
          <w:rFonts w:cs="CMR12"/>
          <w:lang w:val="en-US"/>
        </w:rPr>
        <w:t>project are optimistic (these values are then compared to the critical threshold which distinguishes profitable and non-profi</w:t>
      </w:r>
      <w:r w:rsidR="00D41E6C" w:rsidRPr="00D41E6C">
        <w:rPr>
          <w:rFonts w:cs="CMR12"/>
          <w:lang w:val="en-US"/>
        </w:rPr>
        <w:t>table projects</w:t>
      </w:r>
      <w:r w:rsidR="00D41E6C" w:rsidRPr="00D41E6C">
        <w:rPr>
          <w:rFonts w:cs="CMR12"/>
          <w:lang w:val="en-US"/>
        </w:rPr>
        <w:t>).</w:t>
      </w:r>
    </w:p>
    <w:p w:rsidR="00D41E6C" w:rsidRDefault="00D41E6C" w:rsidP="00D41E6C">
      <w:pPr>
        <w:ind w:left="708"/>
        <w:jc w:val="both"/>
        <w:rPr>
          <w:rFonts w:cs="Courier New"/>
          <w:color w:val="000000"/>
          <w:lang w:val="en-US"/>
        </w:rPr>
      </w:pPr>
      <w:r w:rsidRPr="00D41E6C">
        <w:rPr>
          <w:iCs/>
          <w:lang w:val="en-US"/>
        </w:rPr>
        <w:t>•</w:t>
      </w:r>
      <w:r w:rsidRPr="00D41E6C">
        <w:rPr>
          <w:iCs/>
          <w:lang w:val="en-US"/>
        </w:rPr>
        <w:t xml:space="preserve"> Shocks: </w:t>
      </w:r>
      <w:r w:rsidRPr="00D41E6C">
        <w:rPr>
          <w:rFonts w:cs="CMR12"/>
          <w:lang w:val="en-US"/>
        </w:rPr>
        <w:t xml:space="preserve"> There are in total 8 country specifi</w:t>
      </w:r>
      <w:r w:rsidR="00B807DB" w:rsidRPr="00D41E6C">
        <w:rPr>
          <w:rFonts w:cs="CMR12"/>
          <w:lang w:val="en-US"/>
        </w:rPr>
        <w:t>c s</w:t>
      </w:r>
      <w:r w:rsidRPr="00D41E6C">
        <w:rPr>
          <w:rFonts w:cs="CMR12"/>
          <w:lang w:val="en-US"/>
        </w:rPr>
        <w:t xml:space="preserve">tructural shocks and one </w:t>
      </w:r>
      <w:r w:rsidR="00B807DB" w:rsidRPr="00D41E6C">
        <w:rPr>
          <w:rFonts w:cs="CMR12"/>
          <w:lang w:val="en-US"/>
        </w:rPr>
        <w:t xml:space="preserve">shock in the </w:t>
      </w:r>
      <w:r w:rsidRPr="00D41E6C">
        <w:rPr>
          <w:rFonts w:cs="CMR12"/>
          <w:lang w:val="en-US"/>
        </w:rPr>
        <w:t>common monetary policy</w:t>
      </w:r>
      <w:r w:rsidR="00B807DB" w:rsidRPr="00D41E6C">
        <w:rPr>
          <w:rFonts w:cs="CMR12"/>
          <w:lang w:val="en-US"/>
        </w:rPr>
        <w:t xml:space="preserve"> rule.</w:t>
      </w:r>
      <w:r w:rsidRPr="00D41E6C">
        <w:rPr>
          <w:rFonts w:cs="CMR12"/>
          <w:lang w:val="en-US"/>
        </w:rPr>
        <w:t xml:space="preserve"> Namely, a </w:t>
      </w:r>
      <w:r w:rsidR="00B807DB" w:rsidRPr="00D41E6C">
        <w:rPr>
          <w:rFonts w:cs="Courier New"/>
          <w:color w:val="000000"/>
          <w:lang w:val="en-US"/>
        </w:rPr>
        <w:t>productivity shock</w:t>
      </w:r>
      <w:r w:rsidRPr="00D41E6C">
        <w:rPr>
          <w:rFonts w:cs="CMR12"/>
          <w:lang w:val="en-US"/>
        </w:rPr>
        <w:t xml:space="preserve">, </w:t>
      </w:r>
      <w:r w:rsidR="00B807DB" w:rsidRPr="00D41E6C">
        <w:rPr>
          <w:rFonts w:cs="Courier New"/>
          <w:color w:val="000000"/>
          <w:lang w:val="en-US"/>
        </w:rPr>
        <w:t>demand shock</w:t>
      </w:r>
      <w:r w:rsidRPr="00D41E6C">
        <w:rPr>
          <w:rFonts w:cs="CMR12"/>
          <w:lang w:val="en-US"/>
        </w:rPr>
        <w:t xml:space="preserve">, </w:t>
      </w:r>
      <w:r w:rsidR="00B807DB" w:rsidRPr="00D41E6C">
        <w:rPr>
          <w:rFonts w:cs="Courier New"/>
          <w:color w:val="000000"/>
          <w:lang w:val="en-US"/>
        </w:rPr>
        <w:t>time-preference shock</w:t>
      </w:r>
      <w:r w:rsidRPr="00D41E6C">
        <w:rPr>
          <w:rFonts w:cs="CMR12"/>
          <w:lang w:val="en-US"/>
        </w:rPr>
        <w:t>,</w:t>
      </w:r>
      <w:r w:rsidR="00B807DB" w:rsidRPr="00D41E6C">
        <w:rPr>
          <w:rFonts w:cs="Courier New"/>
          <w:color w:val="000000"/>
          <w:lang w:val="en-US"/>
        </w:rPr>
        <w:t xml:space="preserve"> net wealth shock</w:t>
      </w:r>
      <w:r w:rsidRPr="00D41E6C">
        <w:rPr>
          <w:rFonts w:cs="CMR12"/>
          <w:lang w:val="en-US"/>
        </w:rPr>
        <w:t xml:space="preserve">, </w:t>
      </w:r>
      <w:r w:rsidR="00B807DB" w:rsidRPr="00D41E6C">
        <w:rPr>
          <w:rFonts w:cs="Courier New"/>
          <w:color w:val="000000"/>
          <w:lang w:val="en-US"/>
        </w:rPr>
        <w:t>external finance premium shock</w:t>
      </w:r>
      <w:r w:rsidRPr="00D41E6C">
        <w:rPr>
          <w:rFonts w:cs="CMR12"/>
          <w:lang w:val="en-US"/>
        </w:rPr>
        <w:t xml:space="preserve">, </w:t>
      </w:r>
      <w:r w:rsidR="00B807DB" w:rsidRPr="00D41E6C">
        <w:rPr>
          <w:rFonts w:cs="Courier New"/>
          <w:color w:val="000000"/>
          <w:lang w:val="en-US"/>
        </w:rPr>
        <w:t>bank rate markup shock</w:t>
      </w:r>
      <w:r w:rsidRPr="00D41E6C">
        <w:rPr>
          <w:rFonts w:cs="CMR12"/>
          <w:lang w:val="en-US"/>
        </w:rPr>
        <w:t xml:space="preserve">, </w:t>
      </w:r>
      <w:r w:rsidR="00B807DB" w:rsidRPr="00D41E6C">
        <w:rPr>
          <w:rFonts w:cs="Courier New"/>
          <w:color w:val="000000"/>
          <w:lang w:val="en-US"/>
        </w:rPr>
        <w:t>wage markup shock</w:t>
      </w:r>
      <w:r w:rsidRPr="00D41E6C">
        <w:rPr>
          <w:rFonts w:cs="CMR12"/>
          <w:lang w:val="en-US"/>
        </w:rPr>
        <w:t xml:space="preserve">, </w:t>
      </w:r>
      <w:r w:rsidR="00B807DB" w:rsidRPr="00D41E6C">
        <w:rPr>
          <w:rFonts w:cs="Courier New"/>
          <w:color w:val="000000"/>
          <w:lang w:val="en-US"/>
        </w:rPr>
        <w:t>bank liability shock</w:t>
      </w:r>
      <w:r w:rsidRPr="00D41E6C">
        <w:rPr>
          <w:rFonts w:cs="CMR12"/>
          <w:lang w:val="en-US"/>
        </w:rPr>
        <w:t xml:space="preserve"> and </w:t>
      </w:r>
      <w:r w:rsidR="00B807DB" w:rsidRPr="00D41E6C">
        <w:rPr>
          <w:rFonts w:cs="Courier New"/>
          <w:color w:val="000000"/>
          <w:lang w:val="en-US"/>
        </w:rPr>
        <w:t>ECB monetary policy shock</w:t>
      </w:r>
      <w:r w:rsidRPr="00D41E6C">
        <w:rPr>
          <w:rFonts w:cs="Courier New"/>
          <w:color w:val="000000"/>
          <w:lang w:val="en-US"/>
        </w:rPr>
        <w:t>.</w:t>
      </w:r>
    </w:p>
    <w:p w:rsidR="004A2AB1" w:rsidRPr="00D41E6C" w:rsidRDefault="00D41E6C" w:rsidP="00D41E6C">
      <w:pPr>
        <w:ind w:left="708"/>
        <w:jc w:val="both"/>
        <w:rPr>
          <w:rFonts w:cs="CMR12"/>
          <w:lang w:val="en-US"/>
        </w:rPr>
      </w:pPr>
      <w:r w:rsidRPr="00D41E6C">
        <w:rPr>
          <w:iCs/>
          <w:lang w:val="en-US"/>
        </w:rPr>
        <w:t>•</w:t>
      </w:r>
      <w:r w:rsidRPr="00D41E6C">
        <w:rPr>
          <w:iCs/>
          <w:lang w:val="en-US"/>
        </w:rPr>
        <w:t xml:space="preserve"> </w:t>
      </w:r>
      <w:r w:rsidR="008A7796">
        <w:rPr>
          <w:lang w:val="en-US"/>
        </w:rPr>
        <w:t xml:space="preserve">Calibration/Estimation: </w:t>
      </w:r>
      <w:bookmarkStart w:id="0" w:name="_GoBack"/>
      <w:bookmarkEnd w:id="0"/>
      <w:r w:rsidRPr="00D41E6C">
        <w:rPr>
          <w:rFonts w:cs="CMR12"/>
          <w:lang w:val="en-US"/>
        </w:rPr>
        <w:t>The model is estimated wit</w:t>
      </w:r>
      <w:r>
        <w:rPr>
          <w:rFonts w:cs="CMR12"/>
          <w:lang w:val="en-US"/>
        </w:rPr>
        <w:t xml:space="preserve">h Bayesian methods on Euro Area </w:t>
      </w:r>
      <w:r w:rsidRPr="00D41E6C">
        <w:rPr>
          <w:rFonts w:cs="CMR12"/>
          <w:lang w:val="en-US"/>
        </w:rPr>
        <w:t>quarterly data over the</w:t>
      </w:r>
      <w:r>
        <w:rPr>
          <w:rFonts w:cs="CMR12"/>
          <w:lang w:val="en-US"/>
        </w:rPr>
        <w:t xml:space="preserve"> </w:t>
      </w:r>
      <w:r w:rsidRPr="00D41E6C">
        <w:rPr>
          <w:rFonts w:cs="CMR12"/>
          <w:lang w:val="en-US"/>
        </w:rPr>
        <w:t>sample period 1999Q1 to 2013Q3.</w:t>
      </w:r>
    </w:p>
    <w:sectPr w:rsidR="004A2AB1" w:rsidRPr="00D41E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55"/>
    <w:rsid w:val="00094377"/>
    <w:rsid w:val="00436A55"/>
    <w:rsid w:val="004A2AB1"/>
    <w:rsid w:val="00702AC2"/>
    <w:rsid w:val="008A7796"/>
    <w:rsid w:val="008D251F"/>
    <w:rsid w:val="00951518"/>
    <w:rsid w:val="009C3E45"/>
    <w:rsid w:val="00B3083B"/>
    <w:rsid w:val="00B807DB"/>
    <w:rsid w:val="00D41E6C"/>
    <w:rsid w:val="00EE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4E355-3A10-4A5E-8980-8BB8AA43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8D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Goethe Universität Frankfurt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Milivojevic, Lazar</dc:creator>
  <cp:keywords/>
  <dc:description/>
  <cp:lastModifiedBy>Milivojevic, Lazar</cp:lastModifiedBy>
  <cp:revision>4</cp:revision>
  <dcterms:created xsi:type="dcterms:W3CDTF">2018-04-24T08:36:00Z</dcterms:created>
  <dcterms:modified xsi:type="dcterms:W3CDTF">2018-04-24T10:18:00Z</dcterms:modified>
</cp:coreProperties>
</file>