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4C" w:rsidRPr="005F244C" w:rsidRDefault="005F244C" w:rsidP="005F244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  <w:lang w:val="en-US"/>
        </w:rPr>
      </w:pPr>
      <w:r w:rsidRPr="005F244C">
        <w:rPr>
          <w:rFonts w:cs="Times New Roman"/>
          <w:b/>
          <w:sz w:val="24"/>
          <w:szCs w:val="24"/>
          <w:lang w:val="en-US"/>
        </w:rPr>
        <w:t>NK_GLSV07</w:t>
      </w:r>
    </w:p>
    <w:p w:rsidR="005F244C" w:rsidRPr="00E52CC5" w:rsidRDefault="005F244C" w:rsidP="005F244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en-US"/>
        </w:rPr>
      </w:pPr>
    </w:p>
    <w:p w:rsidR="006130B3" w:rsidRPr="00E52CC5" w:rsidRDefault="005F244C" w:rsidP="00AC15A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  <w:lang w:val="en-US"/>
        </w:rPr>
      </w:pPr>
      <w:proofErr w:type="spellStart"/>
      <w:r w:rsidRPr="00E52CC5">
        <w:rPr>
          <w:rFonts w:cs="Times New Roman"/>
          <w:lang w:val="en-US"/>
        </w:rPr>
        <w:t>Gali</w:t>
      </w:r>
      <w:proofErr w:type="spellEnd"/>
      <w:r w:rsidRPr="00E52CC5">
        <w:rPr>
          <w:rFonts w:cs="Times New Roman"/>
          <w:lang w:val="en-US"/>
        </w:rPr>
        <w:t xml:space="preserve"> et al. (2007) extend the standard N</w:t>
      </w:r>
      <w:r w:rsidR="006130B3" w:rsidRPr="00E52CC5">
        <w:rPr>
          <w:rFonts w:cs="Times New Roman"/>
          <w:lang w:val="en-US"/>
        </w:rPr>
        <w:t>ew</w:t>
      </w:r>
      <w:r w:rsidRPr="00E52CC5">
        <w:rPr>
          <w:rFonts w:cs="Times New Roman"/>
          <w:lang w:val="en-US"/>
        </w:rPr>
        <w:t xml:space="preserve"> </w:t>
      </w:r>
      <w:r w:rsidR="006130B3" w:rsidRPr="00E52CC5">
        <w:rPr>
          <w:rFonts w:cs="Times New Roman"/>
          <w:lang w:val="en-US"/>
        </w:rPr>
        <w:t>Keynesian model to allow</w:t>
      </w:r>
      <w:r w:rsidRPr="00E52CC5">
        <w:rPr>
          <w:rFonts w:cs="Times New Roman"/>
          <w:lang w:val="en-US"/>
        </w:rPr>
        <w:t xml:space="preserve"> </w:t>
      </w:r>
      <w:r w:rsidR="006130B3" w:rsidRPr="00E52CC5">
        <w:rPr>
          <w:rFonts w:cs="Times New Roman"/>
          <w:lang w:val="en-US"/>
        </w:rPr>
        <w:t>for the presence of rule-of-thumb</w:t>
      </w:r>
    </w:p>
    <w:p w:rsidR="005F244C" w:rsidRPr="00E52CC5" w:rsidRDefault="006130B3" w:rsidP="00AC15A0">
      <w:pPr>
        <w:spacing w:line="276" w:lineRule="auto"/>
        <w:jc w:val="both"/>
        <w:rPr>
          <w:rFonts w:cs="Times New Roman"/>
          <w:lang w:val="en-US"/>
        </w:rPr>
      </w:pPr>
      <w:proofErr w:type="gramStart"/>
      <w:r w:rsidRPr="00E52CC5">
        <w:rPr>
          <w:rFonts w:cs="Times New Roman"/>
          <w:lang w:val="en-US"/>
        </w:rPr>
        <w:t>consumers</w:t>
      </w:r>
      <w:proofErr w:type="gramEnd"/>
      <w:r w:rsidR="005F244C" w:rsidRPr="00E52CC5">
        <w:rPr>
          <w:rFonts w:cs="Times New Roman"/>
          <w:lang w:val="en-US"/>
        </w:rPr>
        <w:t xml:space="preserve"> </w:t>
      </w:r>
      <w:r w:rsidR="005F244C" w:rsidRPr="00E52CC5">
        <w:rPr>
          <w:rFonts w:cs="Times New Roman"/>
          <w:lang w:val="en-US"/>
        </w:rPr>
        <w:t>for which consumption equals labor income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 xml:space="preserve">. </w:t>
      </w:r>
      <w:r w:rsidR="005F244C" w:rsidRPr="00E52CC5">
        <w:rPr>
          <w:rFonts w:cs="Times New Roman"/>
          <w:lang w:val="en-US"/>
        </w:rPr>
        <w:t>This enable</w:t>
      </w:r>
      <w:r w:rsidR="00E52CC5">
        <w:rPr>
          <w:rFonts w:cs="Times New Roman"/>
          <w:lang w:val="en-US"/>
        </w:rPr>
        <w:t>s</w:t>
      </w:r>
      <w:r w:rsidR="005F244C" w:rsidRPr="00E52CC5">
        <w:rPr>
          <w:rFonts w:cs="Times New Roman"/>
          <w:lang w:val="en-US"/>
        </w:rPr>
        <w:t xml:space="preserve"> them </w:t>
      </w:r>
      <w:r w:rsidRPr="00E52CC5">
        <w:rPr>
          <w:rFonts w:cs="Times New Roman"/>
          <w:lang w:val="en-US"/>
        </w:rPr>
        <w:t>to generate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>an increase in consumption in response to a rise in government spending,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>in a way consistent with much of the recent evidence. Rule-of-thumb consumers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>partly insulate aggregate demand from the negative wealth effects generated by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>the higher levels of (current and future) taxes needed to finance the fiscal expansion,</w:t>
      </w:r>
      <w:r w:rsidR="005F244C" w:rsidRPr="00E52CC5">
        <w:rPr>
          <w:rFonts w:cs="Times New Roman"/>
          <w:lang w:val="en-US"/>
        </w:rPr>
        <w:t xml:space="preserve"> </w:t>
      </w:r>
      <w:r w:rsidRPr="00E52CC5">
        <w:rPr>
          <w:rFonts w:cs="Times New Roman"/>
          <w:lang w:val="en-US"/>
        </w:rPr>
        <w:t>while making it more sensitive to current disposable income</w:t>
      </w:r>
      <w:r w:rsidR="005F244C" w:rsidRPr="00E52CC5">
        <w:rPr>
          <w:rFonts w:cs="Times New Roman"/>
          <w:lang w:val="en-US"/>
        </w:rPr>
        <w:t>.</w:t>
      </w:r>
    </w:p>
    <w:p w:rsidR="00B34C50" w:rsidRPr="00E52CC5" w:rsidRDefault="005F244C" w:rsidP="00E52CC5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cs="Times New Roman"/>
          <w:lang w:val="en-US"/>
        </w:rPr>
      </w:pPr>
      <w:r w:rsidRPr="00E52CC5">
        <w:rPr>
          <w:iCs/>
          <w:lang w:val="en-US"/>
        </w:rPr>
        <w:t xml:space="preserve">• </w:t>
      </w:r>
      <w:proofErr w:type="gramStart"/>
      <w:r w:rsidR="00B34C50" w:rsidRPr="00E52CC5">
        <w:rPr>
          <w:lang w:val="en-US"/>
        </w:rPr>
        <w:t>Aggregate  demand</w:t>
      </w:r>
      <w:proofErr w:type="gramEnd"/>
      <w:r w:rsidR="00B34C50" w:rsidRPr="00E52CC5">
        <w:rPr>
          <w:lang w:val="en-US"/>
        </w:rPr>
        <w:t>:</w:t>
      </w:r>
      <w:r w:rsidRPr="00E52CC5">
        <w:rPr>
          <w:lang w:val="en-US"/>
        </w:rPr>
        <w:t xml:space="preserve"> Households  ga</w:t>
      </w:r>
      <w:r w:rsidR="00B34C50" w:rsidRPr="00E52CC5">
        <w:rPr>
          <w:lang w:val="en-US"/>
        </w:rPr>
        <w:t xml:space="preserve">in  utility  from  consumption and </w:t>
      </w:r>
      <w:r w:rsidR="00B34C50" w:rsidRPr="00E52CC5">
        <w:rPr>
          <w:lang w:val="en-US"/>
        </w:rPr>
        <w:t>leisure</w:t>
      </w:r>
      <w:r w:rsidRPr="00E52CC5">
        <w:rPr>
          <w:lang w:val="en-US"/>
        </w:rPr>
        <w:t xml:space="preserve"> </w:t>
      </w:r>
      <w:r w:rsidR="00B34C50" w:rsidRPr="00E52CC5">
        <w:rPr>
          <w:lang w:val="en-US"/>
        </w:rPr>
        <w:t>subject to appropriate budget constraint</w:t>
      </w:r>
      <w:r w:rsidR="00E52CC5">
        <w:rPr>
          <w:lang w:val="en-US"/>
        </w:rPr>
        <w:t>s</w:t>
      </w:r>
      <w:r w:rsidRPr="00E52CC5">
        <w:rPr>
          <w:lang w:val="en-US"/>
        </w:rPr>
        <w:t>.</w:t>
      </w:r>
      <w:r w:rsidR="00B34C50" w:rsidRPr="00E52CC5">
        <w:rPr>
          <w:lang w:val="en-US"/>
        </w:rPr>
        <w:t xml:space="preserve"> </w:t>
      </w:r>
      <w:r w:rsidRPr="00E52CC5">
        <w:rPr>
          <w:lang w:val="en-US"/>
        </w:rPr>
        <w:t xml:space="preserve"> </w:t>
      </w:r>
      <w:r w:rsidR="00B34C50" w:rsidRPr="00E52CC5">
        <w:rPr>
          <w:rFonts w:cs="Times New Roman"/>
          <w:lang w:val="en-US"/>
        </w:rPr>
        <w:t xml:space="preserve">A fraction 1 </w:t>
      </w:r>
      <w:r w:rsidR="00B34C50" w:rsidRPr="00E52CC5">
        <w:rPr>
          <w:rFonts w:eastAsia="MTSYN" w:cs="MTSYN"/>
          <w:lang w:val="en-US"/>
        </w:rPr>
        <w:t xml:space="preserve">− </w:t>
      </w:r>
      <w:r w:rsidR="00B34C50" w:rsidRPr="00E52CC5">
        <w:rPr>
          <w:rFonts w:eastAsia="MTMI" w:cs="MTMI"/>
          <w:iCs/>
        </w:rPr>
        <w:t>λ</w:t>
      </w:r>
      <w:r w:rsidR="00B34C50" w:rsidRPr="00E52CC5">
        <w:rPr>
          <w:rFonts w:eastAsia="MTMI" w:cs="MTMI"/>
          <w:iCs/>
          <w:lang w:val="en-US"/>
        </w:rPr>
        <w:t xml:space="preserve"> </w:t>
      </w:r>
      <w:r w:rsidR="00B34C50" w:rsidRPr="00E52CC5">
        <w:rPr>
          <w:rFonts w:cs="Times New Roman"/>
          <w:lang w:val="en-US"/>
        </w:rPr>
        <w:t>of households have access to</w:t>
      </w:r>
      <w:r w:rsidR="00B34C50" w:rsidRPr="00E52CC5">
        <w:rPr>
          <w:rFonts w:cs="Times New Roman"/>
          <w:lang w:val="en-US"/>
        </w:rPr>
        <w:t xml:space="preserve"> capital markets where they can </w:t>
      </w:r>
      <w:r w:rsidR="00B34C50" w:rsidRPr="00E52CC5">
        <w:rPr>
          <w:rFonts w:cs="Times New Roman"/>
          <w:lang w:val="en-US"/>
        </w:rPr>
        <w:t>trade a full set of contingent securities, and buy and sell physical capital (</w:t>
      </w:r>
      <w:r w:rsidR="00B34C50" w:rsidRPr="00E52CC5">
        <w:rPr>
          <w:rFonts w:cs="Times New Roman"/>
          <w:iCs/>
          <w:lang w:val="en-US"/>
        </w:rPr>
        <w:t>Ricardian</w:t>
      </w:r>
      <w:r w:rsidR="00B34C50" w:rsidRPr="00E52CC5">
        <w:rPr>
          <w:rFonts w:cs="Times New Roman"/>
          <w:iCs/>
          <w:lang w:val="en-US"/>
        </w:rPr>
        <w:t xml:space="preserve"> households)</w:t>
      </w:r>
      <w:r w:rsidR="00B34C50" w:rsidRPr="00E52CC5">
        <w:rPr>
          <w:rFonts w:cs="Times New Roman"/>
          <w:lang w:val="en-US"/>
        </w:rPr>
        <w:t xml:space="preserve">. The remaining fraction </w:t>
      </w:r>
      <w:r w:rsidR="00B34C50" w:rsidRPr="00E52CC5">
        <w:rPr>
          <w:rFonts w:eastAsia="MTMI" w:cs="MTMI"/>
          <w:iCs/>
        </w:rPr>
        <w:t>λ</w:t>
      </w:r>
      <w:r w:rsidR="00B34C50" w:rsidRPr="00E52CC5">
        <w:rPr>
          <w:rFonts w:eastAsia="MTMI" w:cs="MTMI"/>
          <w:iCs/>
          <w:lang w:val="en-US"/>
        </w:rPr>
        <w:t xml:space="preserve"> </w:t>
      </w:r>
      <w:r w:rsidR="00B34C50" w:rsidRPr="00E52CC5">
        <w:rPr>
          <w:rFonts w:cs="Times New Roman"/>
          <w:lang w:val="en-US"/>
        </w:rPr>
        <w:t xml:space="preserve">of households </w:t>
      </w:r>
      <w:r w:rsidR="00B34C50" w:rsidRPr="00E52CC5">
        <w:rPr>
          <w:rFonts w:cs="Times New Roman"/>
          <w:lang w:val="en-US"/>
        </w:rPr>
        <w:t>do not own any assets nor have any liabilities, and just consume their current</w:t>
      </w:r>
      <w:r w:rsidR="00B34C50" w:rsidRPr="00E52CC5">
        <w:rPr>
          <w:rFonts w:cs="Times New Roman"/>
          <w:lang w:val="en-US"/>
        </w:rPr>
        <w:t xml:space="preserve"> </w:t>
      </w:r>
      <w:r w:rsidR="00B34C50" w:rsidRPr="00E52CC5">
        <w:rPr>
          <w:rFonts w:cs="Times New Roman"/>
          <w:lang w:val="en-US"/>
        </w:rPr>
        <w:t>labor income</w:t>
      </w:r>
      <w:r w:rsidR="00B34C50" w:rsidRPr="00E52CC5">
        <w:rPr>
          <w:rFonts w:cs="Times New Roman"/>
          <w:lang w:val="en-US"/>
        </w:rPr>
        <w:t xml:space="preserve"> (</w:t>
      </w:r>
      <w:r w:rsidR="00B34C50" w:rsidRPr="00E52CC5">
        <w:rPr>
          <w:rFonts w:cs="Times New Roman"/>
          <w:iCs/>
          <w:lang w:val="en-US"/>
        </w:rPr>
        <w:t xml:space="preserve">rule-of-thumb </w:t>
      </w:r>
      <w:r w:rsidR="00B34C50" w:rsidRPr="00E52CC5">
        <w:rPr>
          <w:rFonts w:cs="Times New Roman"/>
          <w:lang w:val="en-US"/>
        </w:rPr>
        <w:t xml:space="preserve">households). Additionally, </w:t>
      </w:r>
      <w:r w:rsidR="00B34C50" w:rsidRPr="00E52CC5">
        <w:rPr>
          <w:rFonts w:cs="Times New Roman"/>
          <w:lang w:val="en-US"/>
        </w:rPr>
        <w:t>two alternative labor marke</w:t>
      </w:r>
      <w:r w:rsidR="00B34C50" w:rsidRPr="00E52CC5">
        <w:rPr>
          <w:rFonts w:cs="Times New Roman"/>
          <w:lang w:val="en-US"/>
        </w:rPr>
        <w:t xml:space="preserve">t structures are considered in the paper. The first one assumes a </w:t>
      </w:r>
      <w:r w:rsidR="00B34C50" w:rsidRPr="00E52CC5">
        <w:rPr>
          <w:rFonts w:cs="Times New Roman"/>
          <w:lang w:val="en-US"/>
        </w:rPr>
        <w:t>competitive labor market, with each household</w:t>
      </w:r>
      <w:r w:rsidR="00B34C50" w:rsidRPr="00E52CC5">
        <w:rPr>
          <w:rFonts w:cs="Times New Roman"/>
          <w:lang w:val="en-US"/>
        </w:rPr>
        <w:t xml:space="preserve"> choosing the quantity of hours </w:t>
      </w:r>
      <w:r w:rsidR="00B34C50" w:rsidRPr="00E52CC5">
        <w:rPr>
          <w:rFonts w:cs="Times New Roman"/>
          <w:lang w:val="en-US"/>
        </w:rPr>
        <w:t>supplied given the market wage</w:t>
      </w:r>
      <w:r w:rsidR="00B34C50" w:rsidRPr="00E52CC5">
        <w:rPr>
          <w:rFonts w:cs="Times New Roman"/>
          <w:lang w:val="en-US"/>
        </w:rPr>
        <w:t xml:space="preserve">. </w:t>
      </w:r>
      <w:r w:rsidR="00B34C50" w:rsidRPr="00E52CC5">
        <w:rPr>
          <w:rFonts w:cs="Times New Roman"/>
          <w:lang w:val="en-US"/>
        </w:rPr>
        <w:t xml:space="preserve">Under </w:t>
      </w:r>
      <w:r w:rsidR="00B34C50" w:rsidRPr="00E52CC5">
        <w:rPr>
          <w:rFonts w:cs="Times New Roman"/>
          <w:lang w:val="en-US"/>
        </w:rPr>
        <w:t>the</w:t>
      </w:r>
      <w:r w:rsidR="00B34C50" w:rsidRPr="00E52CC5">
        <w:rPr>
          <w:rFonts w:cs="Times New Roman"/>
          <w:lang w:val="en-US"/>
        </w:rPr>
        <w:t xml:space="preserve"> second labor market structure</w:t>
      </w:r>
      <w:r w:rsidR="00B34C50" w:rsidRPr="00E52CC5">
        <w:rPr>
          <w:rFonts w:cs="Times New Roman"/>
          <w:lang w:val="en-US"/>
        </w:rPr>
        <w:t xml:space="preserve"> </w:t>
      </w:r>
      <w:r w:rsidR="00B34C50" w:rsidRPr="00E52CC5">
        <w:rPr>
          <w:rFonts w:cs="Times New Roman"/>
          <w:lang w:val="en-US"/>
        </w:rPr>
        <w:t xml:space="preserve">wages </w:t>
      </w:r>
      <w:r w:rsidR="00B34C50" w:rsidRPr="00E52CC5">
        <w:rPr>
          <w:rFonts w:cs="Times New Roman"/>
          <w:lang w:val="en-US"/>
        </w:rPr>
        <w:t xml:space="preserve">are set in a centralized manner </w:t>
      </w:r>
      <w:r w:rsidR="00B34C50" w:rsidRPr="00E52CC5">
        <w:rPr>
          <w:rFonts w:cs="Times New Roman"/>
          <w:lang w:val="en-US"/>
        </w:rPr>
        <w:t xml:space="preserve">by an economy-wide union. In that case hours </w:t>
      </w:r>
      <w:r w:rsidR="00B34C50" w:rsidRPr="00E52CC5">
        <w:rPr>
          <w:rFonts w:cs="Times New Roman"/>
          <w:lang w:val="en-US"/>
        </w:rPr>
        <w:t xml:space="preserve">are assumed to be determined by </w:t>
      </w:r>
      <w:r w:rsidR="00B34C50" w:rsidRPr="00E52CC5">
        <w:rPr>
          <w:rFonts w:cs="Times New Roman"/>
          <w:lang w:val="en-US"/>
        </w:rPr>
        <w:t>firms (instead of being chosen optimally by hou</w:t>
      </w:r>
      <w:r w:rsidR="00B34C50" w:rsidRPr="00E52CC5">
        <w:rPr>
          <w:rFonts w:cs="Times New Roman"/>
          <w:lang w:val="en-US"/>
        </w:rPr>
        <w:t xml:space="preserve">seholds), given the wage set by </w:t>
      </w:r>
      <w:r w:rsidR="00B34C50" w:rsidRPr="00E52CC5">
        <w:rPr>
          <w:rFonts w:cs="Times New Roman"/>
          <w:lang w:val="en-US"/>
        </w:rPr>
        <w:t>the union.</w:t>
      </w:r>
    </w:p>
    <w:p w:rsidR="00AC15A0" w:rsidRPr="00E52CC5" w:rsidRDefault="005F244C" w:rsidP="00E5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iCs/>
          <w:lang w:val="en-US"/>
        </w:rPr>
      </w:pPr>
      <w:r w:rsidRPr="00E52CC5">
        <w:rPr>
          <w:iCs/>
          <w:lang w:val="en-US"/>
        </w:rPr>
        <w:t xml:space="preserve">• </w:t>
      </w:r>
      <w:proofErr w:type="gramStart"/>
      <w:r w:rsidRPr="00E52CC5">
        <w:rPr>
          <w:lang w:val="en-US"/>
        </w:rPr>
        <w:t>Aggregate  supply</w:t>
      </w:r>
      <w:proofErr w:type="gramEnd"/>
      <w:r w:rsidRPr="00E52CC5">
        <w:rPr>
          <w:lang w:val="en-US"/>
        </w:rPr>
        <w:t xml:space="preserve">:  </w:t>
      </w:r>
      <w:r w:rsidR="00AC15A0" w:rsidRPr="00E52CC5">
        <w:rPr>
          <w:lang w:val="en-US"/>
        </w:rPr>
        <w:t xml:space="preserve">Intermediate </w:t>
      </w:r>
      <w:r w:rsidRPr="00E52CC5">
        <w:rPr>
          <w:lang w:val="en-US"/>
        </w:rPr>
        <w:t>firms  act  under  monopolistic  competition</w:t>
      </w:r>
      <w:r w:rsidR="00AC15A0" w:rsidRPr="00E52CC5">
        <w:rPr>
          <w:lang w:val="en-US"/>
        </w:rPr>
        <w:t xml:space="preserve"> and </w:t>
      </w:r>
      <w:r w:rsidR="00AC15A0" w:rsidRPr="00E52CC5">
        <w:rPr>
          <w:rFonts w:cs="Times New Roman"/>
          <w:lang w:val="en-US"/>
        </w:rPr>
        <w:t>se</w:t>
      </w:r>
      <w:r w:rsidR="00E52CC5">
        <w:rPr>
          <w:rFonts w:cs="Times New Roman"/>
          <w:lang w:val="en-US"/>
        </w:rPr>
        <w:t xml:space="preserve">t </w:t>
      </w:r>
      <w:r w:rsidR="00AC15A0" w:rsidRPr="00E52CC5">
        <w:rPr>
          <w:rFonts w:cs="Times New Roman"/>
          <w:lang w:val="en-US"/>
        </w:rPr>
        <w:t xml:space="preserve">nominal prices in a staggered </w:t>
      </w:r>
      <w:r w:rsidR="00AC15A0" w:rsidRPr="00E52CC5">
        <w:rPr>
          <w:rFonts w:cs="Times New Roman"/>
          <w:lang w:val="en-US"/>
        </w:rPr>
        <w:t>fashion</w:t>
      </w:r>
      <w:r w:rsidR="00AC15A0" w:rsidRPr="00E52CC5">
        <w:rPr>
          <w:rFonts w:cs="Times New Roman"/>
          <w:lang w:val="en-US"/>
        </w:rPr>
        <w:t xml:space="preserve"> a la </w:t>
      </w:r>
      <w:proofErr w:type="spellStart"/>
      <w:r w:rsidR="00AC15A0" w:rsidRPr="00E52CC5">
        <w:rPr>
          <w:rFonts w:cs="Times New Roman"/>
          <w:lang w:val="en-US"/>
        </w:rPr>
        <w:t>Calvo</w:t>
      </w:r>
      <w:proofErr w:type="spellEnd"/>
      <w:r w:rsidR="00AC15A0" w:rsidRPr="00E52CC5">
        <w:rPr>
          <w:rFonts w:cs="Times New Roman"/>
          <w:lang w:val="en-US"/>
        </w:rPr>
        <w:t xml:space="preserve"> </w:t>
      </w:r>
      <w:r w:rsidR="00AC15A0" w:rsidRPr="00E52CC5">
        <w:rPr>
          <w:rFonts w:cs="Times New Roman"/>
          <w:lang w:val="en-US"/>
        </w:rPr>
        <w:t>(1983).</w:t>
      </w:r>
      <w:r w:rsidR="00AC15A0" w:rsidRPr="00E52CC5">
        <w:rPr>
          <w:rFonts w:cs="Times New Roman"/>
          <w:lang w:val="en-US"/>
        </w:rPr>
        <w:t xml:space="preserve"> Their products are </w:t>
      </w:r>
      <w:r w:rsidR="00AC15A0" w:rsidRPr="00E52CC5">
        <w:rPr>
          <w:rFonts w:cs="Times New Roman"/>
          <w:lang w:val="en-US"/>
        </w:rPr>
        <w:t>used as inputs by</w:t>
      </w:r>
      <w:r w:rsidR="00AC15A0" w:rsidRPr="00E52CC5">
        <w:rPr>
          <w:rFonts w:cs="Times New Roman"/>
          <w:lang w:val="en-US"/>
        </w:rPr>
        <w:t xml:space="preserve"> firms which produce </w:t>
      </w:r>
      <w:r w:rsidR="00AC15A0" w:rsidRPr="00E52CC5">
        <w:rPr>
          <w:rFonts w:cs="Times New Roman"/>
          <w:lang w:val="en-US"/>
        </w:rPr>
        <w:t>final good</w:t>
      </w:r>
      <w:r w:rsidR="00AC15A0" w:rsidRPr="00E52CC5">
        <w:rPr>
          <w:rFonts w:cs="Times New Roman"/>
          <w:lang w:val="en-US"/>
        </w:rPr>
        <w:t>s. P</w:t>
      </w:r>
      <w:r w:rsidR="00AC15A0" w:rsidRPr="00E52CC5">
        <w:rPr>
          <w:rFonts w:cs="Times New Roman"/>
          <w:lang w:val="en-US"/>
        </w:rPr>
        <w:t>erfectly</w:t>
      </w:r>
      <w:r w:rsidR="00AC15A0" w:rsidRPr="00E52CC5">
        <w:rPr>
          <w:rFonts w:cs="Times New Roman"/>
          <w:iCs/>
          <w:lang w:val="en-US"/>
        </w:rPr>
        <w:t xml:space="preserve"> </w:t>
      </w:r>
      <w:r w:rsidR="00AC15A0" w:rsidRPr="00E52CC5">
        <w:rPr>
          <w:rFonts w:cs="Times New Roman"/>
          <w:lang w:val="en-US"/>
        </w:rPr>
        <w:t>competitive</w:t>
      </w:r>
      <w:r w:rsidR="00AC15A0" w:rsidRPr="00E52CC5">
        <w:rPr>
          <w:rFonts w:cs="Times New Roman"/>
          <w:lang w:val="en-US"/>
        </w:rPr>
        <w:t xml:space="preserve"> final-good firm</w:t>
      </w:r>
      <w:r w:rsidR="00E52CC5">
        <w:rPr>
          <w:rFonts w:cs="Times New Roman"/>
          <w:lang w:val="en-US"/>
        </w:rPr>
        <w:t>s</w:t>
      </w:r>
      <w:r w:rsidR="00AC15A0" w:rsidRPr="00E52CC5">
        <w:rPr>
          <w:rFonts w:cs="Times New Roman"/>
          <w:lang w:val="en-US"/>
        </w:rPr>
        <w:t xml:space="preserve"> produce</w:t>
      </w:r>
      <w:r w:rsidR="00AC15A0" w:rsidRPr="00E52CC5">
        <w:rPr>
          <w:rFonts w:cs="Times New Roman"/>
          <w:lang w:val="en-US"/>
        </w:rPr>
        <w:t xml:space="preserve"> with a constant returns technology</w:t>
      </w:r>
      <w:r w:rsidR="00E52CC5">
        <w:rPr>
          <w:rFonts w:cs="Times New Roman"/>
          <w:lang w:val="en-US"/>
        </w:rPr>
        <w:t>.</w:t>
      </w:r>
    </w:p>
    <w:p w:rsidR="005F244C" w:rsidRPr="00E52CC5" w:rsidRDefault="005F244C" w:rsidP="00E52CC5">
      <w:pPr>
        <w:pStyle w:val="textbox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Theme="minorHAnsi" w:hAnsiTheme="minorHAnsi"/>
          <w:sz w:val="22"/>
          <w:szCs w:val="22"/>
          <w:lang w:val="en-US"/>
        </w:rPr>
      </w:pPr>
      <w:r w:rsidRPr="00E52CC5">
        <w:rPr>
          <w:rFonts w:asciiTheme="minorHAnsi" w:hAnsiTheme="minorHAnsi"/>
          <w:iCs/>
          <w:sz w:val="22"/>
          <w:szCs w:val="22"/>
          <w:lang w:val="en-US"/>
        </w:rPr>
        <w:t xml:space="preserve">• </w:t>
      </w:r>
      <w:r w:rsidRPr="00E52CC5">
        <w:rPr>
          <w:rFonts w:asciiTheme="minorHAnsi" w:hAnsiTheme="minorHAnsi"/>
          <w:sz w:val="22"/>
          <w:szCs w:val="22"/>
          <w:lang w:val="en-US"/>
        </w:rPr>
        <w:t>Shoc</w:t>
      </w:r>
      <w:r w:rsidR="00E52CC5" w:rsidRPr="00E52CC5">
        <w:rPr>
          <w:rFonts w:asciiTheme="minorHAnsi" w:hAnsiTheme="minorHAnsi"/>
          <w:sz w:val="22"/>
          <w:szCs w:val="22"/>
          <w:lang w:val="en-US"/>
        </w:rPr>
        <w:t xml:space="preserve">ks:  This </w:t>
      </w:r>
      <w:r w:rsidR="00E52CC5">
        <w:rPr>
          <w:rFonts w:asciiTheme="minorHAnsi" w:hAnsiTheme="minorHAnsi"/>
          <w:sz w:val="22"/>
          <w:szCs w:val="22"/>
          <w:lang w:val="en-US"/>
        </w:rPr>
        <w:t xml:space="preserve">paper presents responses to a </w:t>
      </w:r>
      <w:r w:rsidR="00E52CC5" w:rsidRPr="00E52CC5">
        <w:rPr>
          <w:rFonts w:asciiTheme="minorHAnsi" w:hAnsiTheme="minorHAnsi"/>
          <w:sz w:val="22"/>
          <w:szCs w:val="22"/>
          <w:lang w:val="en-US"/>
        </w:rPr>
        <w:t>government spending shock.</w:t>
      </w:r>
    </w:p>
    <w:p w:rsidR="005F244C" w:rsidRPr="00E52CC5" w:rsidRDefault="005F244C" w:rsidP="00E52CC5">
      <w:pPr>
        <w:pStyle w:val="textbox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iCs/>
          <w:sz w:val="22"/>
          <w:szCs w:val="22"/>
          <w:lang w:val="en-US"/>
        </w:rPr>
      </w:pPr>
      <w:r w:rsidRPr="00E52CC5">
        <w:rPr>
          <w:rFonts w:asciiTheme="minorHAnsi" w:hAnsiTheme="minorHAnsi"/>
          <w:iCs/>
          <w:sz w:val="22"/>
          <w:szCs w:val="22"/>
          <w:lang w:val="en-US"/>
        </w:rPr>
        <w:t xml:space="preserve">• </w:t>
      </w:r>
      <w:r w:rsidR="00E52CC5">
        <w:rPr>
          <w:rFonts w:asciiTheme="minorHAnsi" w:hAnsiTheme="minorHAnsi"/>
          <w:sz w:val="22"/>
          <w:szCs w:val="22"/>
          <w:lang w:val="en-US"/>
        </w:rPr>
        <w:t xml:space="preserve">Calibration/Estimation:  The model is calibrated at quarterly </w:t>
      </w:r>
      <w:r w:rsidRPr="00E52CC5">
        <w:rPr>
          <w:rFonts w:asciiTheme="minorHAnsi" w:hAnsiTheme="minorHAnsi"/>
          <w:sz w:val="22"/>
          <w:szCs w:val="22"/>
          <w:lang w:val="en-US"/>
        </w:rPr>
        <w:t>frequency.</w:t>
      </w:r>
    </w:p>
    <w:p w:rsidR="005F244C" w:rsidRDefault="005F244C" w:rsidP="005F244C">
      <w:pPr>
        <w:spacing w:line="276" w:lineRule="auto"/>
        <w:rPr>
          <w:lang w:val="en-US"/>
        </w:rPr>
      </w:pPr>
      <w:bookmarkStart w:id="0" w:name="_GoBack"/>
      <w:bookmarkEnd w:id="0"/>
    </w:p>
    <w:p w:rsidR="00AC15A0" w:rsidRPr="00AC15A0" w:rsidRDefault="00AC15A0" w:rsidP="00AC15A0">
      <w:pPr>
        <w:spacing w:line="276" w:lineRule="auto"/>
        <w:rPr>
          <w:lang w:val="en-US"/>
        </w:rPr>
      </w:pPr>
    </w:p>
    <w:sectPr w:rsidR="00AC15A0" w:rsidRPr="00AC1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3"/>
    <w:rsid w:val="00057D2D"/>
    <w:rsid w:val="005F244C"/>
    <w:rsid w:val="006130B3"/>
    <w:rsid w:val="00AC15A0"/>
    <w:rsid w:val="00B34C50"/>
    <w:rsid w:val="00E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C2235-A3FF-4245-BA18-00DCDEE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5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Milivojevic, Lazar</dc:creator>
  <cp:keywords/>
  <dc:description/>
  <cp:lastModifiedBy>Milivojevic, Lazar</cp:lastModifiedBy>
  <cp:revision>1</cp:revision>
  <dcterms:created xsi:type="dcterms:W3CDTF">2018-04-22T19:06:00Z</dcterms:created>
  <dcterms:modified xsi:type="dcterms:W3CDTF">2018-04-22T19:53:00Z</dcterms:modified>
</cp:coreProperties>
</file>