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DBA" w:rsidRPr="00877EB3" w:rsidRDefault="00790DBA">
      <w:pPr>
        <w:rPr>
          <w:b/>
          <w:sz w:val="24"/>
          <w:szCs w:val="24"/>
        </w:rPr>
      </w:pPr>
      <w:r w:rsidRPr="00877EB3">
        <w:rPr>
          <w:b/>
          <w:sz w:val="24"/>
          <w:szCs w:val="24"/>
        </w:rPr>
        <w:t>NK_PSV16</w:t>
      </w:r>
    </w:p>
    <w:p w:rsidR="00790DBA" w:rsidRPr="00F33AE9" w:rsidRDefault="00790DBA"/>
    <w:p w:rsidR="001E27EE" w:rsidRPr="00F33AE9" w:rsidRDefault="00877EB3" w:rsidP="00F33AE9">
      <w:pPr>
        <w:autoSpaceDE w:val="0"/>
        <w:autoSpaceDN w:val="0"/>
        <w:adjustRightInd w:val="0"/>
        <w:spacing w:after="0" w:line="276" w:lineRule="auto"/>
        <w:jc w:val="both"/>
        <w:rPr>
          <w:rFonts w:cs="t1-gul-regular"/>
          <w:lang w:val="en-US"/>
        </w:rPr>
      </w:pPr>
      <w:proofErr w:type="spellStart"/>
      <w:r w:rsidRPr="00F33AE9">
        <w:rPr>
          <w:rFonts w:cs="t1-gul-regular"/>
          <w:lang w:val="en-US"/>
        </w:rPr>
        <w:t>Pancrazi</w:t>
      </w:r>
      <w:proofErr w:type="spellEnd"/>
      <w:r w:rsidRPr="00F33AE9">
        <w:rPr>
          <w:rFonts w:cs="t1-gul-regular"/>
          <w:lang w:val="en-US"/>
        </w:rPr>
        <w:t xml:space="preserve"> et al. (2016) consider the so-called financial accelerator mechanism </w:t>
      </w:r>
      <w:r w:rsidRPr="00F33AE9">
        <w:rPr>
          <w:rFonts w:cs="t1-gul-regular"/>
          <w:lang w:val="en-US"/>
        </w:rPr>
        <w:t>used in many articles since Bernanke et al. (1999)</w:t>
      </w:r>
      <w:r w:rsidRPr="00F33AE9">
        <w:rPr>
          <w:rFonts w:cs="t1-gul-regular"/>
          <w:lang w:val="en-US"/>
        </w:rPr>
        <w:t xml:space="preserve"> and show </w:t>
      </w:r>
      <w:r w:rsidR="00790DBA" w:rsidRPr="00F33AE9">
        <w:rPr>
          <w:rFonts w:cs="t1-gul-regular"/>
          <w:lang w:val="en-US"/>
        </w:rPr>
        <w:t>that the procedure of approximating the price of old capital by the net-of</w:t>
      </w:r>
      <w:r w:rsidRPr="00F33AE9">
        <w:rPr>
          <w:rFonts w:cs="t1-gul-regular"/>
          <w:lang w:val="en-US"/>
        </w:rPr>
        <w:t xml:space="preserve">-depreciation </w:t>
      </w:r>
      <w:r w:rsidR="00790DBA" w:rsidRPr="00F33AE9">
        <w:rPr>
          <w:rFonts w:cs="t1-gul-regular"/>
          <w:lang w:val="en-US"/>
        </w:rPr>
        <w:t>price of new capital</w:t>
      </w:r>
      <w:r w:rsidRPr="00F33AE9">
        <w:rPr>
          <w:rFonts w:cs="t1-gul-regular"/>
          <w:lang w:val="en-US"/>
        </w:rPr>
        <w:t xml:space="preserve"> has profound </w:t>
      </w:r>
      <w:r w:rsidR="00790DBA" w:rsidRPr="00F33AE9">
        <w:rPr>
          <w:rFonts w:cs="t1-gul-regular"/>
          <w:lang w:val="en-US"/>
        </w:rPr>
        <w:t>implications when the capital depreciation rate is positive. When accounti</w:t>
      </w:r>
      <w:r w:rsidRPr="00F33AE9">
        <w:rPr>
          <w:rFonts w:cs="t1-gul-regular"/>
          <w:lang w:val="en-US"/>
        </w:rPr>
        <w:t xml:space="preserve">ng for the appropriate price of </w:t>
      </w:r>
      <w:r w:rsidR="00790DBA" w:rsidRPr="00F33AE9">
        <w:rPr>
          <w:rFonts w:cs="t1-gul-regular"/>
          <w:lang w:val="en-US"/>
        </w:rPr>
        <w:t xml:space="preserve">capital, the effects of the </w:t>
      </w:r>
      <w:r w:rsidR="00790DBA" w:rsidRPr="00F33AE9">
        <w:rPr>
          <w:rFonts w:cs="t1-gul-regular-italic"/>
          <w:lang w:val="en-US"/>
        </w:rPr>
        <w:t xml:space="preserve">financial accelerator </w:t>
      </w:r>
      <w:r w:rsidR="00790DBA" w:rsidRPr="00F33AE9">
        <w:rPr>
          <w:rFonts w:cs="t1-gul-regular"/>
          <w:lang w:val="en-US"/>
        </w:rPr>
        <w:t>are even stronger than originally assessed.</w:t>
      </w:r>
      <w:r w:rsidRPr="00F33AE9">
        <w:rPr>
          <w:rFonts w:cs="t1-gul-regular"/>
          <w:lang w:val="en-US"/>
        </w:rPr>
        <w:t xml:space="preserve"> Since the setup is the same as in </w:t>
      </w:r>
      <w:r w:rsidRPr="00F33AE9">
        <w:rPr>
          <w:rFonts w:cs="t1-gul-regular"/>
          <w:lang w:val="en-US"/>
        </w:rPr>
        <w:t>Bernanke et al. (1999)</w:t>
      </w:r>
      <w:r w:rsidRPr="00F33AE9">
        <w:rPr>
          <w:rFonts w:cs="t1-gul-regular"/>
          <w:lang w:val="en-US"/>
        </w:rPr>
        <w:t xml:space="preserve"> where </w:t>
      </w:r>
      <w:r w:rsidRPr="00F33AE9">
        <w:rPr>
          <w:rFonts w:cs="t1-gul-regular"/>
          <w:lang w:val="en-US"/>
        </w:rPr>
        <w:t xml:space="preserve">entrepreneurs borrow in </w:t>
      </w:r>
      <w:r w:rsidR="001E27EE" w:rsidRPr="00F33AE9">
        <w:rPr>
          <w:rFonts w:cs="t1-gul-regular"/>
          <w:lang w:val="en-US"/>
        </w:rPr>
        <w:t xml:space="preserve">credit markets to finance their </w:t>
      </w:r>
      <w:r w:rsidRPr="00F33AE9">
        <w:rPr>
          <w:rFonts w:cs="t1-gul-regular"/>
          <w:lang w:val="en-US"/>
        </w:rPr>
        <w:t xml:space="preserve">investment in capital, the strength of the </w:t>
      </w:r>
      <w:r w:rsidRPr="00F33AE9">
        <w:rPr>
          <w:rFonts w:cs="t1-gul-regular-italic"/>
          <w:lang w:val="en-US"/>
        </w:rPr>
        <w:t xml:space="preserve">financial accelerator </w:t>
      </w:r>
      <w:r w:rsidR="001E27EE" w:rsidRPr="00F33AE9">
        <w:rPr>
          <w:rFonts w:cs="t1-gul-regular"/>
          <w:lang w:val="en-US"/>
        </w:rPr>
        <w:t>turns out to</w:t>
      </w:r>
      <w:r w:rsidRPr="00F33AE9">
        <w:rPr>
          <w:rFonts w:cs="t1-gul-regular"/>
          <w:lang w:val="en-US"/>
        </w:rPr>
        <w:t xml:space="preserve"> </w:t>
      </w:r>
      <w:r w:rsidR="001E27EE" w:rsidRPr="00F33AE9">
        <w:rPr>
          <w:rFonts w:cs="t1-gul-regular"/>
          <w:lang w:val="en-US"/>
        </w:rPr>
        <w:t xml:space="preserve">depend crucially on the dynamics of the </w:t>
      </w:r>
      <w:r w:rsidRPr="00F33AE9">
        <w:rPr>
          <w:rFonts w:cs="t1-gul-regular"/>
          <w:lang w:val="en-US"/>
        </w:rPr>
        <w:t>price of capital.</w:t>
      </w:r>
      <w:r w:rsidR="001E27EE" w:rsidRPr="00F33AE9">
        <w:rPr>
          <w:rFonts w:cs="t1-gul-regular"/>
          <w:lang w:val="en-US"/>
        </w:rPr>
        <w:t xml:space="preserve"> This conclusion has important </w:t>
      </w:r>
      <w:r w:rsidR="001E27EE" w:rsidRPr="00F33AE9">
        <w:rPr>
          <w:rFonts w:cs="t1-gul-regular"/>
          <w:lang w:val="en-US"/>
        </w:rPr>
        <w:t>first-order effects on the solution of a model that assumes a pos</w:t>
      </w:r>
      <w:r w:rsidR="001E27EE" w:rsidRPr="00F33AE9">
        <w:rPr>
          <w:rFonts w:cs="t1-gul-regular"/>
          <w:lang w:val="en-US"/>
        </w:rPr>
        <w:t xml:space="preserve">itive </w:t>
      </w:r>
      <w:r w:rsidR="001E27EE" w:rsidRPr="00F33AE9">
        <w:rPr>
          <w:rFonts w:cs="t1-gul-regular"/>
          <w:lang w:val="en-US"/>
        </w:rPr>
        <w:t>depreciation rate of capital toge</w:t>
      </w:r>
      <w:r w:rsidR="001E27EE" w:rsidRPr="00F33AE9">
        <w:rPr>
          <w:rFonts w:cs="t1-gul-regular"/>
          <w:lang w:val="en-US"/>
        </w:rPr>
        <w:t>ther with investm</w:t>
      </w:r>
      <w:bookmarkStart w:id="0" w:name="_GoBack"/>
      <w:bookmarkEnd w:id="0"/>
      <w:r w:rsidR="001E27EE" w:rsidRPr="00F33AE9">
        <w:rPr>
          <w:rFonts w:cs="t1-gul-regular"/>
          <w:lang w:val="en-US"/>
        </w:rPr>
        <w:t xml:space="preserve">ent adjustment </w:t>
      </w:r>
      <w:r w:rsidR="001E27EE" w:rsidRPr="00F33AE9">
        <w:rPr>
          <w:rFonts w:cs="t1-gul-regular"/>
          <w:lang w:val="en-US"/>
        </w:rPr>
        <w:t>costs</w:t>
      </w:r>
      <w:r w:rsidR="001E27EE" w:rsidRPr="00F33AE9">
        <w:rPr>
          <w:rFonts w:cs="t1-gul-regular"/>
          <w:lang w:val="en-US"/>
        </w:rPr>
        <w:t>.</w:t>
      </w:r>
    </w:p>
    <w:p w:rsidR="00877EB3" w:rsidRPr="00F33AE9" w:rsidRDefault="00877EB3" w:rsidP="00F33AE9">
      <w:pPr>
        <w:autoSpaceDE w:val="0"/>
        <w:autoSpaceDN w:val="0"/>
        <w:adjustRightInd w:val="0"/>
        <w:spacing w:after="0" w:line="276" w:lineRule="auto"/>
        <w:rPr>
          <w:rFonts w:cs="t1-gul-regular"/>
          <w:lang w:val="en-US"/>
        </w:rPr>
      </w:pPr>
    </w:p>
    <w:p w:rsidR="00790DBA" w:rsidRPr="00F33AE9" w:rsidRDefault="00790DBA" w:rsidP="00F33AE9">
      <w:pPr>
        <w:autoSpaceDE w:val="0"/>
        <w:autoSpaceDN w:val="0"/>
        <w:adjustRightInd w:val="0"/>
        <w:spacing w:after="0" w:line="276" w:lineRule="auto"/>
        <w:jc w:val="both"/>
        <w:rPr>
          <w:rFonts w:cs="t1-gul-regular"/>
          <w:lang w:val="en-US"/>
        </w:rPr>
      </w:pPr>
    </w:p>
    <w:p w:rsidR="001E27EE" w:rsidRPr="00F33AE9" w:rsidRDefault="001E27EE" w:rsidP="00F33AE9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cs="t1-gul-regular"/>
          <w:lang w:val="en-US"/>
        </w:rPr>
      </w:pPr>
      <w:r w:rsidRPr="00F33AE9">
        <w:rPr>
          <w:i/>
          <w:iCs/>
          <w:lang w:val="en-US"/>
        </w:rPr>
        <w:t>•</w:t>
      </w:r>
      <w:r w:rsidRPr="00F33AE9">
        <w:rPr>
          <w:i/>
          <w:iCs/>
          <w:lang w:val="en-US"/>
        </w:rPr>
        <w:t xml:space="preserve"> </w:t>
      </w:r>
      <w:r w:rsidRPr="00F33AE9">
        <w:rPr>
          <w:lang w:val="en-US"/>
        </w:rPr>
        <w:t>Aggregate  d</w:t>
      </w:r>
      <w:r w:rsidRPr="00F33AE9">
        <w:rPr>
          <w:lang w:val="en-US"/>
        </w:rPr>
        <w:t>emand:  Households  gain  utility  from  consumption,  leisur</w:t>
      </w:r>
      <w:r w:rsidRPr="00F33AE9">
        <w:rPr>
          <w:lang w:val="en-US"/>
        </w:rPr>
        <w:t xml:space="preserve">e  and  real  money  balances. </w:t>
      </w:r>
      <w:r w:rsidRPr="00F33AE9">
        <w:rPr>
          <w:rFonts w:cs="t1-gul-regular"/>
          <w:lang w:val="en-US"/>
        </w:rPr>
        <w:t xml:space="preserve">They </w:t>
      </w:r>
      <w:r w:rsidRPr="00F33AE9">
        <w:rPr>
          <w:rFonts w:cs="t1-gul-regular"/>
          <w:lang w:val="en-US"/>
        </w:rPr>
        <w:t>work, consume, pay taxes, hold mone</w:t>
      </w:r>
      <w:r w:rsidRPr="00F33AE9">
        <w:rPr>
          <w:rFonts w:cs="t1-gul-regular"/>
          <w:lang w:val="en-US"/>
        </w:rPr>
        <w:t xml:space="preserve">y, and invest their savings, in </w:t>
      </w:r>
      <w:r w:rsidRPr="00F33AE9">
        <w:rPr>
          <w:rFonts w:cs="t1-gul-regular"/>
          <w:lang w:val="en-US"/>
        </w:rPr>
        <w:t>form of deposits, in a financial inte</w:t>
      </w:r>
      <w:r w:rsidRPr="00F33AE9">
        <w:rPr>
          <w:rFonts w:cs="t1-gul-regular"/>
          <w:lang w:val="en-US"/>
        </w:rPr>
        <w:t xml:space="preserve">rmediary that pays the riskless </w:t>
      </w:r>
      <w:r w:rsidRPr="00F33AE9">
        <w:rPr>
          <w:rFonts w:cs="t1-gul-regular"/>
          <w:lang w:val="en-US"/>
        </w:rPr>
        <w:t xml:space="preserve">rate of return. These deposits are </w:t>
      </w:r>
      <w:r w:rsidRPr="00F33AE9">
        <w:rPr>
          <w:rFonts w:cs="t1-gul-regular"/>
          <w:lang w:val="en-US"/>
        </w:rPr>
        <w:t xml:space="preserve">transferred to entrepreneurs in </w:t>
      </w:r>
      <w:r w:rsidRPr="00F33AE9">
        <w:rPr>
          <w:rFonts w:cs="t1-gul-regular"/>
          <w:lang w:val="en-US"/>
        </w:rPr>
        <w:t>the form of loanable funds.</w:t>
      </w:r>
      <w:r w:rsidRPr="00F33AE9">
        <w:rPr>
          <w:lang w:val="en-US"/>
        </w:rPr>
        <w:t xml:space="preserve">  Entrepreneurs  use  capital  and  labor  to  produce  wholesale</w:t>
      </w:r>
      <w:r w:rsidRPr="00F33AE9">
        <w:rPr>
          <w:lang w:val="en-US"/>
        </w:rPr>
        <w:t xml:space="preserve"> </w:t>
      </w:r>
      <w:r w:rsidRPr="00F33AE9">
        <w:rPr>
          <w:lang w:val="en-US"/>
        </w:rPr>
        <w:t>goods  that  are  sold  to  the  retail  sector.  Each  period,  entrepreneurs  have  to  accumulate  capital  that  becomes</w:t>
      </w:r>
      <w:r w:rsidRPr="00F33AE9">
        <w:rPr>
          <w:lang w:val="en-US"/>
        </w:rPr>
        <w:t xml:space="preserve"> </w:t>
      </w:r>
      <w:r w:rsidRPr="00F33AE9">
        <w:rPr>
          <w:lang w:val="en-US"/>
        </w:rPr>
        <w:t>available  for  production  in  the  subsequent  period.  Entrepreneu</w:t>
      </w:r>
      <w:r w:rsidRPr="00F33AE9">
        <w:rPr>
          <w:lang w:val="en-US"/>
        </w:rPr>
        <w:t xml:space="preserve">rs  </w:t>
      </w:r>
      <w:r w:rsidRPr="00F33AE9">
        <w:rPr>
          <w:lang w:val="en-US"/>
        </w:rPr>
        <w:t>have  to  borrow  from  households  via  a  financial</w:t>
      </w:r>
      <w:r w:rsidRPr="00F33AE9">
        <w:rPr>
          <w:lang w:val="en-US"/>
        </w:rPr>
        <w:t xml:space="preserve"> </w:t>
      </w:r>
      <w:r w:rsidRPr="00F33AE9">
        <w:rPr>
          <w:lang w:val="en-US"/>
        </w:rPr>
        <w:t>intermediary  to  finance  capital  purchases.  Since  the  financial  intermediary  has  to  pay  some  auditing  costs  to</w:t>
      </w:r>
      <w:r w:rsidRPr="00F33AE9">
        <w:rPr>
          <w:lang w:val="en-US"/>
        </w:rPr>
        <w:t xml:space="preserve"> </w:t>
      </w:r>
      <w:r w:rsidRPr="00F33AE9">
        <w:rPr>
          <w:lang w:val="en-US"/>
        </w:rPr>
        <w:t>observe  the  idiosyncratic  return  to  capital,  an  agency  problem  arises.  The  optimal  contract  leads  to  an  aggregate</w:t>
      </w:r>
      <w:r w:rsidRPr="00F33AE9">
        <w:rPr>
          <w:lang w:val="en-US"/>
        </w:rPr>
        <w:t xml:space="preserve"> </w:t>
      </w:r>
      <w:r w:rsidRPr="00F33AE9">
        <w:rPr>
          <w:lang w:val="en-US"/>
        </w:rPr>
        <w:t>relationship  of  the  spread  between  the  external  finance  costs  and  the  risk-free  rate  and  entrepreneurs’  financial</w:t>
      </w:r>
      <w:r w:rsidRPr="00F33AE9">
        <w:rPr>
          <w:lang w:val="en-US"/>
        </w:rPr>
        <w:t xml:space="preserve"> </w:t>
      </w:r>
      <w:r w:rsidRPr="00F33AE9">
        <w:rPr>
          <w:lang w:val="en-US"/>
        </w:rPr>
        <w:t>conditions  represented  by  the  leverage  ratio.</w:t>
      </w:r>
    </w:p>
    <w:p w:rsidR="001E27EE" w:rsidRPr="00F33AE9" w:rsidRDefault="001E27EE" w:rsidP="00F33AE9">
      <w:pPr>
        <w:pStyle w:val="textbox"/>
        <w:shd w:val="clear" w:color="auto" w:fill="FFFFFF"/>
        <w:spacing w:before="0" w:beforeAutospacing="0" w:after="0" w:afterAutospacing="0" w:line="276" w:lineRule="auto"/>
        <w:ind w:left="708"/>
        <w:jc w:val="both"/>
        <w:rPr>
          <w:rFonts w:asciiTheme="minorHAnsi" w:hAnsiTheme="minorHAnsi"/>
          <w:i/>
          <w:iCs/>
          <w:sz w:val="22"/>
          <w:szCs w:val="22"/>
          <w:lang w:val="en-US"/>
        </w:rPr>
      </w:pPr>
      <w:r w:rsidRPr="00F33AE9">
        <w:rPr>
          <w:rFonts w:asciiTheme="minorHAnsi" w:hAnsiTheme="minorHAnsi"/>
          <w:i/>
          <w:iCs/>
          <w:sz w:val="22"/>
          <w:szCs w:val="22"/>
          <w:lang w:val="en-US"/>
        </w:rPr>
        <w:t>•</w:t>
      </w:r>
      <w:r w:rsidRPr="00F33AE9">
        <w:rPr>
          <w:rFonts w:asciiTheme="minorHAnsi" w:hAnsiTheme="minorHAnsi"/>
          <w:i/>
          <w:iCs/>
          <w:sz w:val="22"/>
          <w:szCs w:val="22"/>
          <w:lang w:val="en-US"/>
        </w:rPr>
        <w:t xml:space="preserve"> </w:t>
      </w:r>
      <w:proofErr w:type="gramStart"/>
      <w:r w:rsidRPr="00F33AE9">
        <w:rPr>
          <w:rFonts w:asciiTheme="minorHAnsi" w:hAnsiTheme="minorHAnsi"/>
          <w:sz w:val="22"/>
          <w:szCs w:val="22"/>
          <w:lang w:val="en-US"/>
        </w:rPr>
        <w:t>Aggregate  s</w:t>
      </w:r>
      <w:r w:rsidRPr="00F33AE9">
        <w:rPr>
          <w:rFonts w:asciiTheme="minorHAnsi" w:hAnsiTheme="minorHAnsi"/>
          <w:sz w:val="22"/>
          <w:szCs w:val="22"/>
          <w:lang w:val="en-US"/>
        </w:rPr>
        <w:t>upply</w:t>
      </w:r>
      <w:proofErr w:type="gramEnd"/>
      <w:r w:rsidRPr="00F33AE9">
        <w:rPr>
          <w:rFonts w:asciiTheme="minorHAnsi" w:hAnsiTheme="minorHAnsi"/>
          <w:sz w:val="22"/>
          <w:szCs w:val="22"/>
          <w:lang w:val="en-US"/>
        </w:rPr>
        <w:t>:  Retail  firms  act  under  monopolistic  competition.  They  buy  wholesale  goods  produced  by</w:t>
      </w:r>
      <w:r w:rsidRPr="00F33AE9">
        <w:rPr>
          <w:rFonts w:asciiTheme="minorHAnsi" w:hAnsiTheme="minorHAnsi"/>
          <w:i/>
          <w:iCs/>
          <w:sz w:val="22"/>
          <w:szCs w:val="22"/>
          <w:lang w:val="en-US"/>
        </w:rPr>
        <w:t xml:space="preserve"> </w:t>
      </w:r>
      <w:r w:rsidRPr="00F33AE9">
        <w:rPr>
          <w:rFonts w:asciiTheme="minorHAnsi" w:hAnsiTheme="minorHAnsi"/>
          <w:sz w:val="22"/>
          <w:szCs w:val="22"/>
          <w:lang w:val="en-US"/>
        </w:rPr>
        <w:t xml:space="preserve">entrepreneurs  in  a  competitive  market  and  differentiate  them  at  zero  cost.  </w:t>
      </w:r>
      <w:proofErr w:type="gramStart"/>
      <w:r w:rsidRPr="00F33AE9">
        <w:rPr>
          <w:rFonts w:asciiTheme="minorHAnsi" w:hAnsiTheme="minorHAnsi"/>
          <w:sz w:val="22"/>
          <w:szCs w:val="22"/>
          <w:lang w:val="en-US"/>
        </w:rPr>
        <w:t>Price  stickiness</w:t>
      </w:r>
      <w:proofErr w:type="gramEnd"/>
      <w:r w:rsidRPr="00F33AE9">
        <w:rPr>
          <w:rFonts w:asciiTheme="minorHAnsi" w:hAnsiTheme="minorHAnsi"/>
          <w:sz w:val="22"/>
          <w:szCs w:val="22"/>
          <w:lang w:val="en-US"/>
        </w:rPr>
        <w:t xml:space="preserve">  is  introduced  via</w:t>
      </w:r>
      <w:r w:rsidRPr="00F33AE9">
        <w:rPr>
          <w:rFonts w:asciiTheme="minorHAnsi" w:hAnsiTheme="minorHAnsi"/>
          <w:i/>
          <w:iCs/>
          <w:sz w:val="22"/>
          <w:szCs w:val="22"/>
          <w:lang w:val="en-US"/>
        </w:rPr>
        <w:t xml:space="preserve"> </w:t>
      </w:r>
      <w:r w:rsidRPr="00F33AE9">
        <w:rPr>
          <w:rFonts w:asciiTheme="minorHAnsi" w:hAnsiTheme="minorHAnsi"/>
          <w:sz w:val="22"/>
          <w:szCs w:val="22"/>
          <w:lang w:val="en-US"/>
        </w:rPr>
        <w:t xml:space="preserve">the  </w:t>
      </w:r>
      <w:proofErr w:type="spellStart"/>
      <w:r w:rsidRPr="00F33AE9">
        <w:rPr>
          <w:rFonts w:asciiTheme="minorHAnsi" w:hAnsiTheme="minorHAnsi"/>
          <w:sz w:val="22"/>
          <w:szCs w:val="22"/>
          <w:lang w:val="en-US"/>
        </w:rPr>
        <w:t>Calvo</w:t>
      </w:r>
      <w:proofErr w:type="spellEnd"/>
      <w:r w:rsidRPr="00F33AE9">
        <w:rPr>
          <w:rFonts w:asciiTheme="minorHAnsi" w:hAnsiTheme="minorHAnsi"/>
          <w:sz w:val="22"/>
          <w:szCs w:val="22"/>
          <w:lang w:val="en-US"/>
        </w:rPr>
        <w:t xml:space="preserve">  </w:t>
      </w:r>
      <w:r w:rsidRPr="00F33AE9">
        <w:rPr>
          <w:rFonts w:asciiTheme="minorHAnsi" w:hAnsiTheme="minorHAnsi"/>
          <w:sz w:val="22"/>
          <w:szCs w:val="22"/>
          <w:lang w:val="en-US"/>
        </w:rPr>
        <w:t xml:space="preserve">(1983) </w:t>
      </w:r>
      <w:r w:rsidRPr="00F33AE9">
        <w:rPr>
          <w:rFonts w:asciiTheme="minorHAnsi" w:hAnsiTheme="minorHAnsi"/>
          <w:sz w:val="22"/>
          <w:szCs w:val="22"/>
          <w:lang w:val="en-US"/>
        </w:rPr>
        <w:t xml:space="preserve">framework.  </w:t>
      </w:r>
      <w:proofErr w:type="gramStart"/>
      <w:r w:rsidRPr="00F33AE9">
        <w:rPr>
          <w:rFonts w:asciiTheme="minorHAnsi" w:hAnsiTheme="minorHAnsi"/>
          <w:sz w:val="22"/>
          <w:szCs w:val="22"/>
          <w:lang w:val="en-US"/>
        </w:rPr>
        <w:t>Bernanke  et</w:t>
      </w:r>
      <w:proofErr w:type="gramEnd"/>
      <w:r w:rsidRPr="00F33AE9">
        <w:rPr>
          <w:rFonts w:asciiTheme="minorHAnsi" w:hAnsiTheme="minorHAnsi"/>
          <w:sz w:val="22"/>
          <w:szCs w:val="22"/>
          <w:lang w:val="en-US"/>
        </w:rPr>
        <w:t xml:space="preserve">  al.  (1999)  assume  that  </w:t>
      </w:r>
      <w:proofErr w:type="spellStart"/>
      <w:r w:rsidRPr="00F33AE9">
        <w:rPr>
          <w:rFonts w:asciiTheme="minorHAnsi" w:hAnsiTheme="minorHAnsi"/>
          <w:sz w:val="22"/>
          <w:szCs w:val="22"/>
          <w:lang w:val="en-US"/>
        </w:rPr>
        <w:t>reoptimizing</w:t>
      </w:r>
      <w:proofErr w:type="spellEnd"/>
      <w:r w:rsidRPr="00F33AE9">
        <w:rPr>
          <w:rFonts w:asciiTheme="minorHAnsi" w:hAnsiTheme="minorHAnsi"/>
          <w:sz w:val="22"/>
          <w:szCs w:val="22"/>
          <w:lang w:val="en-US"/>
        </w:rPr>
        <w:t xml:space="preserve">  firms  have  to  set  prices  prior  to  the</w:t>
      </w:r>
    </w:p>
    <w:p w:rsidR="001E27EE" w:rsidRPr="00F33AE9" w:rsidRDefault="001E27EE" w:rsidP="00F33AE9">
      <w:pPr>
        <w:pStyle w:val="textbox"/>
        <w:shd w:val="clear" w:color="auto" w:fill="FFFFFF"/>
        <w:spacing w:before="0" w:beforeAutospacing="0" w:after="0" w:afterAutospacing="0" w:line="276" w:lineRule="auto"/>
        <w:ind w:left="708"/>
        <w:jc w:val="both"/>
        <w:rPr>
          <w:rFonts w:asciiTheme="minorHAnsi" w:hAnsiTheme="minorHAnsi"/>
          <w:sz w:val="22"/>
          <w:szCs w:val="22"/>
          <w:lang w:val="en-US"/>
        </w:rPr>
      </w:pPr>
      <w:r w:rsidRPr="00F33AE9">
        <w:rPr>
          <w:rFonts w:asciiTheme="minorHAnsi" w:hAnsiTheme="minorHAnsi"/>
          <w:sz w:val="22"/>
          <w:szCs w:val="22"/>
          <w:lang w:val="en-US"/>
        </w:rPr>
        <w:t>realization  of  shocks  in  that  period,  so  that  previous  period’s  expectations  of  the  output  gap  and  future  inflation</w:t>
      </w:r>
      <w:r w:rsidRPr="00F33AE9"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F33AE9">
        <w:rPr>
          <w:rFonts w:asciiTheme="minorHAnsi" w:hAnsiTheme="minorHAnsi"/>
          <w:sz w:val="22"/>
          <w:szCs w:val="22"/>
          <w:lang w:val="en-US"/>
        </w:rPr>
        <w:t>enter  the  New  Keynesian  Phillips  curve.</w:t>
      </w:r>
    </w:p>
    <w:p w:rsidR="001E27EE" w:rsidRPr="00F33AE9" w:rsidRDefault="001E27EE" w:rsidP="00F33AE9">
      <w:pPr>
        <w:pStyle w:val="textbox"/>
        <w:shd w:val="clear" w:color="auto" w:fill="FFFFFF"/>
        <w:spacing w:before="0" w:beforeAutospacing="0" w:after="0" w:afterAutospacing="0" w:line="276" w:lineRule="auto"/>
        <w:ind w:left="708"/>
        <w:jc w:val="both"/>
        <w:rPr>
          <w:rFonts w:asciiTheme="minorHAnsi" w:hAnsiTheme="minorHAnsi"/>
          <w:sz w:val="22"/>
          <w:szCs w:val="22"/>
          <w:lang w:val="en-US"/>
        </w:rPr>
      </w:pPr>
      <w:r w:rsidRPr="00F33AE9">
        <w:rPr>
          <w:rFonts w:asciiTheme="minorHAnsi" w:hAnsiTheme="minorHAnsi"/>
          <w:i/>
          <w:iCs/>
          <w:sz w:val="22"/>
          <w:szCs w:val="22"/>
          <w:lang w:val="en-US"/>
        </w:rPr>
        <w:t>•</w:t>
      </w:r>
      <w:r w:rsidRPr="00F33AE9">
        <w:rPr>
          <w:rFonts w:asciiTheme="minorHAnsi" w:hAnsiTheme="minorHAnsi"/>
          <w:i/>
          <w:iCs/>
          <w:sz w:val="22"/>
          <w:szCs w:val="22"/>
          <w:lang w:val="en-US"/>
        </w:rPr>
        <w:t xml:space="preserve"> </w:t>
      </w:r>
      <w:r w:rsidRPr="00F33AE9">
        <w:rPr>
          <w:rFonts w:asciiTheme="minorHAnsi" w:hAnsiTheme="minorHAnsi"/>
          <w:sz w:val="22"/>
          <w:szCs w:val="22"/>
          <w:lang w:val="en-US"/>
        </w:rPr>
        <w:t xml:space="preserve">Shocks:  </w:t>
      </w:r>
      <w:proofErr w:type="gramStart"/>
      <w:r w:rsidRPr="00F33AE9">
        <w:rPr>
          <w:rFonts w:asciiTheme="minorHAnsi" w:hAnsiTheme="minorHAnsi"/>
          <w:sz w:val="22"/>
          <w:szCs w:val="22"/>
          <w:lang w:val="en-US"/>
        </w:rPr>
        <w:t>This</w:t>
      </w:r>
      <w:r w:rsidRPr="00F33AE9">
        <w:rPr>
          <w:rFonts w:asciiTheme="minorHAnsi" w:hAnsiTheme="minorHAnsi"/>
          <w:sz w:val="22"/>
          <w:szCs w:val="22"/>
          <w:lang w:val="en-US"/>
        </w:rPr>
        <w:t xml:space="preserve">  </w:t>
      </w:r>
      <w:r w:rsidRPr="00F33AE9">
        <w:rPr>
          <w:rFonts w:asciiTheme="minorHAnsi" w:hAnsiTheme="minorHAnsi"/>
          <w:sz w:val="22"/>
          <w:szCs w:val="22"/>
          <w:lang w:val="en-US"/>
        </w:rPr>
        <w:t>paper</w:t>
      </w:r>
      <w:proofErr w:type="gramEnd"/>
      <w:r w:rsidRPr="00F33AE9">
        <w:rPr>
          <w:rFonts w:asciiTheme="minorHAnsi" w:hAnsiTheme="minorHAnsi"/>
          <w:sz w:val="22"/>
          <w:szCs w:val="22"/>
          <w:lang w:val="en-US"/>
        </w:rPr>
        <w:t xml:space="preserve">  </w:t>
      </w:r>
      <w:r w:rsidRPr="00F33AE9">
        <w:rPr>
          <w:rFonts w:asciiTheme="minorHAnsi" w:hAnsiTheme="minorHAnsi"/>
          <w:sz w:val="22"/>
          <w:szCs w:val="22"/>
          <w:lang w:val="en-US"/>
        </w:rPr>
        <w:t xml:space="preserve">presents responses to  a  technology  shock,  as well as to a </w:t>
      </w:r>
      <w:r w:rsidRPr="00F33AE9">
        <w:rPr>
          <w:rFonts w:asciiTheme="minorHAnsi" w:hAnsiTheme="minorHAnsi"/>
          <w:sz w:val="22"/>
          <w:szCs w:val="22"/>
          <w:lang w:val="en-US"/>
        </w:rPr>
        <w:t>monetary  policy  shock.</w:t>
      </w:r>
      <w:r w:rsidRPr="00F33AE9">
        <w:rPr>
          <w:rFonts w:asciiTheme="minorHAnsi" w:hAnsiTheme="minorHAnsi"/>
          <w:i/>
          <w:iCs/>
          <w:sz w:val="22"/>
          <w:szCs w:val="22"/>
          <w:lang w:val="en-US"/>
        </w:rPr>
        <w:t xml:space="preserve"> </w:t>
      </w:r>
    </w:p>
    <w:p w:rsidR="001E27EE" w:rsidRPr="00F33AE9" w:rsidRDefault="001E27EE" w:rsidP="00F33AE9">
      <w:pPr>
        <w:pStyle w:val="textbox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rFonts w:asciiTheme="minorHAnsi" w:hAnsiTheme="minorHAnsi"/>
          <w:i/>
          <w:iCs/>
          <w:sz w:val="22"/>
          <w:szCs w:val="22"/>
          <w:lang w:val="en-US"/>
        </w:rPr>
      </w:pPr>
      <w:r w:rsidRPr="00F33AE9">
        <w:rPr>
          <w:rFonts w:asciiTheme="minorHAnsi" w:hAnsiTheme="minorHAnsi"/>
          <w:i/>
          <w:iCs/>
          <w:sz w:val="22"/>
          <w:szCs w:val="22"/>
          <w:lang w:val="en-US"/>
        </w:rPr>
        <w:t>•</w:t>
      </w:r>
      <w:r w:rsidRPr="00F33AE9">
        <w:rPr>
          <w:rFonts w:asciiTheme="minorHAnsi" w:hAnsiTheme="minorHAnsi"/>
          <w:i/>
          <w:iCs/>
          <w:sz w:val="22"/>
          <w:szCs w:val="22"/>
          <w:lang w:val="en-US"/>
        </w:rPr>
        <w:t xml:space="preserve"> </w:t>
      </w:r>
      <w:r w:rsidRPr="00F33AE9">
        <w:rPr>
          <w:rFonts w:asciiTheme="minorHAnsi" w:hAnsiTheme="minorHAnsi"/>
          <w:sz w:val="22"/>
          <w:szCs w:val="22"/>
          <w:lang w:val="en-US"/>
        </w:rPr>
        <w:t xml:space="preserve">Calibration/Estimation:  </w:t>
      </w:r>
      <w:proofErr w:type="gramStart"/>
      <w:r w:rsidRPr="00F33AE9">
        <w:rPr>
          <w:rFonts w:asciiTheme="minorHAnsi" w:hAnsiTheme="minorHAnsi"/>
          <w:sz w:val="22"/>
          <w:szCs w:val="22"/>
          <w:lang w:val="en-US"/>
        </w:rPr>
        <w:t>The  model</w:t>
      </w:r>
      <w:proofErr w:type="gramEnd"/>
      <w:r w:rsidRPr="00F33AE9">
        <w:rPr>
          <w:rFonts w:asciiTheme="minorHAnsi" w:hAnsiTheme="minorHAnsi"/>
          <w:sz w:val="22"/>
          <w:szCs w:val="22"/>
          <w:lang w:val="en-US"/>
        </w:rPr>
        <w:t xml:space="preserve">  is  calibrated  at  quarterly  frequency.</w:t>
      </w:r>
    </w:p>
    <w:p w:rsidR="00790DBA" w:rsidRPr="00F33AE9" w:rsidRDefault="00790DBA" w:rsidP="00F33AE9">
      <w:pPr>
        <w:spacing w:line="276" w:lineRule="auto"/>
        <w:rPr>
          <w:lang w:val="en-US"/>
        </w:rPr>
      </w:pPr>
    </w:p>
    <w:p w:rsidR="00790DBA" w:rsidRPr="00877EB3" w:rsidRDefault="00790DBA" w:rsidP="001E27EE">
      <w:pPr>
        <w:jc w:val="both"/>
        <w:rPr>
          <w:lang w:val="en-US"/>
        </w:rPr>
      </w:pPr>
    </w:p>
    <w:sectPr w:rsidR="00790DBA" w:rsidRPr="00877E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1-gul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1-gul-regular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DBA"/>
    <w:rsid w:val="001E27EE"/>
    <w:rsid w:val="00790DBA"/>
    <w:rsid w:val="00877EB3"/>
    <w:rsid w:val="00D07E05"/>
    <w:rsid w:val="00F3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940EAD-50AE-44C6-ABB2-222DC33D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x">
    <w:name w:val="textbox"/>
    <w:basedOn w:val="Normal"/>
    <w:rsid w:val="001E2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Goethe Universität Frankfurt</Company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Milivojevic, Lazar</dc:creator>
  <cp:keywords/>
  <dc:description/>
  <cp:lastModifiedBy>Milivojevic, Lazar</cp:lastModifiedBy>
  <cp:revision>1</cp:revision>
  <dcterms:created xsi:type="dcterms:W3CDTF">2018-04-22T18:16:00Z</dcterms:created>
  <dcterms:modified xsi:type="dcterms:W3CDTF">2018-04-22T19:02:00Z</dcterms:modified>
</cp:coreProperties>
</file>