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989geikzlf3s" w:id="0"/>
      <w:bookmarkEnd w:id="0"/>
      <w:r w:rsidDel="00000000" w:rsidR="00000000" w:rsidRPr="00000000">
        <w:rPr>
          <w:rtl w:val="0"/>
        </w:rPr>
        <w:t xml:space="preserve">MI-Lab Ü 2 Walkthrough und weitere Doku</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Vorbereitung:</w:t>
      </w:r>
      <w:r w:rsidDel="00000000" w:rsidR="00000000" w:rsidRPr="00000000">
        <w:rPr>
          <w:sz w:val="24"/>
          <w:szCs w:val="24"/>
          <w:rtl w:val="0"/>
        </w:rPr>
        <w:t xml:space="preserve"> Installationsanleitung mit Docker siehe GitHub Readme.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Walkthrough durch die Transformation von CSV Dateien nach FHIR mit Mirth-Connect. Jeweils mit Screenshots und weitern Erklärungen und Test Fälle.</w:t>
      </w:r>
    </w:p>
    <w:p w:rsidR="00000000" w:rsidDel="00000000" w:rsidP="00000000" w:rsidRDefault="00000000" w:rsidRPr="00000000" w14:paraId="00000005">
      <w:pPr>
        <w:rPr/>
      </w:pPr>
      <w:r w:rsidDel="00000000" w:rsidR="00000000" w:rsidRPr="00000000">
        <w:rPr>
          <w:rtl w:val="0"/>
        </w:rPr>
      </w:r>
    </w:p>
    <w:sdt>
      <w:sdtPr>
        <w:id w:val="-75415964"/>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89geikzlf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MI-Lab Ü 2 Walkthrough und weitere Doku</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pgm4k553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Channel</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n6fn8kv2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Source Connector</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1b6gox5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Destination Connector</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fwa89o5u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Data Types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3u7m7xle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Import von Transformers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4ovrr1ez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Konfiguration der Transformer</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nyrecaod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MII-Patient</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f1jcjz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Name_family</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vjbjawva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Gender</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xeeuagtj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MII-Encounter</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z1gjqbsn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Aufnahmenummer</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soxlsdmb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Referenz</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w85f2mhf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Deployen der Channels und laden der Daten</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u9h0h8gc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ChlinFHIR Konfigurieren</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vswr3j8n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ChlinFHIR Patient Viewer</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jxla3pb0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ChlinFHIR Server Query</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rPr/>
      </w:pPr>
      <w:bookmarkStart w:colFirst="0" w:colLast="0" w:name="_7gpgm4k553o3" w:id="1"/>
      <w:bookmarkEnd w:id="1"/>
      <w:r w:rsidDel="00000000" w:rsidR="00000000" w:rsidRPr="00000000">
        <w:rPr>
          <w:rtl w:val="0"/>
        </w:rPr>
        <w:t xml:space="preserve">1.2) Channel</w:t>
      </w:r>
    </w:p>
    <w:p w:rsidR="00000000" w:rsidDel="00000000" w:rsidP="00000000" w:rsidRDefault="00000000" w:rsidRPr="00000000" w14:paraId="0000001C">
      <w:pPr>
        <w:rPr/>
      </w:pPr>
      <w:r w:rsidDel="00000000" w:rsidR="00000000" w:rsidRPr="00000000">
        <w:rPr>
          <w:rtl w:val="0"/>
        </w:rPr>
        <w:t xml:space="preserve">Erstellen der Channels (links unter “Channel Tasks”). Der Name ist hierbei frei wählbar.</w:t>
      </w:r>
    </w:p>
    <w:p w:rsidR="00000000" w:rsidDel="00000000" w:rsidP="00000000" w:rsidRDefault="00000000" w:rsidRPr="00000000" w14:paraId="0000001D">
      <w:pPr>
        <w:rPr/>
      </w:pPr>
      <w:r w:rsidDel="00000000" w:rsidR="00000000" w:rsidRPr="00000000">
        <w:rPr>
          <w:b w:val="1"/>
          <w:bCs w:val="1"/>
          <w:rtl w:val="0"/>
        </w:rPr>
        <w:t xml:space="preserve">Patient Channel: </w:t>
      </w:r>
      <w:r w:rsidDel="00000000" w:rsidR="00000000" w:rsidRPr="00000000">
        <w:rPr>
          <w:rtl w:val="0"/>
        </w:rPr>
        <w:t xml:space="preserve">MII-Patient</w:t>
      </w:r>
    </w:p>
    <w:p w:rsidR="00000000" w:rsidDel="00000000" w:rsidP="00000000" w:rsidRDefault="00000000" w:rsidRPr="00000000" w14:paraId="0000001E">
      <w:pPr>
        <w:rPr/>
      </w:pPr>
      <w:r w:rsidDel="00000000" w:rsidR="00000000" w:rsidRPr="00000000">
        <w:rPr/>
        <w:drawing>
          <wp:inline distB="114300" distT="114300" distL="114300" distR="114300">
            <wp:extent cx="5033963" cy="3001981"/>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033963" cy="300198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Encounter Channel: </w:t>
      </w:r>
      <w:r w:rsidDel="00000000" w:rsidR="00000000" w:rsidRPr="00000000">
        <w:rPr>
          <w:rtl w:val="0"/>
        </w:rPr>
        <w:t xml:space="preserve">MII-Encounter</w:t>
      </w:r>
    </w:p>
    <w:p w:rsidR="00000000" w:rsidDel="00000000" w:rsidP="00000000" w:rsidRDefault="00000000" w:rsidRPr="00000000" w14:paraId="00000020">
      <w:pPr>
        <w:rPr/>
      </w:pPr>
      <w:r w:rsidDel="00000000" w:rsidR="00000000" w:rsidRPr="00000000">
        <w:rPr/>
        <w:drawing>
          <wp:inline distB="114300" distT="114300" distL="114300" distR="114300">
            <wp:extent cx="5053013" cy="3013341"/>
            <wp:effectExtent b="0" l="0" r="0" t="0"/>
            <wp:docPr id="1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53013" cy="301334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Vollständige Channels zum Importieren sind im GitHub unter: </w:t>
      </w:r>
      <w:hyperlink r:id="rId8">
        <w:r w:rsidDel="00000000" w:rsidR="00000000" w:rsidRPr="00000000">
          <w:rPr>
            <w:color w:val="1155cc"/>
            <w:u w:val="single"/>
            <w:rtl w:val="0"/>
          </w:rPr>
          <w:t xml:space="preserve">https://github.com/IMISE/MI-Lab-E02-CSV-to-FHIR/tree/main/Material/Channels</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rPr/>
      </w:pPr>
      <w:bookmarkStart w:colFirst="0" w:colLast="0" w:name="_zcn6fn8kv24l" w:id="2"/>
      <w:bookmarkEnd w:id="2"/>
      <w:r w:rsidDel="00000000" w:rsidR="00000000" w:rsidRPr="00000000">
        <w:rPr>
          <w:rtl w:val="0"/>
        </w:rPr>
        <w:t xml:space="preserve">1.3.1)  Source Connector</w:t>
      </w:r>
    </w:p>
    <w:p w:rsidR="00000000" w:rsidDel="00000000" w:rsidP="00000000" w:rsidRDefault="00000000" w:rsidRPr="00000000" w14:paraId="00000029">
      <w:pPr>
        <w:rPr/>
      </w:pPr>
      <w:r w:rsidDel="00000000" w:rsidR="00000000" w:rsidRPr="00000000">
        <w:rPr>
          <w:rtl w:val="0"/>
        </w:rPr>
        <w:t xml:space="preserve">Wechseln Sie im Channel auf den Reiter “Source”. Konfigurieren Sie den Source Connector wie folgt. </w:t>
      </w:r>
    </w:p>
    <w:p w:rsidR="00000000" w:rsidDel="00000000" w:rsidP="00000000" w:rsidRDefault="00000000" w:rsidRPr="00000000" w14:paraId="0000002A">
      <w:pPr>
        <w:rPr/>
      </w:pPr>
      <w:r w:rsidDel="00000000" w:rsidR="00000000" w:rsidRPr="00000000">
        <w:rPr>
          <w:b w:val="1"/>
          <w:bCs w:val="1"/>
          <w:rtl w:val="0"/>
        </w:rPr>
        <w:t xml:space="preserve">Erklärung: </w:t>
      </w:r>
      <w:r w:rsidDel="00000000" w:rsidR="00000000" w:rsidRPr="00000000">
        <w:rPr>
          <w:rtl w:val="0"/>
        </w:rPr>
        <w:t xml:space="preserve">Das Verzeichnis “/opt/connect/appdata/” in der Docker Umgebung wird nach außen auf das Verzeichnis “Setup/mirth-connect/” gemappt. Dadurch kann Mirth-Connect alle Daten und Unterordner lesen die im Ordner “Setup/mirth-connect/” liegen.</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MII-Patient </w:t>
      </w:r>
      <w:r w:rsidDel="00000000" w:rsidR="00000000" w:rsidRPr="00000000">
        <w:rPr>
          <w:rtl w:val="0"/>
        </w:rPr>
        <w:t xml:space="preserve">Source Connector:</w:t>
      </w:r>
    </w:p>
    <w:p w:rsidR="00000000" w:rsidDel="00000000" w:rsidP="00000000" w:rsidRDefault="00000000" w:rsidRPr="00000000" w14:paraId="0000002C">
      <w:pPr>
        <w:rPr>
          <w:b w:val="1"/>
          <w:bCs w:val="1"/>
        </w:rPr>
      </w:pPr>
      <w:r w:rsidDel="00000000" w:rsidR="00000000" w:rsidRPr="00000000">
        <w:rPr>
          <w:b w:val="1"/>
          <w:bCs w:val="1"/>
        </w:rPr>
        <w:drawing>
          <wp:inline distB="114300" distT="114300" distL="114300" distR="114300">
            <wp:extent cx="3154745" cy="2184054"/>
            <wp:effectExtent b="0" l="0" r="0" t="0"/>
            <wp:docPr id="3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154745" cy="218405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Pr>
        <w:drawing>
          <wp:inline distB="114300" distT="114300" distL="114300" distR="114300">
            <wp:extent cx="4637063" cy="5053013"/>
            <wp:effectExtent b="0" l="0" r="0" t="0"/>
            <wp:docPr id="3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637063"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MII-Encounter</w:t>
      </w:r>
      <w:r w:rsidDel="00000000" w:rsidR="00000000" w:rsidRPr="00000000">
        <w:rPr>
          <w:rtl w:val="0"/>
        </w:rPr>
        <w:t xml:space="preserve"> Source Connector:</w:t>
      </w:r>
    </w:p>
    <w:p w:rsidR="00000000" w:rsidDel="00000000" w:rsidP="00000000" w:rsidRDefault="00000000" w:rsidRPr="00000000" w14:paraId="0000002F">
      <w:pPr>
        <w:rPr/>
      </w:pPr>
      <w:r w:rsidDel="00000000" w:rsidR="00000000" w:rsidRPr="00000000">
        <w:rPr>
          <w:b w:val="1"/>
          <w:bCs w:val="1"/>
        </w:rPr>
        <w:drawing>
          <wp:inline distB="114300" distT="114300" distL="114300" distR="114300">
            <wp:extent cx="3154745" cy="2184054"/>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154745" cy="218405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4749719" cy="5262563"/>
            <wp:effectExtent b="0" l="0" r="0" t="0"/>
            <wp:docPr id="35"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4749719" cy="52625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b w:val="1"/>
          <w:bCs w:val="1"/>
          <w:rtl w:val="0"/>
        </w:rPr>
        <w:t xml:space="preserve">Test</w:t>
      </w:r>
      <w:r w:rsidDel="00000000" w:rsidR="00000000" w:rsidRPr="00000000">
        <w:rPr>
          <w:rtl w:val="0"/>
        </w:rPr>
        <w:t xml:space="preserve">: Um zu testen, ob Mirth-Connect den Ordner finden kann, klicken Sie unter </w:t>
      </w:r>
      <w:r w:rsidDel="00000000" w:rsidR="00000000" w:rsidRPr="00000000">
        <w:rPr>
          <w:i w:val="1"/>
          <w:iCs w:val="1"/>
          <w:rtl w:val="0"/>
        </w:rPr>
        <w:t xml:space="preserve">“File Reader Settings”-&gt;”Method” </w:t>
      </w:r>
      <w:r w:rsidDel="00000000" w:rsidR="00000000" w:rsidRPr="00000000">
        <w:rPr>
          <w:rtl w:val="0"/>
        </w:rPr>
        <w:t xml:space="preserve">auf </w:t>
      </w:r>
      <w:r w:rsidDel="00000000" w:rsidR="00000000" w:rsidRPr="00000000">
        <w:rPr>
          <w:i w:val="1"/>
          <w:iCs w:val="1"/>
          <w:rtl w:val="0"/>
        </w:rPr>
        <w:t xml:space="preserve">“Test Read”</w:t>
      </w:r>
      <w:r w:rsidDel="00000000" w:rsidR="00000000" w:rsidRPr="00000000">
        <w:rPr>
          <w:rtl w:val="0"/>
        </w:rPr>
        <w:t xml:space="preserve">. Wenn Mirth-Connect den Ordner finden kann, dann kommt dieses zurück: Successfully connected to: /opt/connect/appdata/Patient bzw. Encounter.</w:t>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rPr/>
      </w:pPr>
      <w:bookmarkStart w:colFirst="0" w:colLast="0" w:name="_x31b6gox5t07" w:id="3"/>
      <w:bookmarkEnd w:id="3"/>
      <w:r w:rsidDel="00000000" w:rsidR="00000000" w:rsidRPr="00000000">
        <w:rPr>
          <w:rtl w:val="0"/>
        </w:rPr>
        <w:t xml:space="preserve">1.3.2)  Destination Connector</w:t>
      </w:r>
    </w:p>
    <w:p w:rsidR="00000000" w:rsidDel="00000000" w:rsidP="00000000" w:rsidRDefault="00000000" w:rsidRPr="00000000" w14:paraId="00000034">
      <w:pPr>
        <w:rPr>
          <w:sz w:val="26"/>
          <w:szCs w:val="26"/>
        </w:rPr>
      </w:pPr>
      <w:r w:rsidDel="00000000" w:rsidR="00000000" w:rsidRPr="00000000">
        <w:rPr>
          <w:rtl w:val="0"/>
        </w:rPr>
        <w:t xml:space="preserve">Wechseln Sie im Channel auf den Reiter “Destinations”: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MII-Patient </w:t>
      </w:r>
      <w:r w:rsidDel="00000000" w:rsidR="00000000" w:rsidRPr="00000000">
        <w:rPr>
          <w:rtl w:val="0"/>
        </w:rPr>
        <w:t xml:space="preserve">Destination Connector:</w:t>
      </w:r>
    </w:p>
    <w:p w:rsidR="00000000" w:rsidDel="00000000" w:rsidP="00000000" w:rsidRDefault="00000000" w:rsidRPr="00000000" w14:paraId="00000036">
      <w:pPr>
        <w:rPr/>
      </w:pPr>
      <w:r w:rsidDel="00000000" w:rsidR="00000000" w:rsidRPr="00000000">
        <w:rPr/>
        <w:drawing>
          <wp:inline distB="114300" distT="114300" distL="114300" distR="114300">
            <wp:extent cx="4090988" cy="3696934"/>
            <wp:effectExtent b="0" l="0" r="0" t="0"/>
            <wp:docPr id="3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090988" cy="369693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Pr>
        <w:drawing>
          <wp:inline distB="114300" distT="114300" distL="114300" distR="114300">
            <wp:extent cx="4548188" cy="1926558"/>
            <wp:effectExtent b="0" l="0" r="0" t="0"/>
            <wp:docPr id="2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548188" cy="192655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MII-Encounter </w:t>
      </w:r>
      <w:r w:rsidDel="00000000" w:rsidR="00000000" w:rsidRPr="00000000">
        <w:rPr>
          <w:rtl w:val="0"/>
        </w:rPr>
        <w:t xml:space="preserve">Destination Connector:</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Hier sind die Änderungen die gleichen wie im MII-Patient Destination Connector. Deswegen gibt es hier keine Bilder.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Erklärung URL: </w:t>
      </w:r>
      <w:r w:rsidDel="00000000" w:rsidR="00000000" w:rsidRPr="00000000">
        <w:rPr>
          <w:rtl w:val="0"/>
        </w:rPr>
        <w:t xml:space="preserve">Als URL vom Hapi FHIR Server ist hier “</w:t>
      </w:r>
      <w:hyperlink r:id="rId14">
        <w:r w:rsidDel="00000000" w:rsidR="00000000" w:rsidRPr="00000000">
          <w:rPr>
            <w:color w:val="1155cc"/>
            <w:u w:val="single"/>
            <w:rtl w:val="0"/>
          </w:rPr>
          <w:t xml:space="preserve">http://hapi:8080/fhir</w:t>
        </w:r>
      </w:hyperlink>
      <w:r w:rsidDel="00000000" w:rsidR="00000000" w:rsidRPr="00000000">
        <w:rPr>
          <w:rtl w:val="0"/>
        </w:rPr>
        <w:t xml:space="preserve">” angegeben. Da Mirth-Connect und der Hapi FHIR Server sich in einem gleichen Docker Compose Netzwerk befinden können diese über den Container Namen und die inneren Ports kommunizieren. Wenn man den FHIR Server über den Browser/curl ansprechen möchte, dann muss man “</w:t>
      </w:r>
      <w:hyperlink r:id="rId15">
        <w:r w:rsidDel="00000000" w:rsidR="00000000" w:rsidRPr="00000000">
          <w:rPr>
            <w:color w:val="1155cc"/>
            <w:u w:val="single"/>
            <w:rtl w:val="0"/>
          </w:rPr>
          <w:t xml:space="preserve">http://localhost:8090/fhir</w:t>
        </w:r>
      </w:hyperlink>
      <w:r w:rsidDel="00000000" w:rsidR="00000000" w:rsidRPr="00000000">
        <w:rPr>
          <w:rtl w:val="0"/>
        </w:rPr>
        <w:t xml:space="preserve">” nutzen da dies außerhalb des Docker Compose Netzwerk geschieht und daher die Ports die nach außen offen sind nutzen soll. Für weitere Erklärungen dazu siehe die Docker Dokumentation: </w:t>
      </w:r>
      <w:hyperlink r:id="rId16">
        <w:r w:rsidDel="00000000" w:rsidR="00000000" w:rsidRPr="00000000">
          <w:rPr>
            <w:color w:val="1155cc"/>
            <w:u w:val="single"/>
            <w:rtl w:val="0"/>
          </w:rPr>
          <w:t xml:space="preserve">https://docs.docker.com/compose/how-tos/networking/</w:t>
        </w:r>
      </w:hyperlink>
      <w:r w:rsidDel="00000000" w:rsidR="00000000" w:rsidRPr="00000000">
        <w:rPr>
          <w:rtl w:val="0"/>
        </w:rPr>
        <w:t xml:space="preserve"> </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Test: </w:t>
      </w:r>
      <w:r w:rsidDel="00000000" w:rsidR="00000000" w:rsidRPr="00000000">
        <w:rPr>
          <w:rtl w:val="0"/>
        </w:rPr>
        <w:t xml:space="preserve">Klicken Sie “Test Connection” um zu testen ob Mirth-Connect sich mit dem Hapi FHIR Server verbinden kann. Es sollte folgendes zurückkommen:</w:t>
      </w:r>
    </w:p>
    <w:p w:rsidR="00000000" w:rsidDel="00000000" w:rsidP="00000000" w:rsidRDefault="00000000" w:rsidRPr="00000000" w14:paraId="0000003E">
      <w:pPr>
        <w:rPr/>
      </w:pPr>
      <w:r w:rsidDel="00000000" w:rsidR="00000000" w:rsidRPr="00000000">
        <w:rPr/>
        <w:drawing>
          <wp:inline distB="114300" distT="114300" distL="114300" distR="114300">
            <wp:extent cx="3157538" cy="932309"/>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3157538" cy="93230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6xfwa89o5ukl" w:id="4"/>
      <w:bookmarkEnd w:id="4"/>
      <w:r w:rsidDel="00000000" w:rsidR="00000000" w:rsidRPr="00000000">
        <w:rPr>
          <w:rtl w:val="0"/>
        </w:rPr>
        <w:t xml:space="preserve">1.3.3)  Data Types</w:t>
      </w:r>
    </w:p>
    <w:p w:rsidR="00000000" w:rsidDel="00000000" w:rsidP="00000000" w:rsidRDefault="00000000" w:rsidRPr="00000000" w14:paraId="00000041">
      <w:pPr>
        <w:rPr/>
      </w:pPr>
      <w:r w:rsidDel="00000000" w:rsidR="00000000" w:rsidRPr="00000000">
        <w:rPr>
          <w:rtl w:val="0"/>
        </w:rPr>
        <w:t xml:space="preserve">Wechseln Sie im Channel auf den Reiter “Summary”.</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Unter “Set Data Types” setzen Sie die Inbound und Outbound wie folgt:</w:t>
      </w:r>
    </w:p>
    <w:p w:rsidR="00000000" w:rsidDel="00000000" w:rsidP="00000000" w:rsidRDefault="00000000" w:rsidRPr="00000000" w14:paraId="00000043">
      <w:pPr>
        <w:rPr>
          <w:b w:val="1"/>
          <w:bCs w:val="1"/>
        </w:rPr>
      </w:pPr>
      <w:r w:rsidDel="00000000" w:rsidR="00000000" w:rsidRPr="00000000">
        <w:rPr>
          <w:b w:val="1"/>
          <w:bCs w:val="1"/>
          <w:rtl w:val="0"/>
        </w:rPr>
        <w:t xml:space="preserve">MII-Patient:</w:t>
      </w:r>
    </w:p>
    <w:p w:rsidR="00000000" w:rsidDel="00000000" w:rsidP="00000000" w:rsidRDefault="00000000" w:rsidRPr="00000000" w14:paraId="00000044">
      <w:pPr>
        <w:rPr/>
      </w:pPr>
      <w:r w:rsidDel="00000000" w:rsidR="00000000" w:rsidRPr="00000000">
        <w:rPr/>
        <w:drawing>
          <wp:inline distB="114300" distT="114300" distL="114300" distR="114300">
            <wp:extent cx="5731200" cy="1409700"/>
            <wp:effectExtent b="0" l="0" r="0" t="0"/>
            <wp:docPr id="2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MII-Encounter:</w:t>
      </w:r>
    </w:p>
    <w:p w:rsidR="00000000" w:rsidDel="00000000" w:rsidP="00000000" w:rsidRDefault="00000000" w:rsidRPr="00000000" w14:paraId="00000046">
      <w:pPr>
        <w:rPr/>
      </w:pPr>
      <w:r w:rsidDel="00000000" w:rsidR="00000000" w:rsidRPr="00000000">
        <w:rPr>
          <w:rtl w:val="0"/>
        </w:rPr>
        <w:t xml:space="preserve">Hier sind die Änderungen die gleichen wie im MII-Patient. Deswegen gibt es hier keine Bilder.</w:t>
      </w:r>
    </w:p>
    <w:p w:rsidR="00000000" w:rsidDel="00000000" w:rsidP="00000000" w:rsidRDefault="00000000" w:rsidRPr="00000000" w14:paraId="0000004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3"/>
        <w:rPr/>
      </w:pPr>
      <w:bookmarkStart w:colFirst="0" w:colLast="0" w:name="_jg3u7m7xle0p" w:id="5"/>
      <w:bookmarkEnd w:id="5"/>
      <w:r w:rsidDel="00000000" w:rsidR="00000000" w:rsidRPr="00000000">
        <w:rPr>
          <w:rtl w:val="0"/>
        </w:rPr>
        <w:t xml:space="preserve">1.4)  Import von Transformers</w:t>
      </w:r>
    </w:p>
    <w:p w:rsidR="00000000" w:rsidDel="00000000" w:rsidP="00000000" w:rsidRDefault="00000000" w:rsidRPr="00000000" w14:paraId="00000049">
      <w:pPr>
        <w:rPr/>
      </w:pPr>
      <w:r w:rsidDel="00000000" w:rsidR="00000000" w:rsidRPr="00000000">
        <w:rPr>
          <w:rtl w:val="0"/>
        </w:rPr>
        <w:t xml:space="preserve">Wechseln Sie im Channel auf den Reiter “Source”. </w:t>
      </w:r>
    </w:p>
    <w:p w:rsidR="00000000" w:rsidDel="00000000" w:rsidP="00000000" w:rsidRDefault="00000000" w:rsidRPr="00000000" w14:paraId="0000004A">
      <w:pPr>
        <w:rPr/>
      </w:pPr>
      <w:r w:rsidDel="00000000" w:rsidR="00000000" w:rsidRPr="00000000">
        <w:rPr>
          <w:b w:val="1"/>
          <w:bCs w:val="1"/>
          <w:rtl w:val="0"/>
        </w:rPr>
        <w:t xml:space="preserve">Wichtig</w:t>
      </w:r>
      <w:r w:rsidDel="00000000" w:rsidR="00000000" w:rsidRPr="00000000">
        <w:rPr>
          <w:rtl w:val="0"/>
        </w:rPr>
        <w:t xml:space="preserve">: Der Transformer muss im </w:t>
      </w:r>
      <w:r w:rsidDel="00000000" w:rsidR="00000000" w:rsidRPr="00000000">
        <w:rPr>
          <w:b w:val="1"/>
          <w:bCs w:val="1"/>
          <w:color w:val="ff0000"/>
          <w:rtl w:val="0"/>
        </w:rPr>
        <w:t xml:space="preserve">Source Connector</w:t>
      </w:r>
      <w:r w:rsidDel="00000000" w:rsidR="00000000" w:rsidRPr="00000000">
        <w:rPr>
          <w:rtl w:val="0"/>
        </w:rPr>
        <w:t xml:space="preserve"> sein!</w:t>
      </w:r>
    </w:p>
    <w:p w:rsidR="00000000" w:rsidDel="00000000" w:rsidP="00000000" w:rsidRDefault="00000000" w:rsidRPr="00000000" w14:paraId="0000004B">
      <w:pPr>
        <w:rPr/>
      </w:pPr>
      <w:r w:rsidDel="00000000" w:rsidR="00000000" w:rsidRPr="00000000">
        <w:rPr>
          <w:rtl w:val="0"/>
        </w:rPr>
        <w:t xml:space="preserve">Klicken Sie unter “Channel Tasks”-&gt;“Edit Transformer”</w:t>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2031151" cy="1312436"/>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031151" cy="131243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Importieren Sie den jeweiligen Transformer unter “Transformer Tasks”-&gt;”Import Transformer”:</w:t>
      </w:r>
    </w:p>
    <w:p w:rsidR="00000000" w:rsidDel="00000000" w:rsidP="00000000" w:rsidRDefault="00000000" w:rsidRPr="00000000" w14:paraId="0000004E">
      <w:pPr>
        <w:rPr/>
      </w:pPr>
      <w:r w:rsidDel="00000000" w:rsidR="00000000" w:rsidRPr="00000000">
        <w:rPr>
          <w:b w:val="1"/>
          <w:bCs w:val="1"/>
        </w:rPr>
        <w:drawing>
          <wp:inline distB="114300" distT="114300" distL="114300" distR="114300">
            <wp:extent cx="4491038" cy="267821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491038" cy="267821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MII-Patient </w:t>
      </w:r>
      <w:r w:rsidDel="00000000" w:rsidR="00000000" w:rsidRPr="00000000">
        <w:rPr>
          <w:rtl w:val="0"/>
        </w:rPr>
        <w:t xml:space="preserve">Transformer:</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Erfolgreich importierter Transformer. Hier wurde rechts der Reiter “Message Template” ausgewählt:</w:t>
      </w:r>
    </w:p>
    <w:p w:rsidR="00000000" w:rsidDel="00000000" w:rsidP="00000000" w:rsidRDefault="00000000" w:rsidRPr="00000000" w14:paraId="00000051">
      <w:pPr>
        <w:rPr>
          <w:b w:val="1"/>
          <w:bCs w:val="1"/>
        </w:rPr>
      </w:pPr>
      <w:r w:rsidDel="00000000" w:rsidR="00000000" w:rsidRPr="00000000">
        <w:rPr>
          <w:b w:val="1"/>
          <w:bCs w:val="1"/>
        </w:rPr>
        <w:drawing>
          <wp:inline distB="114300" distT="114300" distL="114300" distR="114300">
            <wp:extent cx="4462463" cy="2661169"/>
            <wp:effectExtent b="0" l="0" r="0" t="0"/>
            <wp:docPr id="1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462463" cy="266116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MII-Encounter </w:t>
      </w:r>
      <w:r w:rsidDel="00000000" w:rsidR="00000000" w:rsidRPr="00000000">
        <w:rPr>
          <w:rtl w:val="0"/>
        </w:rPr>
        <w:t xml:space="preserve">Transformer:</w:t>
      </w:r>
    </w:p>
    <w:p w:rsidR="00000000" w:rsidDel="00000000" w:rsidP="00000000" w:rsidRDefault="00000000" w:rsidRPr="00000000" w14:paraId="00000054">
      <w:pPr>
        <w:rPr/>
      </w:pPr>
      <w:r w:rsidDel="00000000" w:rsidR="00000000" w:rsidRPr="00000000">
        <w:rPr/>
        <w:drawing>
          <wp:inline distB="114300" distT="114300" distL="114300" distR="114300">
            <wp:extent cx="4548188" cy="2712291"/>
            <wp:effectExtent b="0" l="0" r="0" t="0"/>
            <wp:docPr id="2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548188" cy="27122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Wichtig: </w:t>
      </w:r>
      <w:r w:rsidDel="00000000" w:rsidR="00000000" w:rsidRPr="00000000">
        <w:rPr>
          <w:rtl w:val="0"/>
        </w:rPr>
        <w:t xml:space="preserve">Wenn rechts die Templates wie auf den jeweiligen zweiten Screenshots nicht angezeigt werden, dann klicken Sie rechts oben auf den Reiter “Message Template”.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rPr/>
      </w:pPr>
      <w:bookmarkStart w:colFirst="0" w:colLast="0" w:name="_cu4ovrr1ezwn" w:id="6"/>
      <w:bookmarkEnd w:id="6"/>
      <w:r w:rsidDel="00000000" w:rsidR="00000000" w:rsidRPr="00000000">
        <w:rPr>
          <w:rtl w:val="0"/>
        </w:rPr>
        <w:t xml:space="preserve">1.5)  Konfiguration der Transformer</w:t>
      </w:r>
    </w:p>
    <w:p w:rsidR="00000000" w:rsidDel="00000000" w:rsidP="00000000" w:rsidRDefault="00000000" w:rsidRPr="00000000" w14:paraId="0000005A">
      <w:pPr>
        <w:rPr/>
      </w:pPr>
      <w:r w:rsidDel="00000000" w:rsidR="00000000" w:rsidRPr="00000000">
        <w:rPr>
          <w:rtl w:val="0"/>
        </w:rPr>
        <w:t xml:space="preserve">Hier findet der eigentliche Mapping Schritt für die Transformation von CSV nach FHIR statt. Die zuvor importierten Transformer bestehen aus mehreren Schritten. Jeder Schritt ist äquivalent zu einem zu mappenden Attribut. In der Aufgabe sollen noch jeweils zwei Mapping Schritte hinzugefügt werden zu den anderen bereits existierenden Schritten. Also je zwei Schritte für “MII-Patient Transformer” und zwei Schritte für "MII-Encounter Transformer”.</w:t>
      </w:r>
    </w:p>
    <w:p w:rsidR="00000000" w:rsidDel="00000000" w:rsidP="00000000" w:rsidRDefault="00000000" w:rsidRPr="00000000" w14:paraId="0000005B">
      <w:pPr>
        <w:rPr/>
      </w:pPr>
      <w:r w:rsidDel="00000000" w:rsidR="00000000" w:rsidRPr="00000000">
        <w:rPr>
          <w:b w:val="1"/>
          <w:bCs w:val="1"/>
          <w:rtl w:val="0"/>
        </w:rPr>
        <w:t xml:space="preserve">Wichtig: </w:t>
      </w:r>
      <w:r w:rsidDel="00000000" w:rsidR="00000000" w:rsidRPr="00000000">
        <w:rPr>
          <w:rtl w:val="0"/>
        </w:rPr>
        <w:t xml:space="preserve">Nachdem ein neuer Schritt hinzugefügt wurde, muss der Typ rechts von “Mapper” auf “Message Builder” geändert werden! </w:t>
      </w:r>
    </w:p>
    <w:p w:rsidR="00000000" w:rsidDel="00000000" w:rsidP="00000000" w:rsidRDefault="00000000" w:rsidRPr="00000000" w14:paraId="0000005C">
      <w:pPr>
        <w:rPr/>
      </w:pPr>
      <w:r w:rsidDel="00000000" w:rsidR="00000000" w:rsidRPr="00000000">
        <w:rPr>
          <w:rtl w:val="0"/>
        </w:rPr>
        <w:t xml:space="preserve">Message Builder - Ersetzt Attribut aus Outbound FHIR-Template mit Attribut aus Inbound CSV-Datensatz.</w:t>
      </w:r>
    </w:p>
    <w:p w:rsidR="00000000" w:rsidDel="00000000" w:rsidP="00000000" w:rsidRDefault="00000000" w:rsidRPr="00000000" w14:paraId="0000005D">
      <w:pPr>
        <w:rPr/>
      </w:pPr>
      <w:r w:rsidDel="00000000" w:rsidR="00000000" w:rsidRPr="00000000">
        <w:rPr>
          <w:rtl w:val="0"/>
        </w:rPr>
        <w:t xml:space="preserve">Mapper - Mappt Attribut von einer Message zu einer Variable in Mirth-Connect. Das ist in dieser Übung nicht gewollt.</w:t>
      </w:r>
    </w:p>
    <w:p w:rsidR="00000000" w:rsidDel="00000000" w:rsidP="00000000" w:rsidRDefault="00000000" w:rsidRPr="00000000" w14:paraId="0000005E">
      <w:pPr>
        <w:rPr>
          <w:sz w:val="24"/>
          <w:szCs w:val="24"/>
        </w:rPr>
      </w:pPr>
      <w:r w:rsidDel="00000000" w:rsidR="00000000" w:rsidRPr="00000000">
        <w:rPr>
          <w:sz w:val="24"/>
          <w:szCs w:val="24"/>
        </w:rPr>
        <w:drawing>
          <wp:inline distB="114300" distT="114300" distL="114300" distR="114300">
            <wp:extent cx="5472113" cy="1372573"/>
            <wp:effectExtent b="0" l="0" r="0" t="0"/>
            <wp:docPr id="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472113" cy="137257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4"/>
        <w:rPr/>
      </w:pPr>
      <w:bookmarkStart w:colFirst="0" w:colLast="0" w:name="_fqnyrecaodji" w:id="7"/>
      <w:bookmarkEnd w:id="7"/>
      <w:r w:rsidDel="00000000" w:rsidR="00000000" w:rsidRPr="00000000">
        <w:rPr>
          <w:rtl w:val="0"/>
        </w:rPr>
        <w:t xml:space="preserve">1.5.1) MII-Patient</w:t>
      </w:r>
    </w:p>
    <w:p w:rsidR="00000000" w:rsidDel="00000000" w:rsidP="00000000" w:rsidRDefault="00000000" w:rsidRPr="00000000" w14:paraId="00000060">
      <w:pPr>
        <w:pStyle w:val="Heading5"/>
        <w:numPr>
          <w:ilvl w:val="0"/>
          <w:numId w:val="1"/>
        </w:numPr>
        <w:ind w:left="720" w:hanging="360"/>
        <w:rPr/>
      </w:pPr>
      <w:bookmarkStart w:colFirst="0" w:colLast="0" w:name="_nlf1jcjz16" w:id="8"/>
      <w:bookmarkEnd w:id="8"/>
      <w:r w:rsidDel="00000000" w:rsidR="00000000" w:rsidRPr="00000000">
        <w:rPr>
          <w:rtl w:val="0"/>
        </w:rPr>
        <w:t xml:space="preserve">Name_family</w:t>
      </w:r>
    </w:p>
    <w:p w:rsidR="00000000" w:rsidDel="00000000" w:rsidP="00000000" w:rsidRDefault="00000000" w:rsidRPr="00000000" w14:paraId="00000061">
      <w:pPr>
        <w:ind w:left="720" w:firstLine="0"/>
        <w:rPr>
          <w:sz w:val="24"/>
          <w:szCs w:val="24"/>
        </w:rPr>
      </w:pPr>
      <w:r w:rsidDel="00000000" w:rsidR="00000000" w:rsidRPr="00000000">
        <w:rPr>
          <w:rtl w:val="0"/>
        </w:rPr>
        <w:t xml:space="preserve">Klicken Sie unter “Transformer Tasks” auf “Add New Step”:</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Ändern Sie den Type auf “Message Builder”!</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b w:val="1"/>
          <w:bCs w:val="1"/>
          <w:rtl w:val="0"/>
        </w:rPr>
        <w:t xml:space="preserve">Tipp: </w:t>
      </w:r>
      <w:r w:rsidDel="00000000" w:rsidR="00000000" w:rsidRPr="00000000">
        <w:rPr>
          <w:rtl w:val="0"/>
        </w:rPr>
        <w:t xml:space="preserve">Wenn sie rechts den Reiter “Message Trees” auswählen, können Sie per </w:t>
      </w:r>
      <w:r w:rsidDel="00000000" w:rsidR="00000000" w:rsidRPr="00000000">
        <w:rPr>
          <w:b w:val="1"/>
          <w:bCs w:val="1"/>
          <w:color w:val="ff0000"/>
          <w:rtl w:val="0"/>
        </w:rPr>
        <w:t xml:space="preserve">Drag and Drop </w:t>
      </w:r>
      <w:r w:rsidDel="00000000" w:rsidR="00000000" w:rsidRPr="00000000">
        <w:rPr>
          <w:rtl w:val="0"/>
        </w:rPr>
        <w:t xml:space="preserve">die jeweiligen Segmente in die Felder ziehen. Nur Felder die einen grünen Punkt haben können ausgewählt werden. Hier für </w:t>
      </w:r>
      <w:r w:rsidDel="00000000" w:rsidR="00000000" w:rsidRPr="00000000">
        <w:rPr>
          <w:b w:val="1"/>
          <w:bCs w:val="1"/>
          <w:rtl w:val="0"/>
        </w:rPr>
        <w:t xml:space="preserve">“name_family”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t xml:space="preserve">(oben)</w:t>
        <w:tab/>
        <w:tab/>
        <w:tab/>
        <w:tab/>
        <w:tab/>
        <w:tab/>
        <w:t xml:space="preserve">(unten)</w:t>
      </w:r>
    </w:p>
    <w:p w:rsidR="00000000" w:rsidDel="00000000" w:rsidP="00000000" w:rsidRDefault="00000000" w:rsidRPr="00000000" w14:paraId="00000066">
      <w:pPr>
        <w:ind w:left="720" w:firstLine="0"/>
        <w:rPr/>
      </w:pPr>
      <w:r w:rsidDel="00000000" w:rsidR="00000000" w:rsidRPr="00000000">
        <w:rPr/>
        <w:drawing>
          <wp:inline distB="114300" distT="114300" distL="114300" distR="114300">
            <wp:extent cx="2524632" cy="2157413"/>
            <wp:effectExtent b="0" l="0" r="0" t="0"/>
            <wp:docPr id="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24632" cy="2157413"/>
                    </a:xfrm>
                    <a:prstGeom prst="rect"/>
                    <a:ln/>
                  </pic:spPr>
                </pic:pic>
              </a:graphicData>
            </a:graphic>
          </wp:inline>
        </w:drawing>
      </w:r>
      <w:r w:rsidDel="00000000" w:rsidR="00000000" w:rsidRPr="00000000">
        <w:rPr/>
        <w:drawing>
          <wp:inline distB="114300" distT="114300" distL="114300" distR="114300">
            <wp:extent cx="2547938" cy="2173241"/>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2547938" cy="217324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Ziehen Sie das Feld “name_family” von dem Inbound Message Template Tree (Bild links) im Transformer Step in das Feld “Mapping”:</w:t>
      </w:r>
    </w:p>
    <w:p w:rsidR="00000000" w:rsidDel="00000000" w:rsidP="00000000" w:rsidRDefault="00000000" w:rsidRPr="00000000" w14:paraId="00000068">
      <w:pPr>
        <w:ind w:left="720" w:firstLine="0"/>
        <w:rPr/>
      </w:pPr>
      <w:r w:rsidDel="00000000" w:rsidR="00000000" w:rsidRPr="00000000">
        <w:rPr/>
        <w:drawing>
          <wp:inline distB="114300" distT="114300" distL="114300" distR="114300">
            <wp:extent cx="5731200" cy="1143000"/>
            <wp:effectExtent b="0" l="0" r="0" t="0"/>
            <wp:docPr id="38"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 xml:space="preserve">Ziehen Sie nun das Feld “Patient_100389992” unter name-&gt;family im Outbound Message Template (Bild rechts)  im Transformer Step in das Feld “Message Segment”:</w:t>
      </w:r>
    </w:p>
    <w:p w:rsidR="00000000" w:rsidDel="00000000" w:rsidP="00000000" w:rsidRDefault="00000000" w:rsidRPr="00000000" w14:paraId="0000006A">
      <w:pPr>
        <w:ind w:left="720" w:firstLine="0"/>
        <w:rPr/>
      </w:pPr>
      <w:r w:rsidDel="00000000" w:rsidR="00000000" w:rsidRPr="00000000">
        <w:rPr/>
        <w:drawing>
          <wp:inline distB="114300" distT="114300" distL="114300" distR="114300">
            <wp:extent cx="5731200" cy="1143000"/>
            <wp:effectExtent b="0" l="0" r="0" t="0"/>
            <wp:docPr id="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Dann sieht der fertige Transformer Schritt für das Attribut </w:t>
      </w:r>
      <w:r w:rsidDel="00000000" w:rsidR="00000000" w:rsidRPr="00000000">
        <w:rPr>
          <w:b w:val="1"/>
          <w:bCs w:val="1"/>
          <w:rtl w:val="0"/>
        </w:rPr>
        <w:t xml:space="preserve">name_family </w:t>
      </w:r>
      <w:r w:rsidDel="00000000" w:rsidR="00000000" w:rsidRPr="00000000">
        <w:rPr>
          <w:rtl w:val="0"/>
        </w:rPr>
        <w:t xml:space="preserve">vom Patient folgendermaßen aus:</w:t>
      </w:r>
    </w:p>
    <w:p w:rsidR="00000000" w:rsidDel="00000000" w:rsidP="00000000" w:rsidRDefault="00000000" w:rsidRPr="00000000" w14:paraId="0000006C">
      <w:pPr>
        <w:ind w:left="720" w:firstLine="0"/>
        <w:rPr>
          <w:sz w:val="24"/>
          <w:szCs w:val="24"/>
        </w:rPr>
      </w:pPr>
      <w:r w:rsidDel="00000000" w:rsidR="00000000" w:rsidRPr="00000000">
        <w:rPr>
          <w:sz w:val="24"/>
          <w:szCs w:val="24"/>
        </w:rPr>
        <w:drawing>
          <wp:inline distB="114300" distT="114300" distL="114300" distR="114300">
            <wp:extent cx="5036499" cy="2183598"/>
            <wp:effectExtent b="0" l="0" r="0" t="0"/>
            <wp:docPr id="3"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036499" cy="218359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sz w:val="24"/>
          <w:szCs w:val="24"/>
        </w:rPr>
      </w:pPr>
      <w:r w:rsidDel="00000000" w:rsidR="00000000" w:rsidRPr="00000000">
        <w:rPr>
          <w:rtl w:val="0"/>
        </w:rPr>
      </w:r>
    </w:p>
    <w:p w:rsidR="00000000" w:rsidDel="00000000" w:rsidP="00000000" w:rsidRDefault="00000000" w:rsidRPr="00000000" w14:paraId="0000006E">
      <w:pPr>
        <w:pStyle w:val="Heading5"/>
        <w:numPr>
          <w:ilvl w:val="0"/>
          <w:numId w:val="1"/>
        </w:numPr>
        <w:ind w:left="720" w:hanging="360"/>
        <w:rPr/>
      </w:pPr>
      <w:bookmarkStart w:colFirst="0" w:colLast="0" w:name="_ozvjbjawva12" w:id="9"/>
      <w:bookmarkEnd w:id="9"/>
      <w:r w:rsidDel="00000000" w:rsidR="00000000" w:rsidRPr="00000000">
        <w:rPr>
          <w:rtl w:val="0"/>
        </w:rPr>
        <w:t xml:space="preserve">Gender</w:t>
      </w:r>
    </w:p>
    <w:p w:rsidR="00000000" w:rsidDel="00000000" w:rsidP="00000000" w:rsidRDefault="00000000" w:rsidRPr="00000000" w14:paraId="0000006F">
      <w:pPr>
        <w:ind w:left="720" w:firstLine="0"/>
        <w:rPr/>
      </w:pPr>
      <w:r w:rsidDel="00000000" w:rsidR="00000000" w:rsidRPr="00000000">
        <w:rPr>
          <w:rtl w:val="0"/>
        </w:rPr>
        <w:t xml:space="preserve">Der vollständige Transformer Schritt für das Attribut </w:t>
      </w:r>
      <w:r w:rsidDel="00000000" w:rsidR="00000000" w:rsidRPr="00000000">
        <w:rPr>
          <w:b w:val="1"/>
          <w:bCs w:val="1"/>
          <w:rtl w:val="0"/>
        </w:rPr>
        <w:t xml:space="preserve">gender </w:t>
      </w:r>
      <w:r w:rsidDel="00000000" w:rsidR="00000000" w:rsidRPr="00000000">
        <w:rPr>
          <w:rtl w:val="0"/>
        </w:rPr>
        <w:t xml:space="preserve">vom Patient sieht dann folgendermaßen aus:</w:t>
      </w:r>
    </w:p>
    <w:p w:rsidR="00000000" w:rsidDel="00000000" w:rsidP="00000000" w:rsidRDefault="00000000" w:rsidRPr="00000000" w14:paraId="00000070">
      <w:pPr>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4567238" cy="1992656"/>
            <wp:effectExtent b="0" l="0" r="0" t="0"/>
            <wp:docPr id="37"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4567238" cy="1992656"/>
                    </a:xfrm>
                    <a:prstGeom prst="rect"/>
                    <a:ln/>
                  </pic:spPr>
                </pic:pic>
              </a:graphicData>
            </a:graphic>
          </wp:inline>
        </w:drawing>
      </w:r>
      <w:r w:rsidDel="00000000" w:rsidR="00000000" w:rsidRPr="00000000">
        <w:rPr>
          <w:sz w:val="24"/>
          <w:szCs w:val="24"/>
          <w:rtl w:val="0"/>
        </w:rPr>
        <w:tab/>
        <w:tab/>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4"/>
        <w:rPr/>
      </w:pPr>
      <w:bookmarkStart w:colFirst="0" w:colLast="0" w:name="_8kxeeuagtjqn" w:id="10"/>
      <w:bookmarkEnd w:id="10"/>
      <w:r w:rsidDel="00000000" w:rsidR="00000000" w:rsidRPr="00000000">
        <w:rPr>
          <w:rtl w:val="0"/>
        </w:rPr>
        <w:t xml:space="preserve">1.5.2) MII-Encounter</w:t>
      </w:r>
    </w:p>
    <w:p w:rsidR="00000000" w:rsidDel="00000000" w:rsidP="00000000" w:rsidRDefault="00000000" w:rsidRPr="00000000" w14:paraId="00000073">
      <w:pPr>
        <w:pStyle w:val="Heading5"/>
        <w:numPr>
          <w:ilvl w:val="0"/>
          <w:numId w:val="2"/>
        </w:numPr>
        <w:ind w:left="720" w:hanging="360"/>
        <w:rPr/>
      </w:pPr>
      <w:bookmarkStart w:colFirst="0" w:colLast="0" w:name="_a5z1gjqbsnrq" w:id="11"/>
      <w:bookmarkEnd w:id="11"/>
      <w:r w:rsidDel="00000000" w:rsidR="00000000" w:rsidRPr="00000000">
        <w:rPr>
          <w:rtl w:val="0"/>
        </w:rPr>
        <w:t xml:space="preserve">Aufnahmenummer</w:t>
      </w:r>
    </w:p>
    <w:p w:rsidR="00000000" w:rsidDel="00000000" w:rsidP="00000000" w:rsidRDefault="00000000" w:rsidRPr="00000000" w14:paraId="00000074">
      <w:pPr>
        <w:ind w:left="720" w:firstLine="0"/>
        <w:rPr/>
      </w:pPr>
      <w:r w:rsidDel="00000000" w:rsidR="00000000" w:rsidRPr="00000000">
        <w:rPr>
          <w:rtl w:val="0"/>
        </w:rPr>
        <w:t xml:space="preserve">Hier ist die Aufnahmenummer im FHIR Message Template identifier.value. </w:t>
      </w:r>
    </w:p>
    <w:p w:rsidR="00000000" w:rsidDel="00000000" w:rsidP="00000000" w:rsidRDefault="00000000" w:rsidRPr="00000000" w14:paraId="00000075">
      <w:pPr>
        <w:ind w:left="720" w:firstLine="0"/>
        <w:rPr>
          <w:sz w:val="24"/>
          <w:szCs w:val="24"/>
        </w:rPr>
      </w:pPr>
      <w:r w:rsidDel="00000000" w:rsidR="00000000" w:rsidRPr="00000000">
        <w:rPr>
          <w:sz w:val="24"/>
          <w:szCs w:val="24"/>
        </w:rPr>
        <w:drawing>
          <wp:inline distB="114300" distT="114300" distL="114300" distR="114300">
            <wp:extent cx="5481001" cy="2394524"/>
            <wp:effectExtent b="0" l="0" r="0" t="0"/>
            <wp:docPr id="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81001" cy="239452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5"/>
        <w:numPr>
          <w:ilvl w:val="0"/>
          <w:numId w:val="2"/>
        </w:numPr>
        <w:ind w:left="720" w:hanging="360"/>
        <w:rPr/>
      </w:pPr>
      <w:bookmarkStart w:colFirst="0" w:colLast="0" w:name="_bbsoxlsdmbn5" w:id="12"/>
      <w:bookmarkEnd w:id="12"/>
      <w:r w:rsidDel="00000000" w:rsidR="00000000" w:rsidRPr="00000000">
        <w:rPr>
          <w:rtl w:val="0"/>
        </w:rPr>
        <w:t xml:space="preserve">Referenz</w:t>
      </w:r>
    </w:p>
    <w:p w:rsidR="00000000" w:rsidDel="00000000" w:rsidP="00000000" w:rsidRDefault="00000000" w:rsidRPr="00000000" w14:paraId="00000077">
      <w:pPr>
        <w:ind w:left="720" w:firstLine="0"/>
        <w:rPr>
          <w:sz w:val="24"/>
          <w:szCs w:val="24"/>
        </w:rPr>
      </w:pPr>
      <w:r w:rsidDel="00000000" w:rsidR="00000000" w:rsidRPr="00000000">
        <w:rPr>
          <w:sz w:val="24"/>
          <w:szCs w:val="24"/>
        </w:rPr>
        <w:drawing>
          <wp:inline distB="114300" distT="114300" distL="114300" distR="114300">
            <wp:extent cx="5549052" cy="2424254"/>
            <wp:effectExtent b="0" l="0" r="0" t="0"/>
            <wp:docPr id="30"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549052" cy="242425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 xml:space="preserve">Da jeder Fall einen Patienten referenziert soll jede Referenz mit ‘Patient?identifier=’ beginnen.</w:t>
      </w:r>
    </w:p>
    <w:p w:rsidR="00000000" w:rsidDel="00000000" w:rsidP="00000000" w:rsidRDefault="00000000" w:rsidRPr="00000000" w14:paraId="00000079">
      <w:pPr>
        <w:ind w:left="720" w:firstLine="0"/>
        <w:rPr/>
      </w:pPr>
      <w:r w:rsidDel="00000000" w:rsidR="00000000" w:rsidRPr="00000000">
        <w:rPr>
          <w:b w:val="1"/>
          <w:bCs w:val="1"/>
          <w:rtl w:val="0"/>
        </w:rPr>
        <w:t xml:space="preserve">Wichtig: </w:t>
      </w:r>
      <w:r w:rsidDel="00000000" w:rsidR="00000000" w:rsidRPr="00000000">
        <w:rPr>
          <w:rtl w:val="0"/>
        </w:rPr>
        <w:t xml:space="preserve">Nur der erste Part ‘Patient?identifier=’ steht in einfachen Anführungszeichen (‘...’). Der Rest nicht!</w:t>
      </w:r>
    </w:p>
    <w:p w:rsidR="00000000" w:rsidDel="00000000" w:rsidP="00000000" w:rsidRDefault="00000000" w:rsidRPr="00000000" w14:paraId="0000007A">
      <w:pPr>
        <w:ind w:left="720" w:firstLine="0"/>
        <w:rPr>
          <w:b w:val="1"/>
          <w:bCs w:val="1"/>
        </w:rPr>
      </w:pPr>
      <w:r w:rsidDel="00000000" w:rsidR="00000000" w:rsidRPr="00000000">
        <w:rPr>
          <w:rtl w:val="0"/>
        </w:rPr>
        <w:t xml:space="preserve">Daher steht in Mapping: </w:t>
      </w:r>
      <w:r w:rsidDel="00000000" w:rsidR="00000000" w:rsidRPr="00000000">
        <w:rPr>
          <w:b w:val="1"/>
          <w:bCs w:val="1"/>
          <w:rtl w:val="0"/>
        </w:rPr>
        <w:t xml:space="preserve">'Patient?identifier=' + msg['row'][0]['Subject'].toString()</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sz w:val="24"/>
          <w:szCs w:val="24"/>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rPr/>
      </w:pPr>
      <w:bookmarkStart w:colFirst="0" w:colLast="0" w:name="_odw85f2mhfrt" w:id="13"/>
      <w:bookmarkEnd w:id="13"/>
      <w:r w:rsidDel="00000000" w:rsidR="00000000" w:rsidRPr="00000000">
        <w:rPr>
          <w:rtl w:val="0"/>
        </w:rPr>
        <w:t xml:space="preserve">1.6)  Deployen der Channels und laden der Daten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Klicken Sie unter “Channel Tasks” auf “Redeploy All” damit beide Channels aktiv werden.</w:t>
      </w:r>
    </w:p>
    <w:p w:rsidR="00000000" w:rsidDel="00000000" w:rsidP="00000000" w:rsidRDefault="00000000" w:rsidRPr="00000000" w14:paraId="00000081">
      <w:pPr>
        <w:rPr/>
      </w:pPr>
      <w:r w:rsidDel="00000000" w:rsidR="00000000" w:rsidRPr="00000000">
        <w:rPr>
          <w:b w:val="1"/>
          <w:bCs w:val="1"/>
          <w:rtl w:val="0"/>
        </w:rPr>
        <w:t xml:space="preserve">Wichtig: </w:t>
      </w:r>
      <w:r w:rsidDel="00000000" w:rsidR="00000000" w:rsidRPr="00000000">
        <w:rPr>
          <w:rtl w:val="0"/>
        </w:rPr>
        <w:t xml:space="preserve">Beide Channel sollen den Status “Enabled” haben. Diesen können Sie ändern unter:</w:t>
      </w:r>
    </w:p>
    <w:p w:rsidR="00000000" w:rsidDel="00000000" w:rsidP="00000000" w:rsidRDefault="00000000" w:rsidRPr="00000000" w14:paraId="00000082">
      <w:pPr>
        <w:rPr>
          <w:sz w:val="24"/>
          <w:szCs w:val="24"/>
        </w:rPr>
      </w:pPr>
      <w:r w:rsidDel="00000000" w:rsidR="00000000" w:rsidRPr="00000000">
        <w:rPr/>
        <w:drawing>
          <wp:inline distB="114300" distT="114300" distL="114300" distR="114300">
            <wp:extent cx="3943970" cy="1114411"/>
            <wp:effectExtent b="0" l="0" r="0" t="0"/>
            <wp:docPr id="2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3943970" cy="111441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Pr>
        <w:drawing>
          <wp:inline distB="114300" distT="114300" distL="114300" distR="114300">
            <wp:extent cx="4519613" cy="1163688"/>
            <wp:effectExtent b="0" l="0" r="0" t="0"/>
            <wp:docPr id="39"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4519613" cy="116368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Deployed Channels:</w:t>
      </w:r>
    </w:p>
    <w:p w:rsidR="00000000" w:rsidDel="00000000" w:rsidP="00000000" w:rsidRDefault="00000000" w:rsidRPr="00000000" w14:paraId="00000086">
      <w:pPr>
        <w:rPr>
          <w:sz w:val="24"/>
          <w:szCs w:val="24"/>
        </w:rPr>
      </w:pPr>
      <w:r w:rsidDel="00000000" w:rsidR="00000000" w:rsidRPr="00000000">
        <w:rPr>
          <w:sz w:val="24"/>
          <w:szCs w:val="24"/>
        </w:rPr>
        <w:drawing>
          <wp:inline distB="114300" distT="114300" distL="114300" distR="114300">
            <wp:extent cx="5691188" cy="567228"/>
            <wp:effectExtent b="0" l="0" r="0" t="0"/>
            <wp:docPr id="13"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691188" cy="56722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Wenn diese deployed sind können sie beginnen die Patienten CSV Datei in den Ordner zu kopieren.</w:t>
      </w:r>
    </w:p>
    <w:p w:rsidR="00000000" w:rsidDel="00000000" w:rsidP="00000000" w:rsidRDefault="00000000" w:rsidRPr="00000000" w14:paraId="00000088">
      <w:pPr>
        <w:rPr/>
      </w:pPr>
      <w:r w:rsidDel="00000000" w:rsidR="00000000" w:rsidRPr="00000000">
        <w:rPr>
          <w:rtl w:val="0"/>
        </w:rPr>
        <w:t xml:space="preserve">Wenn Mirth-Connect nun die Dateien liest, dann sollte folgendes angezeigt werden:</w:t>
      </w:r>
    </w:p>
    <w:p w:rsidR="00000000" w:rsidDel="00000000" w:rsidP="00000000" w:rsidRDefault="00000000" w:rsidRPr="00000000" w14:paraId="00000089">
      <w:pPr>
        <w:rPr/>
      </w:pPr>
      <w:r w:rsidDel="00000000" w:rsidR="00000000" w:rsidRPr="00000000">
        <w:rPr/>
        <w:drawing>
          <wp:inline distB="114300" distT="114300" distL="114300" distR="114300">
            <wp:extent cx="1028700" cy="790575"/>
            <wp:effectExtent b="0" l="0" r="0" t="0"/>
            <wp:docPr id="11"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0287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MII-Patient:</w:t>
      </w:r>
    </w:p>
    <w:p w:rsidR="00000000" w:rsidDel="00000000" w:rsidP="00000000" w:rsidRDefault="00000000" w:rsidRPr="00000000" w14:paraId="0000008B">
      <w:pPr>
        <w:rPr/>
      </w:pPr>
      <w:r w:rsidDel="00000000" w:rsidR="00000000" w:rsidRPr="00000000">
        <w:rPr>
          <w:rtl w:val="0"/>
        </w:rPr>
        <w:t xml:space="preserve">Es sollten </w:t>
      </w:r>
      <w:r w:rsidDel="00000000" w:rsidR="00000000" w:rsidRPr="00000000">
        <w:rPr>
          <w:b w:val="1"/>
          <w:bCs w:val="1"/>
          <w:rtl w:val="0"/>
        </w:rPr>
        <w:t xml:space="preserve">100 Patienten</w:t>
      </w:r>
      <w:r w:rsidDel="00000000" w:rsidR="00000000" w:rsidRPr="00000000">
        <w:rPr>
          <w:rtl w:val="0"/>
        </w:rPr>
        <w:t xml:space="preserve"> erfolgreich gesendet werden (Sent):</w:t>
      </w:r>
    </w:p>
    <w:p w:rsidR="00000000" w:rsidDel="00000000" w:rsidP="00000000" w:rsidRDefault="00000000" w:rsidRPr="00000000" w14:paraId="0000008C">
      <w:pPr>
        <w:rPr/>
      </w:pPr>
      <w:r w:rsidDel="00000000" w:rsidR="00000000" w:rsidRPr="00000000">
        <w:rPr/>
        <w:drawing>
          <wp:inline distB="114300" distT="114300" distL="114300" distR="114300">
            <wp:extent cx="5731200" cy="520700"/>
            <wp:effectExtent b="0" l="0" r="0" t="0"/>
            <wp:docPr id="1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520700"/>
                    </a:xfrm>
                    <a:prstGeom prst="rect"/>
                    <a:ln/>
                  </pic:spPr>
                </pic:pic>
              </a:graphicData>
            </a:graphic>
          </wp:inline>
        </w:drawing>
      </w:r>
      <w:r w:rsidDel="00000000" w:rsidR="00000000" w:rsidRPr="00000000">
        <w:rPr>
          <w:rtl w:val="0"/>
        </w:rPr>
        <w:t xml:space="preserve">Unter “View Messages” können Sie die gesendeten Messages ansehen und mögliche Fehler einsehen:</w:t>
      </w:r>
    </w:p>
    <w:p w:rsidR="00000000" w:rsidDel="00000000" w:rsidP="00000000" w:rsidRDefault="00000000" w:rsidRPr="00000000" w14:paraId="0000008D">
      <w:pPr>
        <w:rPr/>
      </w:pPr>
      <w:r w:rsidDel="00000000" w:rsidR="00000000" w:rsidRPr="00000000">
        <w:rPr/>
        <w:drawing>
          <wp:inline distB="114300" distT="114300" distL="114300" distR="114300">
            <wp:extent cx="4910138" cy="2928138"/>
            <wp:effectExtent b="0" l="0" r="0" t="0"/>
            <wp:docPr id="20"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910138" cy="292813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Test: </w:t>
      </w:r>
      <w:r w:rsidDel="00000000" w:rsidR="00000000" w:rsidRPr="00000000">
        <w:rPr>
          <w:rtl w:val="0"/>
        </w:rPr>
        <w:t xml:space="preserve">Um zu testen, ob alle Patienten erfolgreich auf Hapi geladen worden sind, geben Sie im Browser </w:t>
      </w:r>
      <w:hyperlink r:id="rId38">
        <w:r w:rsidDel="00000000" w:rsidR="00000000" w:rsidRPr="00000000">
          <w:rPr>
            <w:color w:val="1155cc"/>
            <w:u w:val="single"/>
            <w:rtl w:val="0"/>
          </w:rPr>
          <w:t xml:space="preserve">http://localhost:8090/fhir/Patient?_summary=count</w:t>
        </w:r>
      </w:hyperlink>
      <w:r w:rsidDel="00000000" w:rsidR="00000000" w:rsidRPr="00000000">
        <w:rPr>
          <w:rtl w:val="0"/>
        </w:rPr>
        <w:t xml:space="preserve"> ein:</w:t>
      </w:r>
    </w:p>
    <w:p w:rsidR="00000000" w:rsidDel="00000000" w:rsidP="00000000" w:rsidRDefault="00000000" w:rsidRPr="00000000" w14:paraId="0000008F">
      <w:pPr>
        <w:rPr/>
      </w:pPr>
      <w:r w:rsidDel="00000000" w:rsidR="00000000" w:rsidRPr="00000000">
        <w:rPr/>
        <w:drawing>
          <wp:inline distB="114300" distT="114300" distL="114300" distR="114300">
            <wp:extent cx="4366980" cy="2705787"/>
            <wp:effectExtent b="0" l="0" r="0" t="0"/>
            <wp:docPr id="1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4366980" cy="270578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MII-Encounter:</w:t>
      </w:r>
    </w:p>
    <w:p w:rsidR="00000000" w:rsidDel="00000000" w:rsidP="00000000" w:rsidRDefault="00000000" w:rsidRPr="00000000" w14:paraId="00000092">
      <w:pPr>
        <w:rPr>
          <w:b w:val="1"/>
          <w:bCs w:val="1"/>
        </w:rPr>
      </w:pPr>
      <w:r w:rsidDel="00000000" w:rsidR="00000000" w:rsidRPr="00000000">
        <w:rPr>
          <w:rtl w:val="0"/>
        </w:rPr>
        <w:t xml:space="preserve">Es sollten </w:t>
      </w:r>
      <w:r w:rsidDel="00000000" w:rsidR="00000000" w:rsidRPr="00000000">
        <w:rPr>
          <w:b w:val="1"/>
          <w:bCs w:val="1"/>
          <w:rtl w:val="0"/>
        </w:rPr>
        <w:t xml:space="preserve">275 Fälle</w:t>
      </w:r>
      <w:r w:rsidDel="00000000" w:rsidR="00000000" w:rsidRPr="00000000">
        <w:rPr>
          <w:rtl w:val="0"/>
        </w:rPr>
        <w:t xml:space="preserve"> erfolgreich gesendet werden (Sent):</w:t>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571500"/>
            <wp:effectExtent b="0" l="0" r="0" t="0"/>
            <wp:docPr id="1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Unter “View Messages” können Sie die gesendeten Messages ansehen und mögliche Fehler einsehen:</w:t>
      </w:r>
    </w:p>
    <w:p w:rsidR="00000000" w:rsidDel="00000000" w:rsidP="00000000" w:rsidRDefault="00000000" w:rsidRPr="00000000" w14:paraId="00000095">
      <w:pPr>
        <w:rPr/>
      </w:pPr>
      <w:r w:rsidDel="00000000" w:rsidR="00000000" w:rsidRPr="00000000">
        <w:rPr/>
        <w:drawing>
          <wp:inline distB="114300" distT="114300" distL="114300" distR="114300">
            <wp:extent cx="4919663" cy="2933819"/>
            <wp:effectExtent b="0" l="0" r="0" t="0"/>
            <wp:docPr id="3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4919663" cy="2933819"/>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Test: </w:t>
      </w:r>
      <w:r w:rsidDel="00000000" w:rsidR="00000000" w:rsidRPr="00000000">
        <w:rPr>
          <w:rtl w:val="0"/>
        </w:rPr>
        <w:t xml:space="preserve">Um zu testen, ob alle Patienten erfolgreich auf Hapi geladen worden sind, geben Sie im Browser </w:t>
      </w:r>
      <w:hyperlink r:id="rId42">
        <w:r w:rsidDel="00000000" w:rsidR="00000000" w:rsidRPr="00000000">
          <w:rPr>
            <w:color w:val="1155cc"/>
            <w:u w:val="single"/>
            <w:rtl w:val="0"/>
          </w:rPr>
          <w:t xml:space="preserve">http://localhost:8090/fhir/Encounter?_summary=count</w:t>
        </w:r>
      </w:hyperlink>
      <w:r w:rsidDel="00000000" w:rsidR="00000000" w:rsidRPr="00000000">
        <w:rPr>
          <w:rtl w:val="0"/>
        </w:rPr>
        <w:t xml:space="preserve"> ein.</w:t>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3"/>
        <w:rPr/>
      </w:pPr>
      <w:bookmarkStart w:colFirst="0" w:colLast="0" w:name="_qau9h0h8gcd6" w:id="14"/>
      <w:bookmarkEnd w:id="14"/>
      <w:r w:rsidDel="00000000" w:rsidR="00000000" w:rsidRPr="00000000">
        <w:rPr>
          <w:rtl w:val="0"/>
        </w:rPr>
        <w:t xml:space="preserve">2.1)  ChlinFHIR Konfigurieren</w:t>
      </w:r>
    </w:p>
    <w:p w:rsidR="00000000" w:rsidDel="00000000" w:rsidP="00000000" w:rsidRDefault="00000000" w:rsidRPr="00000000" w14:paraId="00000099">
      <w:pPr>
        <w:rPr/>
      </w:pPr>
      <w:r w:rsidDel="00000000" w:rsidR="00000000" w:rsidRPr="00000000">
        <w:rPr>
          <w:rtl w:val="0"/>
        </w:rPr>
        <w:t xml:space="preserve">Ändern Sie den Data Server unter rechts oben “Edit” und wählen Sie “Public HAPI R4 Server” im Dropdown Menu aus und bestätigen Sie es mit “Save”.</w:t>
      </w:r>
    </w:p>
    <w:p w:rsidR="00000000" w:rsidDel="00000000" w:rsidP="00000000" w:rsidRDefault="00000000" w:rsidRPr="00000000" w14:paraId="0000009A">
      <w:pPr>
        <w:rPr/>
      </w:pPr>
      <w:r w:rsidDel="00000000" w:rsidR="00000000" w:rsidRPr="00000000">
        <w:rPr/>
        <w:drawing>
          <wp:inline distB="114300" distT="114300" distL="114300" distR="114300">
            <wp:extent cx="4814888" cy="1586081"/>
            <wp:effectExtent b="0" l="0" r="0" t="0"/>
            <wp:docPr id="26"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4814888" cy="158608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before="200" w:lineRule="auto"/>
        <w:rPr/>
      </w:pPr>
      <w:r w:rsidDel="00000000" w:rsidR="00000000" w:rsidRPr="00000000">
        <w:rPr>
          <w:b w:val="1"/>
          <w:bCs w:val="1"/>
          <w:rtl w:val="0"/>
        </w:rPr>
        <w:t xml:space="preserve">Wichtig: </w:t>
      </w:r>
      <w:r w:rsidDel="00000000" w:rsidR="00000000" w:rsidRPr="00000000">
        <w:rPr>
          <w:rtl w:val="0"/>
        </w:rPr>
        <w:t xml:space="preserve">Bevor der lokale FHIR Server hinzugefügt werden kann, müssen Sie den Data Server von “InterSystems FHIR Server R4” nach “Public HAPI R4 Server” ändern. </w:t>
      </w:r>
    </w:p>
    <w:p w:rsidR="00000000" w:rsidDel="00000000" w:rsidP="00000000" w:rsidRDefault="00000000" w:rsidRPr="00000000" w14:paraId="0000009C">
      <w:pPr>
        <w:rPr/>
      </w:pPr>
      <w:r w:rsidDel="00000000" w:rsidR="00000000" w:rsidRPr="00000000">
        <w:rPr>
          <w:rtl w:val="0"/>
        </w:rPr>
        <w:t xml:space="preserve">Fügen Sie dann den FHIR Server hinzu unter “Add Server”:</w:t>
      </w:r>
    </w:p>
    <w:p w:rsidR="00000000" w:rsidDel="00000000" w:rsidP="00000000" w:rsidRDefault="00000000" w:rsidRPr="00000000" w14:paraId="0000009D">
      <w:pPr>
        <w:ind w:left="720" w:firstLine="0"/>
        <w:rPr/>
      </w:pPr>
      <w:r w:rsidDel="00000000" w:rsidR="00000000" w:rsidRPr="00000000">
        <w:rPr>
          <w:i w:val="1"/>
          <w:iCs w:val="1"/>
          <w:rtl w:val="0"/>
        </w:rPr>
        <w:t xml:space="preserve">URL</w:t>
      </w:r>
      <w:r w:rsidDel="00000000" w:rsidR="00000000" w:rsidRPr="00000000">
        <w:rPr>
          <w:rtl w:val="0"/>
        </w:rPr>
        <w:t xml:space="preserve">: </w:t>
      </w:r>
      <w:hyperlink r:id="rId44">
        <w:r w:rsidDel="00000000" w:rsidR="00000000" w:rsidRPr="00000000">
          <w:rPr>
            <w:color w:val="1155cc"/>
            <w:u w:val="single"/>
            <w:rtl w:val="0"/>
          </w:rPr>
          <w:t xml:space="preserve">http://localhost:8090/fhir/</w:t>
        </w:r>
      </w:hyperlink>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4529138" cy="1843254"/>
            <wp:effectExtent b="0" l="0" r="0" t="0"/>
            <wp:docPr id="22"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4529138" cy="1843254"/>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Wählen Sie im Anschluss wieder unter “Edit Server” den neu hinzugefügten FHIR Server aus der Liste aller Data Server aus und bestätigen Sie es mit “Save”.</w:t>
      </w:r>
    </w:p>
    <w:p w:rsidR="00000000" w:rsidDel="00000000" w:rsidP="00000000" w:rsidRDefault="00000000" w:rsidRPr="00000000" w14:paraId="000000A0">
      <w:pPr>
        <w:rPr/>
      </w:pPr>
      <w:r w:rsidDel="00000000" w:rsidR="00000000" w:rsidRPr="00000000">
        <w:rPr/>
        <w:drawing>
          <wp:inline distB="114300" distT="114300" distL="114300" distR="114300">
            <wp:extent cx="4557713" cy="1483151"/>
            <wp:effectExtent b="0" l="0" r="0" t="0"/>
            <wp:docPr id="31"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4557713" cy="148315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rPr/>
      </w:pPr>
      <w:bookmarkStart w:colFirst="0" w:colLast="0" w:name="_otvswr3j8nen" w:id="15"/>
      <w:bookmarkEnd w:id="15"/>
      <w:r w:rsidDel="00000000" w:rsidR="00000000" w:rsidRPr="00000000">
        <w:rPr>
          <w:rtl w:val="0"/>
        </w:rPr>
        <w:t xml:space="preserve">2.2)  ChlinFHIR Patient Viewer</w:t>
      </w:r>
    </w:p>
    <w:p w:rsidR="00000000" w:rsidDel="00000000" w:rsidP="00000000" w:rsidRDefault="00000000" w:rsidRPr="00000000" w14:paraId="000000A2">
      <w:pPr>
        <w:rPr/>
      </w:pPr>
      <w:r w:rsidDel="00000000" w:rsidR="00000000" w:rsidRPr="00000000">
        <w:rPr>
          <w:rtl w:val="0"/>
        </w:rPr>
        <w:t xml:space="preserve">2.2.1)</w:t>
        <w:tab/>
        <w:t xml:space="preserve">Wie alt ist der Patient mit ID 58 (Identifier: </w:t>
      </w:r>
      <w:r w:rsidDel="00000000" w:rsidR="00000000" w:rsidRPr="00000000">
        <w:rPr>
          <w:i w:val="1"/>
          <w:iCs w:val="1"/>
          <w:rtl w:val="0"/>
        </w:rPr>
        <w:t xml:space="preserve">10015860)</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ab/>
        <w:tab/>
        <w:t xml:space="preserve">Lösung: 53 Jahre (Geb. Datum: 01.01.1971)</w:t>
      </w:r>
    </w:p>
    <w:p w:rsidR="00000000" w:rsidDel="00000000" w:rsidP="00000000" w:rsidRDefault="00000000" w:rsidRPr="00000000" w14:paraId="000000A4">
      <w:pPr>
        <w:rPr/>
      </w:pPr>
      <w:r w:rsidDel="00000000" w:rsidR="00000000" w:rsidRPr="00000000">
        <w:rPr>
          <w:rtl w:val="0"/>
        </w:rPr>
        <w:t xml:space="preserve">2.2.2) Wie viele Fälle gibt es </w:t>
      </w:r>
      <w:r w:rsidDel="00000000" w:rsidR="00000000" w:rsidRPr="00000000">
        <w:rPr>
          <w:rtl w:val="0"/>
        </w:rPr>
        <w:t xml:space="preserve">zu dem</w:t>
      </w:r>
      <w:r w:rsidDel="00000000" w:rsidR="00000000" w:rsidRPr="00000000">
        <w:rPr>
          <w:rtl w:val="0"/>
        </w:rPr>
        <w:t xml:space="preserve"> Patienten mit der ID 2 (Identifier: 10003400)? </w:t>
      </w:r>
    </w:p>
    <w:p w:rsidR="00000000" w:rsidDel="00000000" w:rsidP="00000000" w:rsidRDefault="00000000" w:rsidRPr="00000000" w14:paraId="000000A5">
      <w:pPr>
        <w:ind w:left="720" w:firstLine="720"/>
        <w:rPr/>
      </w:pPr>
      <w:r w:rsidDel="00000000" w:rsidR="00000000" w:rsidRPr="00000000">
        <w:rPr>
          <w:rtl w:val="0"/>
        </w:rPr>
        <w:t xml:space="preserve">Lösung ‘Resource Reference Graph’ </w:t>
      </w:r>
    </w:p>
    <w:p w:rsidR="00000000" w:rsidDel="00000000" w:rsidP="00000000" w:rsidRDefault="00000000" w:rsidRPr="00000000" w14:paraId="000000A6">
      <w:pPr>
        <w:ind w:left="1440" w:firstLine="0"/>
        <w:rPr/>
      </w:pPr>
      <w:r w:rsidDel="00000000" w:rsidR="00000000" w:rsidRPr="00000000">
        <w:rPr>
          <w:b w:val="1"/>
          <w:bCs w:val="1"/>
        </w:rPr>
        <w:drawing>
          <wp:inline distB="114300" distT="114300" distL="114300" distR="114300">
            <wp:extent cx="2338348" cy="2119313"/>
            <wp:effectExtent b="0" l="0" r="0" t="0"/>
            <wp:docPr id="14"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2338348" cy="2119313"/>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t xml:space="preserve">Lösung: 7 Fälle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2.2.3)  Ist der Patient mit ID 2 (Identifier: 10003400) bereits </w:t>
      </w:r>
      <w:r w:rsidDel="00000000" w:rsidR="00000000" w:rsidRPr="00000000">
        <w:rPr>
          <w:rtl w:val="0"/>
        </w:rPr>
        <w:t xml:space="preserve">verstorben?</w:t>
      </w: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ab/>
        <w:tab/>
        <w:t xml:space="preserve">Lösung: Ja (deceasedBooolean: false)</w:t>
      </w:r>
    </w:p>
    <w:p w:rsidR="00000000" w:rsidDel="00000000" w:rsidP="00000000" w:rsidRDefault="00000000" w:rsidRPr="00000000" w14:paraId="000000AA">
      <w:pPr>
        <w:pStyle w:val="Heading3"/>
        <w:rPr/>
      </w:pPr>
      <w:bookmarkStart w:colFirst="0" w:colLast="0" w:name="_88jxla3pb0de" w:id="16"/>
      <w:bookmarkEnd w:id="16"/>
      <w:r w:rsidDel="00000000" w:rsidR="00000000" w:rsidRPr="00000000">
        <w:rPr>
          <w:rtl w:val="0"/>
        </w:rPr>
        <w:t xml:space="preserve">2.3)  ChlinFHIR Server Query</w:t>
      </w:r>
    </w:p>
    <w:p w:rsidR="00000000" w:rsidDel="00000000" w:rsidP="00000000" w:rsidRDefault="00000000" w:rsidRPr="00000000" w14:paraId="000000AB">
      <w:pPr>
        <w:rPr/>
      </w:pPr>
      <w:r w:rsidDel="00000000" w:rsidR="00000000" w:rsidRPr="00000000">
        <w:rPr>
          <w:rtl w:val="0"/>
        </w:rPr>
        <w:t xml:space="preserve">2.3.1) Wie viele Patienten sind weiblich? </w:t>
      </w:r>
    </w:p>
    <w:p w:rsidR="00000000" w:rsidDel="00000000" w:rsidP="00000000" w:rsidRDefault="00000000" w:rsidRPr="00000000" w14:paraId="000000AC">
      <w:pPr>
        <w:ind w:left="1440" w:firstLine="0"/>
        <w:rPr>
          <w:i w:val="1"/>
          <w:iCs w:val="1"/>
        </w:rPr>
      </w:pPr>
      <w:r w:rsidDel="00000000" w:rsidR="00000000" w:rsidRPr="00000000">
        <w:rPr>
          <w:i w:val="1"/>
          <w:iCs w:val="1"/>
          <w:rtl w:val="0"/>
        </w:rPr>
        <w:t xml:space="preserve">Lösung: Patient?gender=female&amp;_count=100</w:t>
      </w:r>
    </w:p>
    <w:p w:rsidR="00000000" w:rsidDel="00000000" w:rsidP="00000000" w:rsidRDefault="00000000" w:rsidRPr="00000000" w14:paraId="000000AD">
      <w:pPr>
        <w:ind w:left="1440" w:firstLine="0"/>
        <w:rPr>
          <w:i w:val="1"/>
          <w:iCs w:val="1"/>
        </w:rPr>
      </w:pPr>
      <w:r w:rsidDel="00000000" w:rsidR="00000000" w:rsidRPr="00000000">
        <w:rPr>
          <w:i w:val="1"/>
          <w:iCs w:val="1"/>
        </w:rPr>
        <w:drawing>
          <wp:inline distB="114300" distT="114300" distL="114300" distR="114300">
            <wp:extent cx="2938463" cy="680624"/>
            <wp:effectExtent b="0" l="0" r="0" t="0"/>
            <wp:docPr id="21"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2938463" cy="68062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2.3.2) Wie viele Patienten sind bereits </w:t>
      </w:r>
      <w:r w:rsidDel="00000000" w:rsidR="00000000" w:rsidRPr="00000000">
        <w:rPr>
          <w:rtl w:val="0"/>
        </w:rPr>
        <w:t xml:space="preserve">verstorben?</w:t>
      </w:r>
      <w:r w:rsidDel="00000000" w:rsidR="00000000" w:rsidRPr="00000000">
        <w:rPr>
          <w:rtl w:val="0"/>
        </w:rPr>
        <w:t xml:space="preserve"> </w:t>
      </w:r>
    </w:p>
    <w:p w:rsidR="00000000" w:rsidDel="00000000" w:rsidP="00000000" w:rsidRDefault="00000000" w:rsidRPr="00000000" w14:paraId="000000AF">
      <w:pPr>
        <w:ind w:left="1440" w:firstLine="0"/>
        <w:rPr>
          <w:i w:val="1"/>
          <w:iCs w:val="1"/>
        </w:rPr>
      </w:pPr>
      <w:r w:rsidDel="00000000" w:rsidR="00000000" w:rsidRPr="00000000">
        <w:rPr>
          <w:i w:val="1"/>
          <w:iCs w:val="1"/>
          <w:rtl w:val="0"/>
        </w:rPr>
        <w:t xml:space="preserve">Lösung: Patient?deceased=true&amp;_count=100</w:t>
      </w:r>
    </w:p>
    <w:p w:rsidR="00000000" w:rsidDel="00000000" w:rsidP="00000000" w:rsidRDefault="00000000" w:rsidRPr="00000000" w14:paraId="000000B0">
      <w:pPr>
        <w:ind w:left="1440" w:firstLine="0"/>
        <w:rPr>
          <w:i w:val="1"/>
          <w:iCs w:val="1"/>
        </w:rPr>
      </w:pPr>
      <w:r w:rsidDel="00000000" w:rsidR="00000000" w:rsidRPr="00000000">
        <w:rPr>
          <w:i w:val="1"/>
          <w:iCs w:val="1"/>
        </w:rPr>
        <w:drawing>
          <wp:inline distB="114300" distT="114300" distL="114300" distR="114300">
            <wp:extent cx="3081338" cy="755164"/>
            <wp:effectExtent b="0" l="0" r="0" t="0"/>
            <wp:docPr id="7"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3081338" cy="75516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2.3.3) Wie viele Fälle gehören zu den bereits verstorbenen Patienten?</w:t>
      </w:r>
    </w:p>
    <w:p w:rsidR="00000000" w:rsidDel="00000000" w:rsidP="00000000" w:rsidRDefault="00000000" w:rsidRPr="00000000" w14:paraId="000000B2">
      <w:pPr>
        <w:ind w:left="1440" w:firstLine="0"/>
        <w:rPr>
          <w:i w:val="1"/>
          <w:iCs w:val="1"/>
        </w:rPr>
      </w:pPr>
      <w:r w:rsidDel="00000000" w:rsidR="00000000" w:rsidRPr="00000000">
        <w:rPr>
          <w:i w:val="1"/>
          <w:iCs w:val="1"/>
          <w:rtl w:val="0"/>
        </w:rPr>
        <w:t xml:space="preserve">Lösung: Encounter?patient.deceased=true&amp;_count=200</w:t>
      </w:r>
    </w:p>
    <w:p w:rsidR="00000000" w:rsidDel="00000000" w:rsidP="00000000" w:rsidRDefault="00000000" w:rsidRPr="00000000" w14:paraId="000000B3">
      <w:pPr>
        <w:ind w:left="1440" w:firstLine="0"/>
        <w:rPr/>
      </w:pPr>
      <w:r w:rsidDel="00000000" w:rsidR="00000000" w:rsidRPr="00000000">
        <w:rPr/>
        <w:drawing>
          <wp:inline distB="114300" distT="114300" distL="114300" distR="114300">
            <wp:extent cx="3047025" cy="655836"/>
            <wp:effectExtent b="0" l="0" r="0" t="0"/>
            <wp:docPr id="23"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3047025" cy="655836"/>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hyperlink" Target="http://localhost:8090/fhir/Patient?_summary=count" TargetMode="External"/><Relationship Id="rId41" Type="http://schemas.openxmlformats.org/officeDocument/2006/relationships/image" Target="media/image29.png"/><Relationship Id="rId44" Type="http://schemas.openxmlformats.org/officeDocument/2006/relationships/hyperlink" Target="http://localhost:8090/fhir/" TargetMode="External"/><Relationship Id="rId43" Type="http://schemas.openxmlformats.org/officeDocument/2006/relationships/image" Target="media/image34.png"/><Relationship Id="rId46" Type="http://schemas.openxmlformats.org/officeDocument/2006/relationships/image" Target="media/image26.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25.png"/><Relationship Id="rId47" Type="http://schemas.openxmlformats.org/officeDocument/2006/relationships/image" Target="media/image18.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5.png"/><Relationship Id="rId8" Type="http://schemas.openxmlformats.org/officeDocument/2006/relationships/hyperlink" Target="https://github.com/IMISE/MI-Lab-E02-CSV-to-FHIR/tree/main/Material/Channels" TargetMode="External"/><Relationship Id="rId31" Type="http://schemas.openxmlformats.org/officeDocument/2006/relationships/image" Target="media/image32.png"/><Relationship Id="rId30" Type="http://schemas.openxmlformats.org/officeDocument/2006/relationships/image" Target="media/image4.png"/><Relationship Id="rId33" Type="http://schemas.openxmlformats.org/officeDocument/2006/relationships/image" Target="media/image36.png"/><Relationship Id="rId32" Type="http://schemas.openxmlformats.org/officeDocument/2006/relationships/image" Target="media/image21.png"/><Relationship Id="rId35" Type="http://schemas.openxmlformats.org/officeDocument/2006/relationships/image" Target="media/image15.png"/><Relationship Id="rId34" Type="http://schemas.openxmlformats.org/officeDocument/2006/relationships/image" Target="media/image9.png"/><Relationship Id="rId37" Type="http://schemas.openxmlformats.org/officeDocument/2006/relationships/image" Target="media/image20.png"/><Relationship Id="rId36" Type="http://schemas.openxmlformats.org/officeDocument/2006/relationships/image" Target="media/image1.png"/><Relationship Id="rId39" Type="http://schemas.openxmlformats.org/officeDocument/2006/relationships/image" Target="media/image3.png"/><Relationship Id="rId38" Type="http://schemas.openxmlformats.org/officeDocument/2006/relationships/hyperlink" Target="http://localhost:8090/fhir/Patient?_summary=count" TargetMode="External"/><Relationship Id="rId20" Type="http://schemas.openxmlformats.org/officeDocument/2006/relationships/image" Target="media/image11.png"/><Relationship Id="rId22" Type="http://schemas.openxmlformats.org/officeDocument/2006/relationships/image" Target="media/image23.png"/><Relationship Id="rId21" Type="http://schemas.openxmlformats.org/officeDocument/2006/relationships/image" Target="media/image2.png"/><Relationship Id="rId24" Type="http://schemas.openxmlformats.org/officeDocument/2006/relationships/image" Target="media/image7.png"/><Relationship Id="rId23" Type="http://schemas.openxmlformats.org/officeDocument/2006/relationships/image" Target="media/image12.png"/><Relationship Id="rId26" Type="http://schemas.openxmlformats.org/officeDocument/2006/relationships/image" Target="media/image37.png"/><Relationship Id="rId25" Type="http://schemas.openxmlformats.org/officeDocument/2006/relationships/image" Target="media/image10.png"/><Relationship Id="rId28" Type="http://schemas.openxmlformats.org/officeDocument/2006/relationships/image" Target="media/image33.png"/><Relationship Id="rId27" Type="http://schemas.openxmlformats.org/officeDocument/2006/relationships/image" Target="media/image19.png"/><Relationship Id="rId29" Type="http://schemas.openxmlformats.org/officeDocument/2006/relationships/image" Target="media/image30.png"/><Relationship Id="rId50" Type="http://schemas.openxmlformats.org/officeDocument/2006/relationships/image" Target="media/image28.png"/><Relationship Id="rId11" Type="http://schemas.openxmlformats.org/officeDocument/2006/relationships/image" Target="media/image31.png"/><Relationship Id="rId10" Type="http://schemas.openxmlformats.org/officeDocument/2006/relationships/image" Target="media/image35.png"/><Relationship Id="rId13" Type="http://schemas.openxmlformats.org/officeDocument/2006/relationships/image" Target="media/image22.png"/><Relationship Id="rId12" Type="http://schemas.openxmlformats.org/officeDocument/2006/relationships/image" Target="media/image24.png"/><Relationship Id="rId15" Type="http://schemas.openxmlformats.org/officeDocument/2006/relationships/hyperlink" Target="http://localhost:8090/fhir" TargetMode="External"/><Relationship Id="rId14" Type="http://schemas.openxmlformats.org/officeDocument/2006/relationships/hyperlink" Target="http://hapi:8080/fhir" TargetMode="External"/><Relationship Id="rId17" Type="http://schemas.openxmlformats.org/officeDocument/2006/relationships/image" Target="media/image27.png"/><Relationship Id="rId16" Type="http://schemas.openxmlformats.org/officeDocument/2006/relationships/hyperlink" Target="https://docs.docker.com/compose/how-tos/networking/" TargetMode="External"/><Relationship Id="rId19" Type="http://schemas.openxmlformats.org/officeDocument/2006/relationships/image" Target="media/image8.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