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gjupuncamf" w:id="0"/>
      <w:bookmarkEnd w:id="0"/>
      <w:r w:rsidDel="00000000" w:rsidR="00000000" w:rsidRPr="00000000">
        <w:rPr>
          <w:rtl w:val="0"/>
        </w:rPr>
        <w:t xml:space="preserve">Ü4 LDH Solutions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solutions are based on the contents of the LDH: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https://ldh.imise.uni-leipzig.de/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f your own LDH instance is used for the exercise, solutions may differ — especially for Task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 and Project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Search for 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Institut für Medizinische Informatik, Statistik und Epidemiologie (IMISE)</w:t>
        </w:r>
      </w:hyperlink>
      <w:r w:rsidDel="00000000" w:rsidR="00000000" w:rsidRPr="00000000">
        <w:rPr>
          <w:rtl w:val="0"/>
        </w:rPr>
        <w:t xml:space="preserve">”. Navigate to “Related Items”, where it states: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05275" cy="2809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Therefore, there are </w:t>
      </w:r>
      <w:r w:rsidDel="00000000" w:rsidR="00000000" w:rsidRPr="00000000">
        <w:rPr>
          <w:b w:val="1"/>
          <w:bCs w:val="1"/>
          <w:rtl w:val="0"/>
        </w:rPr>
        <w:t xml:space="preserve">6 </w:t>
      </w:r>
      <w:r w:rsidDel="00000000" w:rsidR="00000000" w:rsidRPr="00000000">
        <w:rPr>
          <w:rtl w:val="0"/>
        </w:rPr>
        <w:t xml:space="preserve">projects within this institution.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an Investigation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Under the project “MI-Lab”, add an Investigation: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In the top-right corner, click the “Add new” button and select “Investigation”.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 Metadata Schema 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Select “MIAPPE metadata v1.1” and complete the metadata fields.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Rights 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Configure the access rights for this Investigation so that only people from your project can access it. 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are access rights necessary for clinical studies? </w:t>
      </w:r>
    </w:p>
    <w:p w:rsidR="00000000" w:rsidDel="00000000" w:rsidP="00000000" w:rsidRDefault="00000000" w:rsidRPr="00000000" w14:paraId="00000014">
      <w:pPr>
        <w:spacing w:after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Not everyone on the internet should be able to view study-specific data such as datasets. However, members of the study team need full access to all relevant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not all data from a clinical study be made openly available? </w:t>
      </w:r>
    </w:p>
    <w:p w:rsidR="00000000" w:rsidDel="00000000" w:rsidP="00000000" w:rsidRDefault="00000000" w:rsidRPr="00000000" w14:paraId="00000016">
      <w:pPr>
        <w:spacing w:after="20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Data related to study participants is personal and sensitive information and must not simply be published openly on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Creating a Study </w:t>
      </w:r>
    </w:p>
    <w:p w:rsidR="00000000" w:rsidDel="00000000" w:rsidP="00000000" w:rsidRDefault="00000000" w:rsidRPr="00000000" w14:paraId="00000019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similar to the solution for Task 2. The only difference is that under the Investigation, you must select “Add new” → “Study”.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an Experimental Assay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</w:t>
      </w:r>
    </w:p>
    <w:p w:rsidR="00000000" w:rsidDel="00000000" w:rsidP="00000000" w:rsidRDefault="00000000" w:rsidRPr="00000000" w14:paraId="0000001C">
      <w:pPr>
        <w:spacing w:after="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these documents be uploaded in addition to the dataset? </w:t>
      </w:r>
    </w:p>
    <w:p w:rsidR="00000000" w:rsidDel="00000000" w:rsidP="00000000" w:rsidRDefault="00000000" w:rsidRPr="00000000" w14:paraId="0000001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These documents are essential for better reusability and interpretability. In addition to the data itself, they are necessary because they ensure: scientific context and understanding (study protocol), reliability (data quality rules), and comprehensibility (data dictionary).</w:t>
      </w:r>
    </w:p>
    <w:p w:rsidR="00000000" w:rsidDel="00000000" w:rsidP="00000000" w:rsidRDefault="00000000" w:rsidRPr="00000000" w14:paraId="0000001E">
      <w:pPr>
        <w:spacing w:after="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these documents used for in a clinical study? 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See also the lecture slides. 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FDMP:</w:t>
        <w:br w:type="textWrapping"/>
      </w:r>
      <w:r w:rsidDel="00000000" w:rsidR="00000000" w:rsidRPr="00000000">
        <w:rPr>
          <w:rtl w:val="0"/>
        </w:rPr>
        <w:t xml:space="preserve">The FDMP describes how these three components are embedded overall and how data and documentation are handled throughout the entire research lifecycle.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Study Protocol:</w:t>
        <w:br w:type="textWrapping"/>
      </w:r>
      <w:r w:rsidDel="00000000" w:rsidR="00000000" w:rsidRPr="00000000">
        <w:rPr>
          <w:rtl w:val="0"/>
        </w:rPr>
        <w:t xml:space="preserve"> Important for transparency and reproducibility. Other researchers can understand why and how the data was collected.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 Quality Rules:</w:t>
        <w:br w:type="textWrapping"/>
      </w:r>
      <w:r w:rsidDel="00000000" w:rsidR="00000000" w:rsidRPr="00000000">
        <w:rPr>
          <w:rtl w:val="0"/>
        </w:rPr>
        <w:t xml:space="preserve"> Describe which validation and plausibility checks are applied to the data (e.g., value ranges, missing data, duplicate records).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 Dictionary:</w:t>
        <w:br w:type="textWrapping"/>
      </w:r>
      <w:r w:rsidDel="00000000" w:rsidR="00000000" w:rsidRPr="00000000">
        <w:rPr>
          <w:rtl w:val="0"/>
        </w:rPr>
        <w:t xml:space="preserve"> Contains definitions of the variables (e.g., column name, meaning, data type, units, coding systems).</w:t>
        <w:br w:type="textWrapping"/>
        <w:t xml:space="preserve"> It is indispensable for any kind of data reuse or integration, because otherwise nobody knows what variables such as “HR” or “ICU_stay_id” actually mean.</w:t>
        <w:br w:type="textWrapping"/>
        <w:t xml:space="preserve">It also enables interoperability, since variables can be machine-readable annotated or mapped to standards such as SNOMED CT or LOINC.</w:t>
      </w:r>
    </w:p>
    <w:p w:rsidR="00000000" w:rsidDel="00000000" w:rsidP="00000000" w:rsidRDefault="00000000" w:rsidRPr="00000000" w14:paraId="0000002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ldh.imise.uni-leipzig.de/" TargetMode="External"/><Relationship Id="rId7" Type="http://schemas.openxmlformats.org/officeDocument/2006/relationships/hyperlink" Target="https://ldh.imise.uni-leipzig.de/institutions/4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