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120" w:after="120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lang w:val="ru-RU" w:eastAsia="ru-RU"/>
        </w:rPr>
      </w:pPr>
      <w:r>
        <w:rPr>
          <w:rFonts w:cs="Times New Roman" w:ascii="Times New Roman" w:hAnsi="Times New Roman"/>
          <w:caps/>
          <w:lang w:val="ru-RU" w:eastAsia="ru-RU"/>
        </w:rPr>
      </w:r>
    </w:p>
    <w:p>
      <w:pPr>
        <w:pStyle w:val="Style17"/>
        <w:ind w:left="1351" w:right="1268"/>
        <w:rPr>
          <w:rFonts w:ascii="Times New Roman" w:hAnsi="Times New Roman" w:cs="Times New Roman"/>
          <w:caps/>
          <w:sz w:val="32"/>
          <w:szCs w:val="32"/>
          <w:lang w:val="ru-RU" w:eastAsia="ru-RU"/>
        </w:rPr>
      </w:pPr>
      <w:r>
        <w:rPr>
          <w:rFonts w:cs="Times New Roman" w:ascii="Times New Roman" w:hAnsi="Times New Roman"/>
          <w:caps/>
          <w:sz w:val="32"/>
          <w:szCs w:val="32"/>
          <w:lang w:val="ru-RU" w:eastAsia="ru-RU"/>
        </w:rPr>
        <w:fldChar w:fldCharType="begin"/>
      </w:r>
      <w:r>
        <w:rPr>
          <w:caps/>
          <w:sz w:val="32"/>
          <w:szCs w:val="32"/>
          <w:rFonts w:cs="Times New Roman" w:ascii="Times New Roman" w:hAnsi="Times New Roman"/>
          <w:lang w:val="ru-RU" w:eastAsia="ru-RU"/>
        </w:rPr>
        <w:instrText xml:space="preserve"> SUBJECT </w:instrText>
      </w:r>
      <w:r>
        <w:rPr>
          <w:caps/>
          <w:sz w:val="32"/>
          <w:szCs w:val="32"/>
          <w:rFonts w:cs="Times New Roman" w:ascii="Times New Roman" w:hAnsi="Times New Roman"/>
          <w:lang w:val="ru-RU" w:eastAsia="ru-RU"/>
        </w:rPr>
        <w:fldChar w:fldCharType="separate"/>
      </w:r>
      <w:r>
        <w:rPr>
          <w:caps/>
          <w:sz w:val="32"/>
          <w:szCs w:val="32"/>
          <w:rFonts w:cs="Times New Roman" w:ascii="Times New Roman" w:hAnsi="Times New Roman"/>
          <w:lang w:val="ru-RU" w:eastAsia="ru-RU"/>
        </w:rPr>
        <w:t>ТЗ на нагрузочное тестирование</w:t>
      </w:r>
      <w:r>
        <w:rPr>
          <w:caps/>
          <w:sz w:val="32"/>
          <w:szCs w:val="32"/>
          <w:rFonts w:cs="Times New Roman" w:ascii="Times New Roman" w:hAnsi="Times New Roman"/>
          <w:lang w:val="ru-RU" w:eastAsia="ru-RU"/>
        </w:rPr>
        <w:fldChar w:fldCharType="end"/>
      </w:r>
    </w:p>
    <w:p>
      <w:pPr>
        <w:pStyle w:val="Style17"/>
        <w:ind w:left="1351" w:right="1268"/>
        <w:rPr>
          <w:rFonts w:ascii="Times New Roman" w:hAnsi="Times New Roman" w:cs="Times New Roman"/>
          <w:caps/>
          <w:sz w:val="32"/>
          <w:szCs w:val="32"/>
          <w:lang w:val="ru-RU" w:eastAsia="ru-RU"/>
        </w:rPr>
      </w:pPr>
      <w:r>
        <w:rPr>
          <w:rFonts w:cs="Times New Roman" w:ascii="Times New Roman" w:hAnsi="Times New Roman"/>
          <w:caps/>
          <w:sz w:val="32"/>
          <w:szCs w:val="32"/>
          <w:lang w:val="ru-RU" w:eastAsia="ru-RU"/>
        </w:rPr>
      </w:r>
    </w:p>
    <w:p>
      <w:pPr>
        <w:pStyle w:val="Normal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color w:val="0000FF"/>
          <w:sz w:val="32"/>
          <w:szCs w:val="32"/>
          <w:highlight w:val="lightGray"/>
        </w:rPr>
        <w:t>&lt;Тестируемый Проект&gt;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567" w:gutter="0" w:header="720" w:top="851" w:footer="0" w:bottom="85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0" w:after="0"/>
        <w:jc w:val="center"/>
        <w:rPr>
          <w:rFonts w:ascii="Arial" w:hAnsi="Arial"/>
          <w:b/>
          <w:sz w:val="28"/>
          <w:lang w:val="en-US"/>
        </w:rPr>
      </w:pPr>
      <w:r>
        <w:rPr>
          <w:rFonts w:ascii="Arial" w:hAnsi="Arial"/>
          <w:b/>
          <w:sz w:val="28"/>
        </w:rPr>
        <w:t xml:space="preserve">Версия </w:t>
      </w:r>
      <w:r>
        <w:rPr>
          <w:rFonts w:ascii="Arial" w:hAnsi="Arial"/>
          <w:b/>
          <w:color w:val="0000FF"/>
          <w:sz w:val="28"/>
          <w:lang w:val="en-US"/>
        </w:rPr>
        <w:t>&lt;</w:t>
      </w:r>
      <w:r>
        <w:rPr>
          <w:rFonts w:ascii="Arial" w:hAnsi="Arial"/>
          <w:b/>
          <w:color w:val="0000FF"/>
          <w:sz w:val="28"/>
          <w:highlight w:val="lightGray"/>
        </w:rPr>
        <w:t>00.000.00</w:t>
      </w:r>
      <w:r>
        <w:rPr>
          <w:rFonts w:ascii="Arial" w:hAnsi="Arial"/>
          <w:b/>
          <w:color w:val="0000FF"/>
          <w:sz w:val="28"/>
          <w:lang w:val="en-US"/>
        </w:rPr>
        <w:t>&gt;</w:t>
      </w:r>
    </w:p>
    <w:p>
      <w:pPr>
        <w:pStyle w:val="Normal"/>
        <w:jc w:val="center"/>
        <w:rPr>
          <w:b/>
          <w:caps/>
          <w:sz w:val="28"/>
          <w:szCs w:val="32"/>
        </w:rPr>
      </w:pPr>
      <w:r>
        <w:rPr>
          <w:b/>
          <w:caps/>
          <w:sz w:val="28"/>
          <w:szCs w:val="32"/>
        </w:rPr>
      </w:r>
      <w:bookmarkStart w:id="0" w:name="_Toc93986947"/>
      <w:bookmarkStart w:id="1" w:name="_Toc93986947"/>
    </w:p>
    <w:p>
      <w:pPr>
        <w:pStyle w:val="Normal"/>
        <w:jc w:val="center"/>
        <w:rPr>
          <w:b/>
          <w:caps/>
          <w:sz w:val="28"/>
          <w:szCs w:val="32"/>
        </w:rPr>
      </w:pPr>
      <w:r>
        <w:rPr>
          <w:b/>
          <w:caps/>
          <w:sz w:val="28"/>
          <w:szCs w:val="32"/>
        </w:rPr>
        <w:t>Содержание</w:t>
      </w:r>
    </w:p>
    <w:p>
      <w:pPr>
        <w:pStyle w:val="Normal"/>
        <w:jc w:val="center"/>
        <w:rPr>
          <w:b/>
          <w:caps/>
          <w:sz w:val="28"/>
          <w:szCs w:val="32"/>
        </w:rPr>
      </w:pPr>
      <w:r>
        <w:rPr>
          <w:b/>
          <w:caps/>
          <w:sz w:val="28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r>
            <w:fldChar w:fldCharType="begin"/>
          </w:r>
          <w:r>
            <w:rPr>
              <w:webHidden/>
              <w:rStyle w:val="Style9"/>
              <w:sz w:val="24"/>
              <w:u w:val="single"/>
              <w:szCs w:val="24"/>
              <w:vanish w:val="false"/>
              <w:rFonts w:ascii="Times New Roman" w:hAnsi="Times New Roman"/>
              <w:color w:val="000000"/>
            </w:rPr>
            <w:instrText xml:space="preserve"> TOC \z \u \t "Heading 3,h3,3,Heading 2,2,Level 2 Heading,h2,Numbered indent 2,ni2,Hanging 2 Indent,numbered indent 2,2,Heading 1,Heading 0,Heading for Top Section,1,Заголовок 9,9,Заголовок 8,8,Заголовок 7,7,Заголовок 6,6,Заголовок 5,5,Заголовок 4,4,heading 3,1,heading 1,1,heading 1,1" \h</w:instrText>
          </w:r>
          <w:r>
            <w:rPr>
              <w:webHidden/>
              <w:rStyle w:val="Style9"/>
              <w:sz w:val="24"/>
              <w:u w:val="single"/>
              <w:szCs w:val="24"/>
              <w:vanish w:val="false"/>
              <w:rFonts w:ascii="Times New Roman" w:hAnsi="Times New Roman"/>
              <w:color w:val="000000"/>
            </w:rPr>
            <w:fldChar w:fldCharType="separate"/>
          </w:r>
          <w:hyperlink w:anchor="_Toc241032266">
            <w:r>
              <w:rPr>
                <w:webHidden/>
                <w:rStyle w:val="Style9"/>
                <w:rFonts w:ascii="Times New Roman" w:hAnsi="Times New Roman"/>
                <w:vanish w:val="false"/>
                <w:color w:val="000000"/>
                <w:sz w:val="24"/>
                <w:szCs w:val="24"/>
                <w:u w:val="single"/>
              </w:rPr>
              <w:t>1.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История изменений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67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2.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терминология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68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3.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Цели тестирования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69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4.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Архитектура тестируемой системы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70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5.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модель нагрузки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71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6.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Описание стратегии тестирования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72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7.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описание критериев успешности теста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960" w:leader="none"/>
              <w:tab w:val="right" w:pos="10195" w:leader="dot"/>
            </w:tabs>
            <w:rPr/>
          </w:pPr>
          <w:hyperlink w:anchor="_Toc241032273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8.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требования к тестовой среде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left" w:pos="960" w:leader="none"/>
              <w:tab w:val="right" w:pos="10195" w:leader="dot"/>
            </w:tabs>
            <w:rPr>
              <w:rFonts w:ascii="Times New Roman" w:hAnsi="Times New Roman" w:eastAsia="SimSun"/>
              <w:caps w:val="false"/>
              <w:smallCaps w:val="false"/>
              <w:sz w:val="24"/>
              <w:szCs w:val="24"/>
              <w:lang w:val="ru-RU" w:eastAsia="zh-CN"/>
            </w:rPr>
          </w:pPr>
          <w:r>
            <w:rPr>
              <w:rFonts w:eastAsia="SimSun" w:ascii="Times New Roman" w:hAnsi="Times New Roman"/>
              <w:caps w:val="false"/>
              <w:smallCaps w:val="false"/>
              <w:sz w:val="24"/>
              <w:szCs w:val="24"/>
              <w:lang w:val="ru-RU" w:eastAsia="zh-CN"/>
            </w:rPr>
            <w:t>9.</w:t>
            <w:tab/>
            <w:t>Риски</w:t>
          </w:r>
        </w:p>
        <w:p>
          <w:pPr>
            <w:pStyle w:val="Normal"/>
            <w:tabs>
              <w:tab w:val="clear" w:pos="720"/>
              <w:tab w:val="left" w:pos="960" w:leader="none"/>
              <w:tab w:val="right" w:pos="10195" w:leader="dot"/>
            </w:tabs>
            <w:rPr>
              <w:rFonts w:ascii="Times New Roman" w:hAnsi="Times New Roman" w:eastAsia="SimSun"/>
              <w:caps w:val="false"/>
              <w:smallCaps w:val="false"/>
              <w:sz w:val="24"/>
              <w:szCs w:val="24"/>
              <w:lang w:val="ru-RU" w:eastAsia="zh-CN"/>
            </w:rPr>
          </w:pPr>
          <w:r>
            <w:rPr>
              <w:rFonts w:eastAsia="SimSun" w:ascii="Times New Roman" w:hAnsi="Times New Roman"/>
              <w:caps w:val="false"/>
              <w:smallCaps w:val="false"/>
              <w:sz w:val="24"/>
              <w:szCs w:val="24"/>
              <w:lang w:val="ru-RU" w:eastAsia="zh-CN"/>
            </w:rPr>
            <w:t>10.</w:t>
            <w:tab/>
            <w:t xml:space="preserve">Зависимости </w:t>
          </w:r>
        </w:p>
        <w:p>
          <w:pPr>
            <w:pStyle w:val="TOC1"/>
            <w:tabs>
              <w:tab w:val="left" w:pos="960" w:leader="none"/>
              <w:tab w:val="right" w:pos="10195" w:leader="dot"/>
            </w:tabs>
            <w:ind w:hanging="0" w:left="0"/>
            <w:rPr/>
          </w:pPr>
          <w:r>
            <w:rPr>
              <w:rFonts w:ascii="Times New Roman" w:hAnsi="Times New Roman"/>
              <w:vanish w:val="false"/>
              <w:sz w:val="24"/>
              <w:szCs w:val="24"/>
            </w:rPr>
            <w:t xml:space="preserve">           </w:t>
          </w:r>
          <w:r>
            <w:rPr>
              <w:rFonts w:ascii="Times New Roman" w:hAnsi="Times New Roman"/>
              <w:vanish w:val="false"/>
              <w:sz w:val="24"/>
              <w:szCs w:val="24"/>
            </w:rPr>
            <w:t>11</w:t>
          </w:r>
          <w:hyperlink w:anchor="_Toc241032274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.Ресурсы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1200" w:leader="none"/>
              <w:tab w:val="right" w:pos="10195" w:leader="dot"/>
            </w:tabs>
            <w:rPr/>
          </w:pPr>
          <w:hyperlink w:anchor="_Toc241032275">
            <w:r>
              <w:rPr>
                <w:webHidden/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1</w:t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2</w:t>
            </w:r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.</w:t>
            </w:r>
            <w:r>
              <w:rPr>
                <w:rStyle w:val="Style9"/>
                <w:rFonts w:eastAsia="SimSun" w:ascii="Times New Roman" w:hAnsi="Times New Roman"/>
                <w:caps w:val="false"/>
                <w:smallCaps w:val="false"/>
                <w:sz w:val="24"/>
                <w:szCs w:val="24"/>
                <w:lang w:val="en-GB" w:eastAsia="zh-CN"/>
              </w:rPr>
              <w:tab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Доку</w:t>
            </w:r>
            <w:bookmarkStart w:id="2" w:name="_Hlt241032277"/>
            <w:bookmarkStart w:id="3" w:name="_Hlt241032276"/>
            <w:r>
              <w:rPr>
                <w:rStyle w:val="Style9"/>
                <w:rFonts w:ascii="Times New Roman" w:hAnsi="Times New Roman"/>
                <w:sz w:val="24"/>
                <w:szCs w:val="24"/>
              </w:rPr>
              <w:t>м</w:t>
            </w:r>
            <w:bookmarkEnd w:id="1"/>
            <w:bookmarkEnd w:id="3"/>
            <w:r>
              <w:rPr>
                <w:rStyle w:val="Style9"/>
                <w:rFonts w:ascii="Times New Roman" w:hAnsi="Times New Roman"/>
                <w:vanish w:val="false"/>
                <w:sz w:val="24"/>
                <w:szCs w:val="24"/>
              </w:rPr>
              <w:t>енты, подлежащие сдаче</w:t>
            </w:r>
            <w:r>
              <w:rPr>
                <w:rStyle w:val="Style9"/>
                <w:rFonts w:ascii="Times New Roman" w:hAnsi="Times New Roman"/>
                <w:vanish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_Toc241032275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ascii="Times New Roman" w:hAnsi="Times New Roman"/>
                <w:sz w:val="24"/>
                <w:szCs w:val="24"/>
              </w:rPr>
              <w:t>14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9"/>
              <w:sz w:val="24"/>
              <w:szCs w:val="24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bookmarkEnd w:id="2"/>
    </w:p>
    <w:p>
      <w:pPr>
        <w:pStyle w:val="Heading1Heading0HeadingforTopSection"/>
        <w:rPr>
          <w:rFonts w:ascii="Times New Roman" w:hAnsi="Times New Roman"/>
          <w:color w:val="000000"/>
          <w:sz w:val="24"/>
          <w:szCs w:val="24"/>
        </w:rPr>
      </w:pPr>
      <w:bookmarkStart w:id="4" w:name="_Toc94531691"/>
      <w:bookmarkStart w:id="5" w:name="_Toc94509447"/>
      <w:bookmarkStart w:id="6" w:name="_Toc57522955"/>
      <w:bookmarkStart w:id="7" w:name="_Toc241032266"/>
      <w:bookmarkStart w:id="8" w:name="_Ref179798076"/>
      <w:bookmarkStart w:id="9" w:name="_Ref179797986"/>
      <w:bookmarkStart w:id="10" w:name="_Toc94599370"/>
      <w:bookmarkEnd w:id="7"/>
      <w:bookmarkEnd w:id="8"/>
      <w:bookmarkEnd w:id="9"/>
      <w:bookmarkEnd w:id="10"/>
      <w:r>
        <w:rPr>
          <w:color w:val="000000"/>
          <w:sz w:val="24"/>
          <w:szCs w:val="24"/>
        </w:rPr>
        <w:t>История изменений</w:t>
      </w:r>
      <w:bookmarkEnd w:id="4"/>
      <w:bookmarkEnd w:id="5"/>
      <w:bookmarkEnd w:id="6"/>
    </w:p>
    <w:tbl>
      <w:tblPr>
        <w:tblW w:w="49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76"/>
        <w:gridCol w:w="2575"/>
        <w:gridCol w:w="2579"/>
        <w:gridCol w:w="3469"/>
      </w:tblGrid>
      <w:tr>
        <w:trPr/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Style35"/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Style35"/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Версия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Style35"/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Автор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Style35"/>
              <w:spacing w:before="120" w:after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Описание изменений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20/02/2026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1.0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Кочетов Ярослав Олегович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Первоначальная версия документа под проект «Интеллектуальная система контроля технологических линий».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20/02/2026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1.0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lang w:val="ru-RU"/>
              </w:rPr>
              <w:t xml:space="preserve">Турдикулов Азизбек Сайдаминович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Первоначальная версия документа под проект «Интеллектуальная система контроля технологических линий».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20/02/2026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1.0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Кубарев Егор Дмитриевич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6"/>
              <w:spacing w:before="60" w:after="6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Первоначальная версия документа под проект «Интеллектуальная система контроля технологических линий».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1Heading0HeadingforTopSection"/>
        <w:rPr>
          <w:rFonts w:ascii="Times New Roman" w:hAnsi="Times New Roman"/>
          <w:color w:val="000000"/>
          <w:sz w:val="24"/>
          <w:szCs w:val="24"/>
        </w:rPr>
      </w:pPr>
      <w:bookmarkStart w:id="11" w:name="_Toc241032267"/>
      <w:bookmarkStart w:id="12" w:name="_Toc241032266_Копия_1"/>
      <w:bookmarkStart w:id="13" w:name="_Ref179798076_Копия_1"/>
      <w:bookmarkStart w:id="14" w:name="_Ref179797986_Копия_1"/>
      <w:bookmarkStart w:id="15" w:name="_Toc94599370_Копия_1"/>
      <w:bookmarkEnd w:id="12"/>
      <w:bookmarkEnd w:id="13"/>
      <w:bookmarkEnd w:id="14"/>
      <w:bookmarkEnd w:id="15"/>
      <w:r>
        <w:rPr>
          <w:color w:val="000000"/>
          <w:sz w:val="24"/>
          <w:szCs w:val="24"/>
        </w:rPr>
        <w:t>терминология</w:t>
      </w:r>
      <w:bookmarkEnd w:id="11"/>
    </w:p>
    <w:p>
      <w:pPr>
        <w:pStyle w:val="Normal"/>
        <w:spacing w:lineRule="auto" w:line="240"/>
        <w:ind w:hanging="0" w:left="360"/>
        <w:rPr>
          <w:rFonts w:ascii="Times New Roman" w:hAnsi="Times New Roman"/>
          <w:color w:val="000000"/>
          <w:sz w:val="24"/>
          <w:szCs w:val="24"/>
        </w:rPr>
      </w:pPr>
      <w:bookmarkStart w:id="16" w:name="_Toc433104438"/>
      <w:bookmarkStart w:id="17" w:name="_Toc324915525"/>
      <w:bookmarkStart w:id="18" w:name="_Toc324851942"/>
      <w:bookmarkStart w:id="19" w:name="_Toc324843635"/>
      <w:bookmarkStart w:id="20" w:name="_Toc314978529"/>
      <w:bookmarkEnd w:id="16"/>
      <w:bookmarkEnd w:id="17"/>
      <w:bookmarkEnd w:id="18"/>
      <w:bookmarkEnd w:id="19"/>
      <w:bookmarkEnd w:id="20"/>
      <w:r>
        <w:rPr>
          <w:color w:val="000000"/>
          <w:sz w:val="24"/>
          <w:szCs w:val="24"/>
        </w:rPr>
        <w:t>Список терминов и определений используемых далее в документе и в нагрузочном тестировании в целом:</w:t>
      </w:r>
    </w:p>
    <w:p>
      <w:pPr>
        <w:pStyle w:val="Normal"/>
        <w:spacing w:lineRule="auto" w:line="240"/>
        <w:ind w:hanging="0"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themeColor="text1" w:val="000000"/>
          <w:spacing w:val="0"/>
          <w:sz w:val="24"/>
          <w:szCs w:val="24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Виртуальный пользователь (Симулятор датчика/станка)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— программный процесс (Node.js-скрипт), эмулирующий работу программируемого логического контроллера (ПЛК) или станка с ЧПУ. Его задача — циклически читать данные из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CSV-файла (источник Kaggle)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 отправлять их в систему через REST API.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Итерация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однократное выполнение целевой операции виртуальным пользователем: чтение одной строки из CSV и отправка одного пакета телеметрии.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Интенсивность выполнения операции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интервал времени между последовательными итерациями (период генерации телеметрии одним станком).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Нагрузка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совокупное количество операций, обрабатываемых системой в единицу времени (телеметрических пакетов в секунду). Измеряется в RPS (requests per second).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REST API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интерфейс на базе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Node.js (Express)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для приема входящей телеметрии от станков и датчиков.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WebSocket (</w:t>
      </w:r>
      <w:hyperlink r:id="rId5" w:tgtFrame="_blank">
        <w:r>
          <w:rPr>
            <w:rStyle w:val="Hyperlink"/>
            <w:rFonts w:eastAsia="Times New Roman" w:cs="Times New Roman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000000"/>
          </w:rPr>
          <w:t>Socket.io</w:t>
        </w:r>
      </w:hyperlink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протокол для реального времени, обеспечивающий двустороннюю связь сервера с клиентами (React Native) для отправки обновлений.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MongoDB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основная база данных NoSQL для хранения поступающей телеметрии и исторических данных.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Пропускная способность (throughput)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объём обработанных данных или выполненных операций за фиксированный период (например, количество сохранённых записей в MongoDB в секунду).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Задержка (latency)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время от отправки запроса (телеметрии) до получения подтверждения от REST API. Ключевая метрика для оценки качества обслуживания.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Процент ошибок (error rate)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доля неуспешных операций (например, HTTP 5xx, таймауты, ошибки валидации) от общего числа.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SLA (Service Level Agreement)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целевые показатели качества обслуживания, которым должна соответствовать система.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Профиль нагрузки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набор моделируемых операций, соответствующих различным типам оборудования (например, «станок с ЧПУ», «датчик температуры», «АРМ мастера»).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Нагрузочная точка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рассчитанное количество виртуальных пользователей в каждой группе, выполняющих операции с заданной интенсивностью.</w:t>
      </w:r>
    </w:p>
    <w:p>
      <w:pPr>
        <w:pStyle w:val="BodyText"/>
        <w:widowControl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eastAsia="Times New Roman" w:cs="Times New Roman"/>
          <w:color w:themeColor="text1"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Тестирование стабильности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проведение теста со средней прогнозируемой нагрузкой в течение длительного времени (24 часа) для выявления утечек памяти, накопления ошибок и деградации производительности Node.js-процессов и MongoDB.</w:t>
      </w:r>
    </w:p>
    <w:p>
      <w:pPr>
        <w:pStyle w:val="BodyText"/>
        <w:rPr>
          <w:rFonts w:cs="Times New Roman"/>
        </w:rPr>
      </w:pPr>
      <w:r>
        <w:rPr>
          <w:rFonts w:eastAsia="Times New Roman" w:cs="Times New Roman"/>
          <w:color w:val="000000"/>
          <w:sz w:val="24"/>
          <w:szCs w:val="24"/>
        </w:rPr>
        <w:br/>
      </w:r>
    </w:p>
    <w:p>
      <w:pPr>
        <w:pStyle w:val="Heading1Heading0HeadingforTopSection"/>
        <w:rPr>
          <w:rFonts w:ascii="Times New Roman" w:hAnsi="Times New Roman"/>
          <w:color w:val="000000"/>
          <w:sz w:val="24"/>
          <w:szCs w:val="24"/>
        </w:rPr>
      </w:pPr>
      <w:bookmarkStart w:id="21" w:name="_Toc94509452"/>
      <w:bookmarkStart w:id="22" w:name="_Toc433104438_Копия_1"/>
      <w:bookmarkStart w:id="23" w:name="_Toc324915525_Копия_1"/>
      <w:bookmarkStart w:id="24" w:name="_Toc324851942_Копия_1"/>
      <w:bookmarkStart w:id="25" w:name="_Toc324843635_Копия_1"/>
      <w:bookmarkStart w:id="26" w:name="_Toc314978529_Копия_1"/>
      <w:bookmarkEnd w:id="22"/>
      <w:bookmarkEnd w:id="23"/>
      <w:bookmarkEnd w:id="24"/>
      <w:bookmarkEnd w:id="25"/>
      <w:bookmarkEnd w:id="26"/>
      <w:r>
        <w:rPr>
          <w:color w:val="000000"/>
          <w:sz w:val="24"/>
          <w:szCs w:val="24"/>
        </w:rPr>
        <w:t>Цели тестирования</w:t>
      </w:r>
      <w:bookmarkEnd w:id="21"/>
    </w:p>
    <w:p>
      <w:pPr>
        <w:pStyle w:val="BodyText"/>
        <w:numPr>
          <w:ilvl w:val="0"/>
          <w:numId w:val="24"/>
        </w:numPr>
        <w:spacing w:before="0" w:after="0"/>
        <w:ind w:hanging="360" w:left="709" w:right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Оценка предельной (неразрушающей) нагрузки на платформу.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Определить максимальное количество одновременно подключаемых станков с ЧПУ (целевое значение —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до 500 единиц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 и дискретных датчиков (целевое значение —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до 10 000 точек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), при котором система сохраняет работоспособность и выполняет следующие SLA: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Время ответа REST API для записи телеметрии — не более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200 мс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для 95% запросов. *(Увеличение с 100 мс до 200 мс для Node.js+ MongoDB — более реалистично).*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Процент ошибок — не более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0,1%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от общего числа запросов.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Задержка отправки обновлений через </w:t>
      </w:r>
      <w:hyperlink r:id="rId6" w:tgtFrame="_blank">
        <w:r>
          <w:rPr>
            <w:rStyle w:val="Hyperlink"/>
            <w:rFonts w:eastAsia="Times New Roman" w:cs="Times New Roman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000000"/>
          </w:rPr>
          <w:t>Socket.io</w:t>
        </w:r>
      </w:hyperlink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не более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1 секунды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от момента сохранения в БД до отправки подключенному клиенту.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12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Оценка стабильности работы в круглосуточном режиме.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Подтвердить способность модулей сбора данных (Node.js), базы данных (MongoDB) и WebSocket-сервера функционировать без сбоев и деградации производительности в течение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24 часов непрерывной работы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при средней нагрузке (80% от пиковой, имитация рабочей смены). Критерии успеха: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Отсутствие критических ошибок (crash) в Node.js-процессах.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Рост потребления памяти (RSS) Node.js-процессами не более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10%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за весь период.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Количество активных WebSocket-соединений остается стабильным, без необъяснимых разрывов.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lineRule="atLeast" w:line="330" w:before="0" w:after="0"/>
        <w:ind w:firstLine="567" w:left="0" w:right="0"/>
        <w:rPr/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Размер </w:t>
      </w:r>
      <w:r>
        <w:rPr>
          <w:rStyle w:val="user4"/>
        </w:rPr>
        <w:t>oplog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в MongoDB (если используется) и скорость записи не приводят к падению производительности дискового ввода-вывода.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12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Оценка производительности обработки данных из CSV.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Измерить время полного цикла обработки: от чтения строки из CSV-файла симулятором до ее сохранения в MongoDB и, при необходимости, отправки в WebSocket-клиент. Целевые значения: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Время обработки одного события (от получения HTTP-запроса до подтверждения записи в MongoDB) — не более </w:t>
      </w: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500 мс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для 95% событий.</w:t>
      </w:r>
    </w:p>
    <w:p>
      <w:pPr>
        <w:pStyle w:val="BodyText"/>
        <w:widowControl/>
        <w:numPr>
          <w:ilvl w:val="1"/>
          <w:numId w:val="26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Влияние фоновых задач (агрегация, если есть) на каналы связи не должно приводить к превышению SLA по записи телеметрии.</w:t>
      </w:r>
    </w:p>
    <w:p>
      <w:pPr>
        <w:pStyle w:val="BodyText"/>
        <w:widowControl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rFonts w:ascii="Times New Roman" w:hAnsi="Times New Roman" w:eastAsia="Times New Roman" w:cs="Times New Roman"/>
          <w:color w:val="000000"/>
        </w:rPr>
      </w:pPr>
      <w:r>
        <w:rPr>
          <w:rStyle w:val="Strong"/>
          <w:rFonts w:eastAsia="Times New Roman" w:cs="Times New Roman"/>
          <w:b/>
          <w:i w:val="false"/>
          <w:caps w:val="false"/>
          <w:smallCaps w:val="false"/>
          <w:color w:val="000000"/>
          <w:spacing w:val="0"/>
          <w:sz w:val="24"/>
        </w:rPr>
        <w:t>Определение точки насыщения.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Выявить максимальную нагрузку (количество событий в секунду), при превышении которой начинается деградация ключевых сервисов: отказы в записи MongoDB, таймауты API, исчерпание пула соединений. Результат позволит спланировать горизонтальное масштабирование (добавление реплик Node.js).</w:t>
      </w:r>
    </w:p>
    <w:p>
      <w:pPr>
        <w:pStyle w:val="BodyText"/>
        <w:numPr>
          <w:ilvl w:val="0"/>
          <w:numId w:val="24"/>
        </w:numPr>
        <w:spacing w:before="0" w:after="0"/>
        <w:ind w:hanging="360" w:left="709" w:right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br/>
      </w:r>
    </w:p>
    <w:p>
      <w:pPr>
        <w:pStyle w:val="Heading1Heading0HeadingforTopSection"/>
        <w:rPr/>
      </w:pPr>
      <w:bookmarkStart w:id="27" w:name="_Toc241032268"/>
      <w:bookmarkStart w:id="28" w:name="_Toc94599372"/>
      <w:bookmarkStart w:id="29" w:name="_Toc94531696"/>
      <w:bookmarkStart w:id="30" w:name="_Toc241032269"/>
      <w:r>
        <w:rPr/>
        <w:t>Архитектура тестируемой системы</w:t>
      </w:r>
      <w:bookmarkEnd w:id="27"/>
      <w:bookmarkEnd w:id="28"/>
      <w:bookmarkEnd w:id="29"/>
      <w:bookmarkEnd w:id="30"/>
    </w:p>
    <w:p>
      <w:pPr>
        <w:pStyle w:val="Heading22Level2Headingh2Numberedindent2ni2Hanging2Indentnumberedindent2"/>
        <w:ind w:firstLine="567" w:left="0"/>
        <w:rPr>
          <w:lang w:val="en-US"/>
        </w:rPr>
      </w:pPr>
      <w:bookmarkStart w:id="31" w:name="_Toc94531697"/>
      <w:bookmarkStart w:id="32" w:name="_Toc94509453"/>
      <w:bookmarkEnd w:id="31"/>
      <w:bookmarkEnd w:id="32"/>
      <w:r>
        <w:rPr/>
        <w:t xml:space="preserve">Архитектура системы </w:t>
      </w:r>
      <w:r>
        <w:rPr>
          <w:color w:val="0000FF"/>
        </w:rPr>
        <w:t>&lt;Тестируемый Проект&gt;</w:t>
      </w:r>
      <w:r>
        <w:rPr/>
        <w:t>.</w:t>
      </w:r>
    </w:p>
    <w:p>
      <w:pPr>
        <w:pStyle w:val="BodyText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Симуляторы нагрузки (Генераторы трафика):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Внешние Node.js-скрипты, эмулирующие оборудование машиностроительных линий. Читают строки из CSV-файлов (данные Kaggle) и отправляют POST-запросы к REST API.</w:t>
      </w:r>
    </w:p>
    <w:p>
      <w:pPr>
        <w:pStyle w:val="BodyText"/>
        <w:widowControl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REST API (Node.js + Express):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Принимает телеметрию от станков и датчиков. Является точкой входа для всех данных. Взаимодействует с MongoDB для записи.</w:t>
      </w:r>
    </w:p>
    <w:p>
      <w:pPr>
        <w:pStyle w:val="BodyText"/>
        <w:widowControl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WebSocket-сервер (</w:t>
      </w:r>
      <w:hyperlink r:id="rId7" w:tgtFrame="_blank">
        <w:r>
          <w:rPr>
            <w:rStyle w:val="Hyperlink"/>
            <w:b/>
            <w:bCs/>
            <w:i w:val="false"/>
            <w:iCs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000000"/>
          </w:rPr>
          <w:t>Socket.io</w:t>
        </w:r>
      </w:hyperlink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):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Реализован на Node.js, может быть в том же или отдельном процессе. Поддерживает постоянные соединения с клиентами (React Native) для отправки обновлений о состоянии линий в реальном времени.</w:t>
      </w:r>
    </w:p>
    <w:p>
      <w:pPr>
        <w:pStyle w:val="BodyText"/>
        <w:widowControl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База данных (MongoDB):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Хранит всю телеметрию. Используются коллекции с соответствующими индексами для оптимизации записи.</w:t>
      </w:r>
    </w:p>
    <w:p>
      <w:pPr>
        <w:pStyle w:val="BodyText"/>
        <w:widowControl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Клиенты (React Native):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Мобильные приложения технологов и мастеров, подключающиеся по WebSocket для получения оперативной информации о ходе технологических процессов.</w:t>
      </w:r>
    </w:p>
    <w:p>
      <w:pPr>
        <w:pStyle w:val="Normal"/>
        <w:rPr>
          <w:i/>
          <w:i/>
          <w:iCs/>
          <w:color w:val="0000FF"/>
        </w:rPr>
      </w:pPr>
      <w:r>
        <w:rPr>
          <w:i/>
          <w:iCs/>
          <w:color w:val="0000FF"/>
        </w:rPr>
      </w:r>
      <w:bookmarkStart w:id="33" w:name="_Toc94531697_Копия_1"/>
      <w:bookmarkStart w:id="34" w:name="_Toc94509453_Копия_1"/>
      <w:bookmarkStart w:id="35" w:name="_Toc94531697_Копия_1"/>
      <w:bookmarkStart w:id="36" w:name="_Toc94509453_Копия_1"/>
      <w:bookmarkEnd w:id="35"/>
      <w:bookmarkEnd w:id="36"/>
    </w:p>
    <w:p>
      <w:pPr>
        <w:pStyle w:val="Heading22Level2Headingh2Numberedindent2ni2Hanging2Indentnumberedindent2"/>
        <w:ind w:firstLine="567" w:left="0"/>
        <w:rPr/>
      </w:pPr>
      <w:r>
        <w:rPr/>
        <w:t>Конфигурация промышленного и тестового стендов.</w:t>
      </w:r>
    </w:p>
    <w:p>
      <w:pPr>
        <w:pStyle w:val="Normal"/>
        <w:spacing w:lineRule="auto" w:line="240"/>
        <w:rPr/>
      </w:pPr>
      <w:r>
        <w:rPr/>
        <w:t>Характеристики систем приведены в таблицах.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>Таблица  4.1</w:t>
      </w:r>
    </w:p>
    <w:tbl>
      <w:tblPr>
        <w:tblW w:w="927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309"/>
        <w:gridCol w:w="3960"/>
      </w:tblGrid>
      <w:tr>
        <w:trPr>
          <w:cantSplit w:val="true"/>
        </w:trPr>
        <w:tc>
          <w:tcPr>
            <w:tcW w:w="9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Промышленное оборудование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rPr>
                <w:b/>
              </w:rPr>
            </w:pPr>
            <w:r>
              <w:rPr>
                <w:b/>
              </w:rPr>
              <w:t>Ресурсы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rPr>
                <w:b/>
              </w:rPr>
            </w:pPr>
            <w:r>
              <w:rPr>
                <w:b/>
              </w:rPr>
              <w:t>Детали</w:t>
            </w:r>
          </w:p>
        </w:tc>
      </w:tr>
      <w:tr>
        <w:trPr>
          <w:cantSplit w:val="true"/>
        </w:trPr>
        <w:tc>
          <w:tcPr>
            <w:tcW w:w="926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Сервер 1 </w:t>
            </w:r>
            <w:r>
              <w:rPr>
                <w:color w:val="0000FF"/>
              </w:rPr>
              <w:t>&lt;Тестируемый Проект&gt;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</w:rPr>
              <w:t>8</w:t>
            </w:r>
            <w:r>
              <w:rPr>
                <w:b w:val="false"/>
                <w:i/>
                <w:color w:val="000000"/>
                <w:spacing w:val="0"/>
                <w:sz w:val="27"/>
              </w:rPr>
              <w:t>vCPU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</w:rPr>
              <w:t>32</w:t>
            </w:r>
            <w:r>
              <w:rPr>
                <w:b w:val="false"/>
                <w:i/>
                <w:color w:val="000000"/>
                <w:spacing w:val="0"/>
                <w:sz w:val="27"/>
              </w:rPr>
              <w:t>GB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HDD или Дисковый массив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/>
                <w:color w:val="000000"/>
                <w:spacing w:val="0"/>
                <w:sz w:val="27"/>
              </w:rPr>
              <w:t>SSD NVMe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Операционная система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Windows 11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Дополнительно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Сетевой интерфейс 1 Гбит/с</w:t>
            </w:r>
          </w:p>
        </w:tc>
      </w:tr>
      <w:tr>
        <w:trPr>
          <w:cantSplit w:val="true"/>
        </w:trPr>
        <w:tc>
          <w:tcPr>
            <w:tcW w:w="92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b/>
                <w:color w:val="000000"/>
              </w:rPr>
              <w:t xml:space="preserve">Сервер </w:t>
            </w:r>
            <w:r>
              <w:rPr>
                <w:b/>
                <w:color w:val="000000"/>
                <w:lang w:val="en-US"/>
              </w:rPr>
              <w:t xml:space="preserve">2 </w:t>
            </w:r>
            <w:r>
              <w:rPr>
                <w:color w:val="000000"/>
              </w:rPr>
              <w:t>&lt;Тестируемый Проект&gt;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  <w:lang w:val="en-US"/>
              </w:rPr>
              <w:t>16</w:t>
            </w:r>
            <w:r>
              <w:rPr>
                <w:b w:val="false"/>
                <w:i/>
                <w:color w:val="000000"/>
                <w:spacing w:val="0"/>
                <w:sz w:val="27"/>
                <w:lang w:val="en-US"/>
              </w:rPr>
              <w:t>vCPU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  <w:lang w:val="en-US"/>
              </w:rPr>
              <w:t>64</w:t>
            </w:r>
            <w:r>
              <w:rPr>
                <w:b w:val="false"/>
                <w:i/>
                <w:color w:val="000000"/>
                <w:spacing w:val="0"/>
                <w:sz w:val="27"/>
                <w:lang w:val="en-US"/>
              </w:rPr>
              <w:t>GB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HDD</w:t>
            </w:r>
            <w:r>
              <w:rPr/>
              <w:t xml:space="preserve"> или Дисковый массив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  <w:lang w:val="en-US"/>
              </w:rPr>
              <w:t>Высокоскоростной</w:t>
            </w:r>
            <w:r>
              <w:rPr>
                <w:b w:val="false"/>
                <w:i/>
                <w:color w:val="000000"/>
                <w:spacing w:val="0"/>
                <w:sz w:val="27"/>
                <w:lang w:val="en-US"/>
              </w:rPr>
              <w:t>SSDRAID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  <w:lang w:val="en-US"/>
              </w:rPr>
              <w:t>10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/>
              <w:t>Операционная</w:t>
            </w:r>
            <w:r>
              <w:rPr>
                <w:lang w:val="en-US"/>
              </w:rPr>
              <w:t xml:space="preserve"> </w:t>
            </w:r>
            <w:r>
              <w:rPr/>
              <w:t>система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Linux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Дополнительно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Отдельный сетевой интерфейс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>Таблица 4.2</w:t>
      </w:r>
    </w:p>
    <w:tbl>
      <w:tblPr>
        <w:tblW w:w="927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309"/>
        <w:gridCol w:w="3960"/>
      </w:tblGrid>
      <w:tr>
        <w:trPr>
          <w:cantSplit w:val="true"/>
        </w:trPr>
        <w:tc>
          <w:tcPr>
            <w:tcW w:w="9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Тестовое оборудование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rPr>
                <w:b/>
              </w:rPr>
            </w:pPr>
            <w:r>
              <w:rPr>
                <w:b/>
              </w:rPr>
              <w:t>Ресурсы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1"/>
              <w:spacing w:before="120" w:after="120"/>
              <w:rPr>
                <w:b/>
              </w:rPr>
            </w:pPr>
            <w:r>
              <w:rPr>
                <w:b/>
              </w:rPr>
              <w:t>Детали</w:t>
            </w:r>
          </w:p>
        </w:tc>
      </w:tr>
      <w:tr>
        <w:trPr>
          <w:cantSplit w:val="true"/>
        </w:trPr>
        <w:tc>
          <w:tcPr>
            <w:tcW w:w="926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b/>
                <w:lang w:val="en-US"/>
              </w:rPr>
            </w:pPr>
            <w:r>
              <w:rPr>
                <w:b/>
              </w:rPr>
              <w:t xml:space="preserve">Сервер 1 </w:t>
            </w:r>
            <w:r>
              <w:rPr>
                <w:color w:val="0000FF"/>
              </w:rPr>
              <w:t>&lt;Тестируемый Проект&gt;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8 vCPU (аналогично промышленному стенду)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32 GB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HDD или Дисковый массив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Style w:val="Strong"/>
                <w:b w:val="false"/>
                <w:i/>
                <w:i/>
                <w:caps w:val="false"/>
                <w:smallCaps w:val="false"/>
                <w:spacing w:val="0"/>
                <w:sz w:val="23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SSD NVMe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Операционная система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Windows 11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Дополнительно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Сетевой интерфейс 1 Гбит/с</w:t>
            </w:r>
          </w:p>
        </w:tc>
      </w:tr>
      <w:tr>
        <w:trPr>
          <w:cantSplit w:val="true"/>
        </w:trPr>
        <w:tc>
          <w:tcPr>
            <w:tcW w:w="92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1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Сервер </w:t>
            </w:r>
            <w:r>
              <w:rPr>
                <w:b/>
                <w:lang w:val="en-US"/>
              </w:rPr>
              <w:t xml:space="preserve">2 </w:t>
            </w:r>
            <w:r>
              <w:rPr>
                <w:color w:val="0000FF"/>
              </w:rPr>
              <w:t>&lt;Тестируемый Проект&gt;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16 vCPU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64 GB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>
                <w:lang w:val="en-US"/>
              </w:rPr>
              <w:t>HDD</w:t>
            </w:r>
            <w:r>
              <w:rPr/>
              <w:t xml:space="preserve"> или Дисковый массив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SSD RAID 10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lang w:val="en-US"/>
              </w:rPr>
            </w:pPr>
            <w:r>
              <w:rPr/>
              <w:t>Операционная</w:t>
            </w:r>
            <w:r>
              <w:rPr>
                <w:lang w:val="en-US"/>
              </w:rPr>
              <w:t xml:space="preserve"> </w:t>
            </w:r>
            <w:r>
              <w:rPr/>
              <w:t>система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linux</w:t>
            </w:r>
          </w:p>
        </w:tc>
      </w:tr>
      <w:tr>
        <w:trPr>
          <w:cantSplit w:val="true"/>
        </w:trPr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Дополнительно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Отдельный сетевой интерфейс</w:t>
            </w:r>
          </w:p>
        </w:tc>
      </w:tr>
    </w:tbl>
    <w:p>
      <w:pPr>
        <w:pStyle w:val="Normal"/>
        <w:ind w:firstLine="709"/>
        <w:rPr/>
      </w:pPr>
      <w:r>
        <w:rPr/>
      </w:r>
    </w:p>
    <w:p>
      <w:pPr>
        <w:pStyle w:val="Heading22Level2Headingh2Numberedindent2ni2Hanging2Indentnumberedindent2"/>
        <w:ind w:firstLine="567" w:left="0"/>
        <w:rPr/>
      </w:pPr>
      <w:r>
        <w:rPr/>
        <w:t>Описание тестируемой системы</w:t>
      </w:r>
    </w:p>
    <w:p>
      <w:pPr>
        <w:pStyle w:val="Normal"/>
        <w:rPr>
          <w:lang w:val="en-US"/>
        </w:rPr>
      </w:pPr>
      <w:r>
        <w:rPr>
          <w:rStyle w:val="Emphasis"/>
          <w:lang w:val="en-US"/>
        </w:rPr>
        <w:t>Интеллектуальная система контроля технологических линий предназначена для сбора, хранения и визуализации данных с оборудования машиностроительных предприятий. Система обеспечивает приём телеметрии от станков с ЧПУ и дискретных датчиков через REST API, сохраняет данные в MongoDB и предоставляет оперативную информацию технологам через WebSocket-соединения (мобильные клиенты на React Native). В основе системы лежит Node.js бэкенд, обеспечивающий высокую производительность ввода/вывода. На данном этапе «интеллектуальность» реализуется через предобработку данных и подготовку к будущему внедрению алгоритмов машинного обучения на основе накопленных CSV-данных.</w:t>
      </w:r>
      <w:r>
        <w:rPr>
          <w:lang w:val="en-US"/>
        </w:rPr>
        <w:t xml:space="preserve"> </w:t>
      </w:r>
    </w:p>
    <w:p>
      <w:pPr>
        <w:pStyle w:val="Heading1Heading0HeadingforTopSection"/>
        <w:rPr/>
      </w:pPr>
      <w:bookmarkStart w:id="37" w:name="_Toc241032270"/>
      <w:r>
        <w:rPr/>
        <w:t>модель нагрузки</w:t>
      </w:r>
      <w:bookmarkEnd w:id="37"/>
    </w:p>
    <w:p>
      <w:pPr>
        <w:pStyle w:val="Heading22Level2Headingh2Numberedindent2ni2Hanging2Indentnumberedindent2"/>
        <w:rPr/>
      </w:pPr>
      <w:r>
        <w:rPr/>
        <w:t>Описание профилей нагрузки</w:t>
      </w:r>
    </w:p>
    <w:p>
      <w:pPr>
        <w:pStyle w:val="Heading3"/>
        <w:rPr>
          <w:rFonts w:ascii="Times New Roman" w:hAnsi="Times New Roman" w:eastAsia="NSimSun"/>
          <w:b/>
          <w:i/>
          <w:i/>
          <w:iCs/>
          <w:caps w:val="false"/>
          <w:smallCaps w:val="false"/>
          <w:color w:val="000000"/>
          <w:spacing w:val="0"/>
          <w:sz w:val="30"/>
          <w:szCs w:val="24"/>
        </w:rPr>
      </w:pPr>
      <w:r>
        <w:rPr>
          <w:rFonts w:eastAsia="NSimSun" w:ascii="Times New Roman" w:hAnsi="Times New Roman"/>
          <w:b/>
          <w:i w:val="false"/>
          <w:iCs/>
          <w:caps w:val="false"/>
          <w:smallCaps w:val="false"/>
          <w:color w:val="000000"/>
          <w:spacing w:val="0"/>
          <w:sz w:val="30"/>
          <w:szCs w:val="24"/>
        </w:rPr>
        <w:t>Описание профилей нагрузки</w:t>
      </w:r>
    </w:p>
    <w:p>
      <w:pPr>
        <w:pStyle w:val="BodyText"/>
        <w:widowControl/>
        <w:spacing w:lineRule="auto" w:line="240" w:before="240" w:after="240"/>
        <w:ind w:firstLine="567" w:left="0" w:right="0"/>
        <w:rPr>
          <w:i/>
          <w:i/>
          <w:iCs/>
          <w:color w:val="0000FF"/>
        </w:rPr>
      </w:pP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Модель нагрузки состоит из </w:t>
      </w: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трех профилей нагрузки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, составленного на основе предоставленной статистики машиностроительного предприятия. Описание профиля нагрузки приводится в таблице 5.1</w:t>
      </w:r>
    </w:p>
    <w:p>
      <w:pPr>
        <w:pStyle w:val="Normal"/>
        <w:spacing w:lineRule="auto" w:line="240"/>
        <w:rPr>
          <w:rFonts w:ascii="Times New Roman" w:hAnsi="Times New Roman"/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i/>
          <w:iCs/>
          <w:color w:val="0000FF"/>
        </w:rPr>
      </w:r>
    </w:p>
    <w:p>
      <w:pPr>
        <w:pStyle w:val="Normal"/>
        <w:spacing w:lineRule="auto" w:line="240"/>
        <w:ind w:hanging="0"/>
        <w:rPr>
          <w:i/>
          <w:i/>
          <w:iCs/>
          <w:color w:val="0000FF"/>
        </w:rPr>
      </w:pPr>
      <w:r>
        <w:rPr>
          <w:i/>
          <w:iCs/>
          <w:color w:val="0000FF"/>
        </w:rPr>
        <w:t>Таблица 5.1</w:t>
      </w:r>
    </w:p>
    <w:tbl>
      <w:tblPr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30"/>
        <w:gridCol w:w="4681"/>
        <w:gridCol w:w="2266"/>
        <w:gridCol w:w="1762"/>
      </w:tblGrid>
      <w:tr>
        <w:trPr/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b/>
                <w:i/>
                <w:i/>
                <w:iCs/>
                <w:color w:val="0000FF"/>
              </w:rPr>
            </w:pPr>
            <w:r>
              <w:rPr>
                <w:b/>
                <w:i/>
                <w:iCs/>
                <w:color w:val="0000FF"/>
              </w:rPr>
              <w:t>Название операции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b/>
                <w:i/>
                <w:i/>
                <w:iCs/>
                <w:color w:val="0000FF"/>
              </w:rPr>
            </w:pPr>
            <w:r>
              <w:rPr>
                <w:b/>
                <w:i/>
                <w:iCs/>
                <w:color w:val="0000FF"/>
              </w:rPr>
              <w:t>Роль пользователя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b/>
                <w:i/>
                <w:i/>
                <w:iCs/>
                <w:color w:val="0000FF"/>
              </w:rPr>
            </w:pPr>
            <w:r>
              <w:rPr>
                <w:b/>
                <w:i/>
                <w:iCs/>
                <w:color w:val="0000FF"/>
              </w:rPr>
              <w:t>Производи-тельность за время теста</w:t>
            </w:r>
            <w:r>
              <w:rPr>
                <w:rStyle w:val="FootnoteReference"/>
                <w:b/>
                <w:i/>
                <w:iCs/>
                <w:color w:val="0000FF"/>
              </w:rPr>
              <w:footnoteReference w:id="2"/>
            </w:r>
          </w:p>
        </w:tc>
      </w:tr>
      <w:tr>
        <w:trPr/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1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станка (ЧПУ)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color w:val="000000"/>
              </w:rPr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Симулятор станка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Зависит от кол-ва станков</w:t>
            </w:r>
          </w:p>
        </w:tc>
      </w:tr>
      <w:tr>
        <w:trPr/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i/>
                <w:iCs/>
                <w:color w:val="0000FF"/>
              </w:rPr>
              <w:t>2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датчика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Симулятор датчика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Зависит от кол-ва датчиков</w:t>
            </w:r>
          </w:p>
        </w:tc>
      </w:tr>
      <w:tr>
        <w:trPr/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</w:rPr>
              <w:t>3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Подключение WebSocket-клиента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Симулятор технолога(ReactNative)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До 50 одновременных сессий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color w:val="000000"/>
        </w:rPr>
      </w:pPr>
      <w:r>
        <w:rPr>
          <w:i/>
          <w:iCs/>
          <w:color w:val="000000"/>
        </w:rPr>
        <w:t xml:space="preserve"> </w:t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rStyle w:val="Emphasis"/>
          <w:b w:val="false"/>
          <w:color w:val="000000"/>
          <w:spacing w:val="0"/>
          <w:sz w:val="24"/>
        </w:rPr>
        <w:t>Каждая из операций будет моделироваться отдельным нагрузочным скриптом, который выполняется отдельной группой виртуальных пользователей. Все группы пользователей будут работать независимо друг от друга, операции будут выполняться в течение теста одновременно. Интенсивность выполнения операций в течение теста не меняется (равномерная нагрузка).</w:t>
      </w:r>
      <w:r>
        <w:rPr>
          <w:i/>
          <w:iCs/>
          <w:color w:val="000000"/>
        </w:rPr>
        <w:t xml:space="preserve"> </w:t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i/>
          <w:iCs/>
          <w:color w:val="0000FF"/>
        </w:rPr>
      </w:r>
      <w:r>
        <w:br w:type="page"/>
      </w:r>
    </w:p>
    <w:p>
      <w:pPr>
        <w:pStyle w:val="Heading22Level2Headingh2Numberedindent2ni2Hanging2Indentnumberedindent2"/>
        <w:spacing w:before="0" w:after="120"/>
        <w:rPr/>
      </w:pPr>
      <w:r>
        <w:rPr/>
        <w:t>Расчет базовой нагрузочной точки</w:t>
      </w:r>
    </w:p>
    <w:p>
      <w:pPr>
        <w:pStyle w:val="Normal"/>
        <w:spacing w:lineRule="auto" w:line="240"/>
        <w:ind w:hanging="0"/>
        <w:rPr>
          <w:i/>
          <w:i/>
          <w:iCs/>
          <w:color w:val="0000FF"/>
        </w:rPr>
      </w:pPr>
      <w:r>
        <w:rPr>
          <w:i/>
          <w:iCs/>
          <w:color w:val="0000FF"/>
        </w:rPr>
        <w:t>Таблица 5.</w:t>
      </w:r>
      <w:r>
        <w:rPr>
          <w:i/>
          <w:iCs/>
          <w:color w:val="0000FF"/>
        </w:rPr>
        <w:t>2</w:t>
      </w:r>
    </w:p>
    <w:tbl>
      <w:tblPr>
        <w:tblW w:w="936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43"/>
        <w:gridCol w:w="4273"/>
        <w:gridCol w:w="1023"/>
        <w:gridCol w:w="1023"/>
        <w:gridCol w:w="1907"/>
      </w:tblGrid>
      <w:tr>
        <w:trPr/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  <w:i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N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  <w:i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Название операции</w:t>
            </w:r>
          </w:p>
        </w:tc>
        <w:tc>
          <w:tcPr>
            <w:tcW w:w="2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  <w:i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Интенсивность</w:t>
            </w:r>
            <w:r>
              <w:rPr>
                <w:rStyle w:val="FootnoteReference"/>
                <w:b/>
                <w:bCs/>
                <w:i/>
                <w:iCs/>
                <w:color w:val="0000FF"/>
              </w:rPr>
              <w:footnoteReference w:id="3"/>
            </w:r>
            <w:r>
              <w:rPr>
                <w:b/>
                <w:bCs/>
                <w:i/>
                <w:iCs/>
                <w:color w:val="0000FF"/>
              </w:rPr>
              <w:t xml:space="preserve"> выполнения операций каждым вирт. пользова-телем в сек. и мин.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  <w:i/>
                <w:i/>
                <w:iCs/>
                <w:color w:val="0000FF"/>
              </w:rPr>
            </w:pPr>
            <w:r>
              <w:rPr>
                <w:b/>
                <w:bCs/>
                <w:i/>
                <w:iCs/>
                <w:color w:val="0000FF"/>
              </w:rPr>
              <w:t>Количество виртуальных пользователей в группе</w:t>
            </w:r>
          </w:p>
        </w:tc>
      </w:tr>
      <w:tr>
        <w:trPr/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1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станка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раз в 10 сек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/>
              <w:t>6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250</w:t>
            </w:r>
            <w:r>
              <w:rPr>
                <w:i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n-US"/>
              </w:rPr>
              <w:t> </w:t>
            </w:r>
            <w:r>
              <w:rPr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(половина от максимума)</w:t>
            </w:r>
          </w:p>
        </w:tc>
      </w:tr>
      <w:tr>
        <w:trPr/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2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датчика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/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1 раз в 60 сек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i/>
                <w:iCs/>
                <w:color w:val="0000FF"/>
                <w:sz w:val="22"/>
                <w:szCs w:val="22"/>
                <w:lang w:val="en-US"/>
              </w:rPr>
              <w:t>1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5000</w:t>
            </w:r>
            <w:r>
              <w:rPr>
                <w:i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n-US"/>
              </w:rPr>
              <w:t> </w:t>
            </w:r>
            <w:r>
              <w:rPr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(половина от максимума)</w:t>
            </w:r>
          </w:p>
        </w:tc>
      </w:tr>
      <w:tr>
        <w:trPr>
          <w:trHeight w:val="897" w:hRule="atLeast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i/>
                <w:i/>
                <w:iCs/>
                <w:color w:val="0000FF"/>
              </w:rPr>
            </w:pPr>
            <w:r>
              <w:rPr>
                <w:i/>
                <w:iCs/>
                <w:color w:val="0000FF"/>
                <w:lang w:val="en-US"/>
              </w:rPr>
              <w:t>3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i/>
                <w:i/>
                <w:iCs/>
                <w:color w:val="0000FF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</w:rPr>
              <w:t>Подключение WebSocket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Calibri" w:hAnsi="Calibri"/>
                <w:i/>
                <w:i/>
                <w:iCs/>
                <w:color w:val="0000FF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iCs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сессия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 w:left="0"/>
              <w:jc w:val="left"/>
              <w:rPr>
                <w:i w:val="false"/>
                <w:i w:val="false"/>
                <w:iCs w:val="false"/>
                <w:lang w:val="ru-RU"/>
              </w:rPr>
            </w:pPr>
            <w:r>
              <w:rPr>
                <w:i w:val="false"/>
                <w:iCs w:val="false"/>
                <w:lang w:val="ru-RU"/>
              </w:rPr>
              <w:t>постоянно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i w:val="false"/>
                <w:i w:val="false"/>
                <w:iCs w:val="false"/>
                <w:lang w:val="ru-RU"/>
              </w:rPr>
            </w:pPr>
            <w:r>
              <w:rPr>
                <w:i w:val="false"/>
                <w:iCs w:val="false"/>
                <w:lang w:val="ru-RU"/>
              </w:rPr>
              <w:t>25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/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rStyle w:val="Emphasis"/>
          <w:b w:val="false"/>
          <w:color w:val="000000"/>
          <w:spacing w:val="0"/>
          <w:sz w:val="24"/>
        </w:rPr>
        <w:t>Исходя из таблицы 5.2, производится расчет базовой нагрузочной точки. Для нагрузочной точки задано количество виртуальных пользователей в группе и интенсивность.</w:t>
      </w:r>
      <w:r>
        <w:rPr>
          <w:i/>
          <w:iCs/>
          <w:color w:val="000000"/>
        </w:rPr>
        <w:br/>
      </w:r>
    </w:p>
    <w:p>
      <w:pPr>
        <w:pStyle w:val="Heading1Heading0HeadingforTopSection"/>
        <w:rPr/>
      </w:pPr>
      <w:bookmarkStart w:id="38" w:name="_Toc241032271"/>
      <w:bookmarkStart w:id="39" w:name="_Toc151970897"/>
      <w:bookmarkStart w:id="40" w:name="_Toc151949860"/>
      <w:bookmarkStart w:id="41" w:name="_Toc151899093"/>
      <w:bookmarkStart w:id="42" w:name="_Toc151892001"/>
      <w:bookmarkStart w:id="43" w:name="_Toc151891752"/>
      <w:bookmarkEnd w:id="39"/>
      <w:bookmarkEnd w:id="40"/>
      <w:bookmarkEnd w:id="41"/>
      <w:bookmarkEnd w:id="42"/>
      <w:bookmarkEnd w:id="43"/>
      <w:r>
        <w:rPr/>
        <w:t>Описание стратегии тестирования</w:t>
      </w:r>
      <w:bookmarkEnd w:id="38"/>
    </w:p>
    <w:p>
      <w:pPr>
        <w:pStyle w:val="Normal"/>
        <w:spacing w:lineRule="auto" w:line="240"/>
        <w:ind w:hanging="0"/>
        <w:rPr>
          <w:i/>
          <w:i/>
          <w:iCs/>
          <w:color w:val="0000FF"/>
        </w:rPr>
      </w:pPr>
      <w:r>
        <w:rPr>
          <w:rStyle w:val="Emphasis"/>
          <w:b w:val="false"/>
          <w:color w:val="000000"/>
          <w:spacing w:val="0"/>
          <w:sz w:val="24"/>
        </w:rPr>
        <w:t>Будет применена стратегия последовательного увеличения нагрузки для поиска точки насыщения, а также тест стабильности на базовой нагрузочной точке. Дополнительные нагрузочные точки рассчитываются на основе базовой (п.5.2).</w:t>
      </w:r>
      <w:r>
        <w:rPr>
          <w:i/>
          <w:iCs/>
          <w:color w:val="000000"/>
        </w:rPr>
        <w:t xml:space="preserve"> 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 xml:space="preserve">Таблица 6.1 </w:t>
        <w:tab/>
      </w:r>
      <w:r>
        <w:rPr>
          <w:b/>
          <w:lang w:val="en-US"/>
        </w:rPr>
        <w:t xml:space="preserve"> </w:t>
      </w:r>
      <w:r>
        <w:rPr>
          <w:b/>
        </w:rPr>
        <w:t>Нагрузочная точка 1</w:t>
      </w:r>
    </w:p>
    <w:tbl>
      <w:tblPr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44"/>
        <w:gridCol w:w="4281"/>
        <w:gridCol w:w="976"/>
        <w:gridCol w:w="975"/>
        <w:gridCol w:w="1910"/>
      </w:tblGrid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Интенсивность выполнения операций каждым вирт. пользова-телем в сек. и мин.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виртуальных пользователей в группе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станка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раз в 5 сек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12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500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датчика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раз в 30 сек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2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10000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Подключение WebSocket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сессия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постоянно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50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/>
        <w:ind w:hanging="0"/>
        <w:rPr>
          <w:b/>
        </w:rPr>
      </w:pPr>
      <w:r>
        <w:rPr/>
        <w:t xml:space="preserve">Таблица 6.2  </w:t>
      </w:r>
      <w:r>
        <w:rPr>
          <w:b/>
        </w:rPr>
        <w:t xml:space="preserve"> Нагрузочная точка 2</w:t>
      </w:r>
    </w:p>
    <w:tbl>
      <w:tblPr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44"/>
        <w:gridCol w:w="4281"/>
        <w:gridCol w:w="976"/>
        <w:gridCol w:w="975"/>
        <w:gridCol w:w="1910"/>
      </w:tblGrid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Название операции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Интенсивность выполнения операций каждым вирт. пользователем в сек. и мин.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виртуальных пользователей в группе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станка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раз в 2 сек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30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750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Отправка телеметрии датчика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 раз в 15 сек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4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15000</w:t>
            </w:r>
          </w:p>
        </w:tc>
      </w:tr>
      <w:tr>
        <w:trPr/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Подключение WebSocket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br/>
              <w:t>1 сессия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ind w:hanging="0"/>
              <w:rPr>
                <w:rFonts w:ascii="Times New Roman" w:hAnsi="Times New Roman"/>
                <w:color w:val="000000"/>
                <w:sz w:val="22"/>
                <w:szCs w:val="22"/>
                <w:lang w:val="en-US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постоянно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  <w:lang w:val="en-US"/>
              </w:rPr>
              <w:t>75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Heading1Heading0HeadingforTopSection"/>
        <w:rPr/>
      </w:pPr>
      <w:bookmarkStart w:id="44" w:name="_Toc241032272"/>
      <w:r>
        <w:rPr/>
        <w:t>описание критериев успешности теста</w:t>
      </w:r>
      <w:bookmarkEnd w:id="44"/>
    </w:p>
    <w:p>
      <w:pPr>
        <w:pStyle w:val="Normal"/>
        <w:rPr>
          <w:i/>
          <w:i/>
          <w:iCs/>
          <w:color w:val="0000FF"/>
        </w:rPr>
      </w:pPr>
      <w:r>
        <w:rPr>
          <w:i w:val="false"/>
          <w:iCs w:val="false"/>
          <w:color w:val="000000"/>
        </w:rPr>
        <w:t>Таблица</w:t>
      </w:r>
      <w:r>
        <w:rPr/>
        <w:t xml:space="preserve"> 7.1</w:t>
      </w:r>
    </w:p>
    <w:tbl>
      <w:tblPr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"/>
        <w:gridCol w:w="3823"/>
        <w:gridCol w:w="1644"/>
        <w:gridCol w:w="1704"/>
        <w:gridCol w:w="1665"/>
      </w:tblGrid>
      <w:tr>
        <w:trPr/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Autospacing="1" w:after="0"/>
              <w:ind w:hanging="0"/>
              <w:rPr/>
            </w:pPr>
            <w:r>
              <w:rPr/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Autospacing="1" w:after="0"/>
              <w:ind w:hanging="0"/>
              <w:rPr>
                <w:b/>
              </w:rPr>
            </w:pPr>
            <w:r>
              <w:rPr>
                <w:b/>
              </w:rPr>
              <w:t>Название операции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Autospacing="1" w:after="0"/>
              <w:ind w:hanging="0"/>
              <w:rPr>
                <w:b/>
              </w:rPr>
            </w:pPr>
            <w:r>
              <w:rPr>
                <w:b/>
              </w:rPr>
              <w:t>Критерий 1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Autospacing="1" w:after="0"/>
              <w:ind w:hanging="0"/>
              <w:rPr>
                <w:b/>
              </w:rPr>
            </w:pPr>
            <w:r>
              <w:rPr>
                <w:b/>
              </w:rPr>
              <w:t>Критерий 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Autospacing="1" w:after="0"/>
              <w:ind w:hanging="0"/>
              <w:rPr>
                <w:b/>
                <w:lang w:val="en-US"/>
              </w:rPr>
            </w:pPr>
            <w:r>
              <w:rPr>
                <w:b/>
              </w:rPr>
              <w:t xml:space="preserve">Критерий </w:t>
            </w:r>
            <w:r>
              <w:rPr>
                <w:b/>
                <w:lang w:val="en-US"/>
              </w:rPr>
              <w:t>N</w:t>
            </w:r>
          </w:p>
        </w:tc>
      </w:tr>
      <w:tr>
        <w:trPr/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1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REST API (Send Telemetry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95% запросов &lt; 200 мс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&lt; 0.1% ошибок (HTTP 5xx)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Таймаутов соединения &lt; 0.05%</w:t>
            </w:r>
          </w:p>
        </w:tc>
      </w:tr>
      <w:tr>
        <w:trPr/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2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WebSocket (Broadcast)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95% сообщений &lt; 1 сек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&lt; 1% разрывов соединения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Подключение всех клиентов</w:t>
            </w:r>
          </w:p>
        </w:tc>
      </w:tr>
      <w:tr>
        <w:trPr/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3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MongoDB (Write)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95% операций вставки &lt; 100 мс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&lt; 0.1% ошибок записи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2"/>
              </w:rPr>
              <w:t>Рост CPU &lt; 80%</w:t>
            </w:r>
          </w:p>
        </w:tc>
      </w:tr>
    </w:tbl>
    <w:p>
      <w:pPr>
        <w:pStyle w:val="Normal"/>
        <w:ind w:firstLine="567" w:left="720"/>
        <w:rPr/>
      </w:pPr>
      <w:r>
        <w:rPr/>
      </w:r>
    </w:p>
    <w:p>
      <w:pPr>
        <w:pStyle w:val="Heading22Level2Headingh2Numberedindent2ni2Hanging2Indentnumberedindent2"/>
        <w:rPr/>
      </w:pPr>
      <w:r>
        <w:rPr/>
        <w:t>Мониторинг аппаратных серверов</w:t>
      </w:r>
    </w:p>
    <w:p>
      <w:pPr>
        <w:pStyle w:val="BodyText"/>
        <w:rPr/>
      </w:pPr>
      <w:r>
        <w:rPr>
          <w:rStyle w:val="Emphasis"/>
        </w:rPr>
        <w:t>Мониторинг осуществляется с помощью стандартных средств (Prometheus + Grafana, Node Exporter, MongoDB Exporter). Контролируются следующие метрики: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CPU:</w:t>
      </w:r>
      <w:r>
        <w:rPr/>
        <w:t> Загрузка процессора (user, system, iowait) на всех серверах.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RAM:</w:t>
      </w:r>
      <w:r>
        <w:rPr/>
        <w:t> Использование оперативной памяти, объем swap.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Диск:</w:t>
      </w:r>
      <w:r>
        <w:rPr/>
        <w:t> Загрузка дискового ввода-вывода (iops, latency), свободное место.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Сеть:</w:t>
      </w:r>
      <w:r>
        <w:rPr/>
        <w:t> Входящий/исходящий трафик, количество пакетов, ошибки сетевых интерфейсов.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Node.js:</w:t>
      </w:r>
      <w:r>
        <w:rPr/>
        <w:t> Event Loop Lag, размер кучи (heap), количество активных сокетов.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MongoDB:</w:t>
      </w:r>
      <w:r>
        <w:rPr/>
        <w:t> Количество операций вставки/чтения в секунду, время блокировок, размер </w:t>
      </w:r>
      <w:r>
        <w:rPr>
          <w:rStyle w:val="user4"/>
        </w:rPr>
        <w:t>oplog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2Level2Headingh2Numberedindent2ni2Hanging2Indentnumberedindent2"/>
        <w:rPr/>
      </w:pPr>
      <w:r>
        <w:rPr/>
        <w:t>Классификация ошибок и результатов</w:t>
      </w:r>
    </w:p>
    <w:p>
      <w:pPr>
        <w:pStyle w:val="BodyText"/>
        <w:spacing w:lineRule="auto" w:line="24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Критическая ошибка: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Падение (crash) любого компонента системы (Node.js процесс, MongoDB), превышение времени ответа API более чем в 10 раз от SLA на протяжении 5 минут, потеря данных.</w:t>
      </w:r>
    </w:p>
    <w:p>
      <w:pPr>
        <w:pStyle w:val="BodyText"/>
        <w:widowControl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240"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Некритическая ошибка: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Единичные таймауты, ошибки 5xx, не приводящие к полной остановке сервиса. Допустимы в рамках стресс-теста, но должны быть зафиксированы.</w:t>
      </w:r>
    </w:p>
    <w:p>
      <w:pPr>
        <w:pStyle w:val="BodyText"/>
        <w:widowControl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240"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Результат не принимается к рассмотрению, если: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Тестовый стенд не соответствовал конфигурации, указанной в разделе 4; во время теста проводились регламентные работы или обновления ПО; нагрузка была нестабильна из-за сбоев в работе генераторов нагрузки.</w:t>
      </w:r>
    </w:p>
    <w:p>
      <w:pPr>
        <w:pStyle w:val="Normal"/>
        <w:spacing w:lineRule="auto" w:line="240"/>
        <w:rPr>
          <w:rFonts w:ascii="Times New Roman" w:hAnsi="Times New Roman"/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Normal"/>
        <w:spacing w:lineRule="auto" w:line="240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Heading1Heading0HeadingforTopSection"/>
        <w:rPr/>
      </w:pPr>
      <w:r>
        <w:rPr/>
        <w:t>требования к тестовой среде</w:t>
      </w:r>
    </w:p>
    <w:p>
      <w:pPr>
        <w:pStyle w:val="BodyText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Оборудование: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Должно соответствовать конфигурации, описанной в Таблице 4.2.</w:t>
      </w:r>
    </w:p>
    <w:p>
      <w:pPr>
        <w:pStyle w:val="BodyText"/>
        <w:widowControl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Операционная система: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Ubuntu 22.04 LTS (или аналогичная).</w:t>
      </w:r>
    </w:p>
    <w:p>
      <w:pPr>
        <w:pStyle w:val="BodyText"/>
        <w:widowControl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База данных: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MongoDB версии 6.0 или выше, настроенная на максимальную производительность записи.</w:t>
      </w:r>
    </w:p>
    <w:p>
      <w:pPr>
        <w:pStyle w:val="BodyText"/>
        <w:widowControl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Сервера приложений: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Node.js версии 18.x или 20.x.</w:t>
      </w:r>
    </w:p>
    <w:p>
      <w:pPr>
        <w:pStyle w:val="BodyText"/>
        <w:widowControl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Сетевое окружение: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Гигабитная сеть между всеми компонентами тестового стенда и генераторами нагрузки.</w:t>
      </w:r>
    </w:p>
    <w:p>
      <w:pPr>
        <w:pStyle w:val="BodyText"/>
        <w:widowControl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firstLine="567" w:left="0" w:right="0"/>
        <w:rPr>
          <w:i/>
          <w:i/>
          <w:iCs/>
          <w:color w:val="0000FF"/>
        </w:rPr>
      </w:pPr>
      <w:r>
        <w:rPr>
          <w:rStyle w:val="Strong"/>
          <w:b/>
          <w:i w:val="false"/>
          <w:iCs/>
          <w:caps w:val="false"/>
          <w:smallCaps w:val="false"/>
          <w:color w:val="000000"/>
          <w:spacing w:val="0"/>
          <w:sz w:val="24"/>
        </w:rPr>
        <w:t>Данные:</w:t>
      </w:r>
      <w:r>
        <w:rPr>
          <w:b w:val="false"/>
          <w:i w:val="false"/>
          <w:iCs/>
          <w:caps w:val="false"/>
          <w:smallCaps w:val="false"/>
          <w:color w:val="000000"/>
          <w:spacing w:val="0"/>
          <w:sz w:val="24"/>
        </w:rPr>
        <w:t> Набор CSV-файлов (из Kaggle, соответствующих тематике машиностроения) достаточного объема, чтобы обеспечить уникальность данных на протяжении всего теста стабильности.</w:t>
      </w:r>
    </w:p>
    <w:p>
      <w:pPr>
        <w:pStyle w:val="Heading2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/>
          <w:b/>
          <w:bCs/>
          <w:sz w:val="30"/>
          <w:szCs w:val="30"/>
          <w:lang w:val="en-US"/>
        </w:rPr>
        <w:t>9</w:t>
      </w:r>
      <w:r>
        <w:rPr>
          <w:rFonts w:ascii="Times New Roman" w:hAnsi="Times New Roman"/>
          <w:sz w:val="30"/>
          <w:szCs w:val="30"/>
          <w:lang w:val="en-US"/>
        </w:rPr>
        <w:t xml:space="preserve">. </w:t>
      </w:r>
      <w:r>
        <w:rPr>
          <w:rFonts w:ascii="Times New Roman" w:hAnsi="Times New Roman"/>
          <w:sz w:val="30"/>
          <w:szCs w:val="30"/>
        </w:rPr>
        <w:t>Риски</w:t>
      </w:r>
    </w:p>
    <w:p>
      <w:pPr>
        <w:pStyle w:val="BodyText"/>
        <w:rPr/>
      </w:pPr>
      <w:r>
        <w:rPr/>
        <w:t>В процессе проведения нагрузочного тестирования идентифицированы следующие риски, которые могут повлиять на достоверность результатов или ход работ.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Несоответствие тестового стенда промышленной конфигурации</w:t>
      </w:r>
      <w:r>
        <w:rPr/>
        <w:br/>
      </w:r>
      <w:r>
        <w:rPr>
          <w:rStyle w:val="Emphasis"/>
        </w:rPr>
        <w:t>Вероятность:</w:t>
      </w:r>
      <w:r>
        <w:rPr/>
        <w:t> средняя; </w:t>
      </w:r>
      <w:r>
        <w:rPr>
          <w:rStyle w:val="Emphasis"/>
        </w:rPr>
        <w:t>Влияние:</w:t>
      </w:r>
      <w:r>
        <w:rPr/>
        <w:t> высокое.</w:t>
        <w:br/>
        <w:t>Тестовый стенд должен полностью повторять аппаратные и программные характеристики промышленного (целевого) окружения. Любое отклонение (например, использование HDD вместо SSD, меньший объём RAM, другая версия ОС) может сделать результаты тестирования некорректными.</w:t>
        <w:br/>
      </w:r>
      <w:r>
        <w:rPr>
          <w:rStyle w:val="Emphasis"/>
        </w:rPr>
        <w:t>Меры предотвращения/смягчения:</w:t>
      </w:r>
      <w:r>
        <w:rPr/>
        <w:t> строгое соблюдение спецификаций из раздела 4; проведение предварительного аудита стенда перед началом тестов.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Недостаточный объём CSV-данных для длительного теста стабильности</w:t>
      </w:r>
      <w:r>
        <w:rPr/>
        <w:br/>
      </w:r>
      <w:r>
        <w:rPr>
          <w:rStyle w:val="Emphasis"/>
        </w:rPr>
        <w:t>Вероятность:</w:t>
      </w:r>
      <w:r>
        <w:rPr/>
        <w:t> низкая; </w:t>
      </w:r>
      <w:r>
        <w:rPr>
          <w:rStyle w:val="Emphasis"/>
        </w:rPr>
        <w:t>Влияние:</w:t>
      </w:r>
      <w:r>
        <w:rPr/>
        <w:t> среднее.</w:t>
        <w:br/>
        <w:t>При 24</w:t>
        <w:noBreakHyphen/>
        <w:t>часовом тесте исходный набор данных из Kaggle может быть исчерпан (начнут повторяться одни и те же строки), что приведёт к искажению уникальности телеметрии.</w:t>
        <w:br/>
      </w:r>
      <w:r>
        <w:rPr>
          <w:rStyle w:val="Emphasis"/>
        </w:rPr>
        <w:t>Меры предотвращения/смягчения:</w:t>
      </w:r>
      <w:r>
        <w:rPr/>
        <w:t> подготовка синтетических данных на основе исходных; циклическое повторение набора с изменением ключевых полей (timestamp, id) для сохранения реалистичности.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Деградация производительности MongoDB при пиковых нагрузках</w:t>
      </w:r>
      <w:r>
        <w:rPr/>
        <w:br/>
      </w:r>
      <w:r>
        <w:rPr>
          <w:rStyle w:val="Emphasis"/>
        </w:rPr>
        <w:t>Вероятность:</w:t>
      </w:r>
      <w:r>
        <w:rPr/>
        <w:t> средняя; </w:t>
      </w:r>
      <w:r>
        <w:rPr>
          <w:rStyle w:val="Emphasis"/>
        </w:rPr>
        <w:t>Влияние:</w:t>
      </w:r>
      <w:r>
        <w:rPr/>
        <w:t> высокое.</w:t>
        <w:br/>
        <w:t>При превышении определённого порога RPS может возникнуть чрезмерная нагрузка на дисковую подсистему или блокировки коллекций, что приведёт к росту задержек записи и ошибкам.</w:t>
        <w:br/>
      </w:r>
      <w:r>
        <w:rPr>
          <w:rStyle w:val="Emphasis"/>
        </w:rPr>
        <w:t>Меры предотвращения/смягчения:</w:t>
      </w:r>
      <w:r>
        <w:rPr/>
        <w:t> предварительная настройка индексов, анализ плана запросов; при необходимости — использование шардинга; постоянный мониторинг </w:t>
      </w:r>
      <w:r>
        <w:rPr>
          <w:rStyle w:val="user4"/>
        </w:rPr>
        <w:t>oplog</w:t>
      </w:r>
      <w:r>
        <w:rPr/>
        <w:t> и времени дисковых операций.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Утечки памяти в Node.js процессах</w:t>
      </w:r>
      <w:r>
        <w:rPr/>
        <w:br/>
      </w:r>
      <w:r>
        <w:rPr>
          <w:rStyle w:val="Emphasis"/>
        </w:rPr>
        <w:t>Вероятность:</w:t>
      </w:r>
      <w:r>
        <w:rPr/>
        <w:t> средняя; </w:t>
      </w:r>
      <w:r>
        <w:rPr>
          <w:rStyle w:val="Emphasis"/>
        </w:rPr>
        <w:t>Влияние:</w:t>
      </w:r>
      <w:r>
        <w:rPr/>
        <w:t> высокое.</w:t>
        <w:br/>
        <w:t>Длительная работа под нагрузкой может выявить постепенный рост потребления памяти (RSS), что со временем приведёт к падению процесса из-за нехватки ресурсов.</w:t>
        <w:br/>
      </w:r>
      <w:r>
        <w:rPr>
          <w:rStyle w:val="Emphasis"/>
        </w:rPr>
        <w:t>Меры предотвращения/смягчения:</w:t>
      </w:r>
      <w:r>
        <w:rPr/>
        <w:t> мониторинг heap</w:t>
        <w:noBreakHyphen/>
        <w:t>памяти и event loop lag; проведение тестов стабильности длительностью не менее 24 часов; запуск Node.js с ограничением памяти (</w:t>
      </w:r>
      <w:r>
        <w:rPr>
          <w:rStyle w:val="user4"/>
        </w:rPr>
        <w:t>--max-old-space-size</w:t>
      </w:r>
      <w:r>
        <w:rPr/>
        <w:t>).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Сбои в работе генераторов нагрузки (скриптов симуляции)</w:t>
      </w:r>
      <w:r>
        <w:rPr/>
        <w:br/>
      </w:r>
      <w:r>
        <w:rPr>
          <w:rStyle w:val="Emphasis"/>
        </w:rPr>
        <w:t>Вероятность:</w:t>
      </w:r>
      <w:r>
        <w:rPr/>
        <w:t> низкая; </w:t>
      </w:r>
      <w:r>
        <w:rPr>
          <w:rStyle w:val="Emphasis"/>
        </w:rPr>
        <w:t>Влияние:</w:t>
      </w:r>
      <w:r>
        <w:rPr/>
        <w:t> среднее.</w:t>
        <w:br/>
        <w:t>Ошибки в самих нагрузочных скриптах (например, некорректное чтение CSV, исчерпание файловых дескрипторов) могут привести к остановке генерации трафика и необходимости перезапуска теста.</w:t>
        <w:br/>
      </w:r>
      <w:r>
        <w:rPr>
          <w:rStyle w:val="Emphasis"/>
        </w:rPr>
        <w:t>Меры предотвращения/смягчения:</w:t>
      </w:r>
      <w:r>
        <w:rPr/>
        <w:t> резервирование генераторов (запуск на нескольких машинах); логирование состояния самих скриптов; тщательное тестирование скриптов до начала основных экспериментов.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Влияние внешних сетевых задержек</w:t>
      </w:r>
      <w:r>
        <w:rPr/>
        <w:br/>
      </w:r>
      <w:r>
        <w:rPr>
          <w:rStyle w:val="Emphasis"/>
        </w:rPr>
        <w:t>Вероятность:</w:t>
      </w:r>
      <w:r>
        <w:rPr/>
        <w:t> низкая; </w:t>
      </w:r>
      <w:r>
        <w:rPr>
          <w:rStyle w:val="Emphasis"/>
        </w:rPr>
        <w:t>Влияние:</w:t>
      </w:r>
      <w:r>
        <w:rPr/>
        <w:t> низкое.</w:t>
        <w:br/>
        <w:t>При размещении компонентов системы в одной сети риск минимален, но в случае использования облачных ресурсов или недостаточной изоляции могут возникнуть непредсказуемые задержки.</w:t>
        <w:br/>
      </w:r>
      <w:r>
        <w:rPr>
          <w:rStyle w:val="Emphasis"/>
        </w:rPr>
        <w:t>Меры предотвращения/смягчения:</w:t>
      </w:r>
      <w:r>
        <w:rPr/>
        <w:t> размещение всех серверов (тестируемая система + генераторы) в одном сегменте сети; изоляция тестового стенда от другого трафика.</w:t>
      </w:r>
    </w:p>
    <w:p>
      <w:pPr>
        <w:pStyle w:val="Heading2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lang w:val="en-US"/>
        </w:rPr>
        <w:t>10</w:t>
      </w:r>
      <w:r>
        <w:rPr>
          <w:rFonts w:ascii="Times New Roman" w:hAnsi="Times New Roman"/>
          <w:sz w:val="30"/>
          <w:szCs w:val="30"/>
          <w:lang w:val="en-US"/>
        </w:rPr>
        <w:t xml:space="preserve">. </w:t>
      </w:r>
      <w:r>
        <w:rPr>
          <w:rFonts w:ascii="Times New Roman" w:hAnsi="Times New Roman"/>
          <w:sz w:val="30"/>
          <w:szCs w:val="30"/>
        </w:rPr>
        <w:t>Зависимости</w:t>
      </w:r>
    </w:p>
    <w:p>
      <w:pPr>
        <w:pStyle w:val="BodyText"/>
        <w:rPr/>
      </w:pPr>
      <w:r>
        <w:rPr/>
        <w:t>Выполнение нагрузочного тестирования возможно только при соблюдении следующих зависимостей: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Готовность тестового стенда</w:t>
      </w:r>
      <w:r>
        <w:rPr/>
        <w:br/>
        <w:t>Серверы для бэкенда (Node.js + </w:t>
      </w:r>
      <w:hyperlink r:id="rId8" w:tgtFrame="_blank">
        <w:r>
          <w:rPr>
            <w:rStyle w:val="Hyperlink"/>
          </w:rPr>
          <w:t>Socket.io</w:t>
        </w:r>
      </w:hyperlink>
      <w:r>
        <w:rPr/>
        <w:t>) и базы данных (MongoDB) должны быть развернуты и настроены в полном соответствии с конфигурацией, указанной в Таблице 4.2. Это включает установку ОС (Ubuntu 22.04 LTS), необходимого ПО и сетевых настроек.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Доступ к данным (CSV-файлы)</w:t>
      </w:r>
      <w:r>
        <w:rPr/>
        <w:br/>
        <w:t>Необходим набор данных из Kaggle, очищенный и подготовленный для циклического воспроизведения. Объём данных должен быть достаточным для обеспечения уникальности записей в течение всего теста стабильности (24 часа). Требуется согласование с заказчиком и предварительная загрузка на генераторы нагрузки.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Доступ к инструментам мониторинга</w:t>
      </w:r>
      <w:r>
        <w:rPr/>
        <w:br/>
        <w:t>Системы мониторинга (Prometheus, Grafana, Node Exporter, MongoDB Exporter) должны быть установлены и настроены до начала тестирования. Это необходимо для сбора метрик в реальном времени и последующего анализа.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Готовность нагрузочных скриптов</w:t>
      </w:r>
      <w:r>
        <w:rPr/>
        <w:br/>
        <w:t>Node.js</w:t>
        <w:noBreakHyphen/>
        <w:t>скрипты, эмулирующие работу станков с ЧПУ и датчиков, должны быть разработаны, отлажены и проверены на корректность эмуляции. Они должны корректно читать CSV-файлы и отправлять POST-запросы с заданной интенсивностью.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Отсутствие фоновых процессов на стенде</w:t>
      </w:r>
      <w:r>
        <w:rPr/>
        <w:br/>
        <w:t>На время тестирования на серверах не должны выполняться никакие посторонние задачи: резервное копирование, обновления системы, регламентные работы администраторов. Требуется выделение временного окна и согласование с администраторами.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firstLine="567" w:left="0"/>
        <w:rPr/>
      </w:pPr>
      <w:r>
        <w:rPr>
          <w:rStyle w:val="Strong"/>
        </w:rPr>
        <w:t>Доступ к исходному коду (опционально)</w:t>
      </w:r>
      <w:r>
        <w:rPr/>
        <w:br/>
        <w:t>Для точной настройки параметров логирования, производительности и, возможно, исправления выявленных в ходе тестов узких мест может потребоваться доступ к репозиторию с исходным кодом системы. В этом случае необходимо обеспечить соответствующие права разработчикам.</w:t>
      </w:r>
    </w:p>
    <w:p>
      <w:pPr>
        <w:pStyle w:val="BodyText"/>
        <w:rPr/>
      </w:pPr>
      <w:r>
        <w:rPr/>
        <w:br/>
      </w:r>
    </w:p>
    <w:p>
      <w:pPr>
        <w:pStyle w:val="Heading1Heading0HeadingforTopSection"/>
        <w:numPr>
          <w:ilvl w:val="0"/>
          <w:numId w:val="0"/>
        </w:numPr>
        <w:ind w:hanging="0" w:left="432"/>
        <w:rPr>
          <w:lang w:val="en-US"/>
        </w:rPr>
      </w:pPr>
      <w:r>
        <w:rPr>
          <w:lang w:val="en-US"/>
        </w:rPr>
        <w:t>11. Ресурсы</w:t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i/>
          <w:iCs/>
          <w:color w:val="0000FF"/>
        </w:rPr>
      </w:r>
    </w:p>
    <w:p>
      <w:pPr>
        <w:pStyle w:val="Normal"/>
        <w:spacing w:lineRule="auto" w:line="240"/>
        <w:ind w:hanging="0"/>
        <w:rPr/>
      </w:pPr>
      <w:r>
        <w:rPr/>
        <w:t xml:space="preserve"> </w:t>
      </w:r>
      <w:r>
        <w:rPr/>
        <w:t>Таблица 9.1</w:t>
      </w:r>
    </w:p>
    <w:tbl>
      <w:tblPr>
        <w:tblW w:w="9072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47"/>
        <w:gridCol w:w="6624"/>
      </w:tblGrid>
      <w:tr>
        <w:trPr>
          <w:tblHeader w:val="true"/>
          <w:cantSplit w:val="true"/>
        </w:trPr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Autospacing="1" w:after="0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6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Autospacing="1" w:after="0"/>
              <w:rPr>
                <w:b/>
                <w:bCs/>
              </w:rPr>
            </w:pPr>
            <w:r>
              <w:rPr>
                <w:b/>
                <w:bCs/>
              </w:rPr>
              <w:t>Специальные ответственности или комментарии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Инженер по тестированию</w:t>
            </w:r>
          </w:p>
        </w:tc>
        <w:tc>
          <w:tcPr>
            <w:tcW w:w="6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Разработка сценариев нагрузки (симуляторов на Node.js), проведение тестов, сбор метрик, анализ результатов, написание отчета.</w:t>
            </w:r>
          </w:p>
        </w:tc>
      </w:tr>
      <w:tr>
        <w:trPr>
          <w:cantSplit w:val="true"/>
        </w:trPr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Разработчик (Backend)</w:t>
            </w:r>
          </w:p>
        </w:tc>
        <w:tc>
          <w:tcPr>
            <w:tcW w:w="6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Консультации по архитектуре Node.js/ MongoDB, помощь в оптимизации кода при обнаружении узких мест, настройка окружения.</w:t>
            </w:r>
          </w:p>
        </w:tc>
      </w:tr>
      <w:tr>
        <w:trPr>
          <w:trHeight w:val="40" w:hRule="atLeast"/>
          <w:cantSplit w:val="true"/>
        </w:trPr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Системный администратор</w:t>
            </w:r>
          </w:p>
        </w:tc>
        <w:tc>
          <w:tcPr>
            <w:tcW w:w="6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rPr>
                <w:rFonts w:ascii="Times New Roman" w:hAnsi="Times New Roman"/>
                <w:color w:val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Развертывание тестового стенда, настройка мониторинга, обеспечение соответствия конфигурации оборудования.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>В таблице 9.1 представлены роли участников проекта</w:t>
      </w:r>
    </w:p>
    <w:p>
      <w:pPr>
        <w:pStyle w:val="Heading1Heading0HeadingforTopSection"/>
        <w:numPr>
          <w:ilvl w:val="0"/>
          <w:numId w:val="0"/>
        </w:numPr>
        <w:ind w:hanging="0" w:left="432"/>
        <w:rPr/>
      </w:pPr>
      <w:r>
        <w:rPr/>
        <w:t xml:space="preserve">12. </w:t>
      </w:r>
      <w:r>
        <w:rPr/>
        <w:t>Документы, подлежащие сдаче</w:t>
      </w:r>
    </w:p>
    <w:p>
      <w:pPr>
        <w:pStyle w:val="Normal"/>
        <w:spacing w:lineRule="auto" w:line="240"/>
        <w:rPr>
          <w:i/>
          <w:i/>
          <w:iCs/>
          <w:color w:val="0000FF"/>
        </w:rPr>
      </w:pPr>
      <w:r>
        <w:rPr>
          <w:i/>
          <w:iCs/>
          <w:color w:val="0000FF"/>
        </w:rPr>
      </w:r>
    </w:p>
    <w:p>
      <w:pPr>
        <w:pStyle w:val="Normal"/>
        <w:spacing w:lineRule="auto" w:line="240"/>
        <w:ind w:hanging="0"/>
        <w:rPr/>
      </w:pPr>
      <w:r>
        <w:rPr/>
        <w:t>Таблица 10.1</w:t>
      </w:r>
    </w:p>
    <w:tbl>
      <w:tblPr>
        <w:tblW w:w="9072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07"/>
        <w:gridCol w:w="2178"/>
        <w:gridCol w:w="5387"/>
      </w:tblGrid>
      <w:tr>
        <w:trPr>
          <w:cantSplit w:val="true"/>
        </w:trPr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Autospacing="1" w:after="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2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Autospacing="1" w:after="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Дата готовности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Autospacing="1" w:after="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Подготавливается в результате деятельности</w:t>
            </w:r>
          </w:p>
        </w:tc>
      </w:tr>
      <w:tr>
        <w:trPr>
          <w:cantSplit w:val="true"/>
        </w:trPr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План нагрузочного тестирования</w:t>
            </w:r>
          </w:p>
        </w:tc>
        <w:tc>
          <w:tcPr>
            <w:tcW w:w="2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20/02/2026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Протокол результатов тестирования (сырые данные)</w:t>
            </w:r>
          </w:p>
        </w:tc>
        <w:tc>
          <w:tcPr>
            <w:tcW w:w="2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По окончании тестов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Экспорт метрик из систем мониторинга, логи</w:t>
            </w:r>
          </w:p>
        </w:tc>
      </w:tr>
      <w:tr>
        <w:trPr>
          <w:cantSplit w:val="true"/>
        </w:trPr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Отчет о нагрузочном тестировании</w:t>
            </w:r>
          </w:p>
        </w:tc>
        <w:tc>
          <w:tcPr>
            <w:tcW w:w="2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Times New Roman" w:hAnsi="Times New Roman"/>
                <w:color w:val="000000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По окончании тестов</w:t>
            </w:r>
          </w:p>
        </w:tc>
        <w:tc>
          <w:tcPr>
            <w:tcW w:w="5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lang w:val="en-US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lang w:val="en-US"/>
              </w:rPr>
              <w:t>Анализ результатов, выводы о соответствии SLA, выявленные проблемы, рекомендации</w:t>
            </w:r>
          </w:p>
        </w:tc>
      </w:tr>
    </w:tbl>
    <w:p>
      <w:pPr>
        <w:pStyle w:val="Normal"/>
        <w:spacing w:lineRule="auto" w:line="240"/>
        <w:ind w:hanging="0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 xml:space="preserve"> </w:t>
      </w:r>
    </w:p>
    <w:sectPr>
      <w:headerReference w:type="even" r:id="rId9"/>
      <w:headerReference w:type="default" r:id="rId10"/>
      <w:headerReference w:type="first" r:id="rId11"/>
      <w:footnotePr>
        <w:numFmt w:val="decimal"/>
      </w:footnotePr>
      <w:type w:val="nextPage"/>
      <w:pgSz w:w="11906" w:h="16838"/>
      <w:pgMar w:left="1134" w:right="567" w:gutter="0" w:header="720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imesD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ahoma">
    <w:charset w:val="cc"/>
    <w:family w:val="roman"/>
    <w:pitch w:val="variable"/>
  </w:font>
  <w:font w:name="Arial CYR">
    <w:charset w:val="cc"/>
    <w:family w:val="roman"/>
    <w:pitch w:val="variable"/>
  </w:font>
  <w:font w:name="Verdana">
    <w:charset w:val="cc"/>
    <w:family w:val="roman"/>
    <w:pitch w:val="variable"/>
  </w:font>
  <w:font w:name="Arial Unicode MS"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01"/>
    <w:family w:val="roman"/>
    <w:pitch w:val="variable"/>
  </w:font>
  <w:font w:name="quote-cjk-patch">
    <w:altName w:val="Inter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0"/>
        <w:rPr>
          <w:sz w:val="20"/>
          <w:szCs w:val="20"/>
        </w:rPr>
      </w:pPr>
      <w:r>
        <w:rPr>
          <w:rStyle w:val="Style8"/>
        </w:rPr>
        <w:footnoteRef/>
      </w:r>
      <w:r>
        <w:rPr/>
        <w:t xml:space="preserve"> </w:t>
      </w:r>
      <w:r>
        <w:rPr>
          <w:sz w:val="20"/>
          <w:szCs w:val="20"/>
          <w:highlight w:val="lightGray"/>
        </w:rPr>
        <w:t xml:space="preserve">Время теста устанавливаем в пределах  </w:t>
      </w:r>
      <w:r>
        <w:rPr>
          <w:sz w:val="20"/>
          <w:szCs w:val="20"/>
          <w:highlight w:val="lightGray"/>
          <w:lang w:val="en-US"/>
        </w:rPr>
        <w:t>T</w:t>
      </w:r>
      <w:r>
        <w:rPr>
          <w:sz w:val="20"/>
          <w:szCs w:val="20"/>
          <w:highlight w:val="lightGray"/>
        </w:rPr>
        <w:t xml:space="preserve">  минут</w:t>
      </w:r>
    </w:p>
  </w:footnote>
  <w:footnote w:id="3">
    <w:p>
      <w:pPr>
        <w:pStyle w:val="FootnoteText"/>
        <w:rPr>
          <w:sz w:val="20"/>
          <w:szCs w:val="20"/>
        </w:rPr>
      </w:pPr>
      <w:r>
        <w:rPr>
          <w:rStyle w:val="Style8"/>
        </w:rPr>
        <w:footnoteRef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Интенсивность в данном документе для всех таблиц выражена через период повторения итераций (операций) в секундах и минутах.</w:t>
      </w:r>
    </w:p>
    <w:p>
      <w:pPr>
        <w:pStyle w:val="FootnoteText"/>
        <w:spacing w:before="0" w:after="120"/>
        <w:ind w:hanging="0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lang w:val="en-US"/>
      </w:rPr>
      <w:t xml:space="preserve">           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lang w:val="en-US"/>
      </w:rPr>
      <w:t xml:space="preserve">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Heading0HeadingforTopSection"/>
      <w:isLgl/>
      <w:numFmt w:val="decimal"/>
      <w:lvlText w:val="%1."/>
      <w:lvlJc w:val="left"/>
      <w:pPr>
        <w:tabs>
          <w:tab w:val="num" w:pos="432"/>
        </w:tabs>
        <w:ind w:left="432" w:hanging="432"/>
      </w:pPr>
      <w:rPr>
        <w:lang w:val="ru-RU"/>
      </w:rPr>
    </w:lvl>
    <w:lvl w:ilvl="1">
      <w:start w:val="1"/>
      <w:pStyle w:val="Heading22Level2Headingh2Numberedindent2ni2Hanging2Indentnumberedindent2"/>
      <w:isLgl/>
      <w:numFmt w:val="decimal"/>
      <w:lvlText w:val="%1.%2."/>
      <w:lvlJc w:val="left"/>
      <w:pPr>
        <w:tabs>
          <w:tab w:val="num" w:pos="718"/>
        </w:tabs>
        <w:ind w:left="718" w:hanging="576"/>
      </w:pPr>
      <w:rPr/>
    </w:lvl>
    <w:lvl w:ilvl="2">
      <w:start w:val="1"/>
      <w:pStyle w:val="Heading3h3"/>
      <w:isLgl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0"/>
      <w:pStyle w:val="Heading4"/>
      <w:isLgl/>
      <w:numFmt w:val="decimal"/>
      <w:lvlText w:val=""/>
      <w:lvlJc w:val="left"/>
      <w:pPr>
        <w:tabs>
          <w:tab w:val="num" w:pos="360"/>
        </w:tabs>
        <w:ind w:left="0" w:hanging="0"/>
      </w:pPr>
      <w:rPr/>
    </w:lvl>
    <w:lvl w:ilvl="4">
      <w:start w:val="1"/>
      <w:pStyle w:val="Heading5"/>
      <w:isLgl/>
      <w:numFmt w:val="decimal"/>
      <w:lvlText w:val="%1.%2.%3.%4.%5.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isLgl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isLgl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isLgl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isLgl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isLgl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isLgl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isLgl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isLgl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isLgl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isLgl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isLgl/>
      <w:numFmt w:val="decimal"/>
      <w:lvlText w:val="%1."/>
      <w:lvlJc w:val="left"/>
      <w:pPr>
        <w:tabs>
          <w:tab w:val="num" w:pos="432"/>
        </w:tabs>
        <w:ind w:left="432" w:hanging="432"/>
      </w:pPr>
      <w:rPr/>
    </w:lvl>
    <w:lvl w:ilvl="1">
      <w:start w:val="1"/>
      <w:isLgl/>
      <w:numFmt w:val="decimal"/>
      <w:lvlText w:val="%1.%2."/>
      <w:lvlJc w:val="left"/>
      <w:pPr>
        <w:tabs>
          <w:tab w:val="num" w:pos="718"/>
        </w:tabs>
        <w:ind w:left="718" w:hanging="576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0"/>
      <w:isLgl/>
      <w:numFmt w:val="decimal"/>
      <w:lvlText w:val=""/>
      <w:lvlJc w:val="left"/>
      <w:pPr>
        <w:tabs>
          <w:tab w:val="num" w:pos="360"/>
        </w:tabs>
        <w:ind w:left="0" w:hanging="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1008"/>
        </w:tabs>
        <w:ind w:left="1008" w:hanging="1008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9">
    <w:lvl w:ilvl="0">
      <w:start w:val="1"/>
      <w:isLgl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isLgl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isLgl/>
      <w:numFmt w:val="decimal"/>
      <w:suff w:val="space"/>
      <w:lvlText w:val="%1.%2."/>
      <w:lvlJc w:val="left"/>
      <w:pPr>
        <w:tabs>
          <w:tab w:val="num" w:pos="0"/>
        </w:tabs>
        <w:ind w:left="846" w:hanging="576"/>
      </w:pPr>
      <w:rPr/>
    </w:lvl>
    <w:lvl w:ilvl="2">
      <w:start w:val="1"/>
      <w:isLgl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isLgl/>
      <w:numFmt w:val="decimal"/>
      <w:suff w:val="space"/>
      <w:lvlText w:val="%1.%2.%3.%4"/>
      <w:lvlJc w:val="left"/>
      <w:pPr>
        <w:tabs>
          <w:tab w:val="num" w:pos="0"/>
        </w:tabs>
        <w:ind w:left="2664" w:hanging="864"/>
      </w:pPr>
      <w:rPr/>
    </w:lvl>
    <w:lvl w:ilvl="4">
      <w:start w:val="1"/>
      <w:isLgl/>
      <w:numFmt w:val="decimal"/>
      <w:suff w:val="space"/>
      <w:lvlText w:val="%1.%2.%3.%4.%5"/>
      <w:lvlJc w:val="left"/>
      <w:pPr>
        <w:tabs>
          <w:tab w:val="num" w:pos="0"/>
        </w:tabs>
        <w:ind w:left="1818" w:hanging="1008"/>
      </w:pPr>
      <w:rPr/>
    </w:lvl>
    <w:lvl w:ilvl="5">
      <w:start w:val="1"/>
      <w:isLgl/>
      <w:numFmt w:val="decimal"/>
      <w:suff w:val="space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1">
    <w:lvl w:ilvl="0">
      <w:start w:val="1"/>
      <w:isLgl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isLgl/>
      <w:numFmt w:val="decimal"/>
      <w:suff w:val="space"/>
      <w:lvlText w:val="%1.%2."/>
      <w:lvlJc w:val="left"/>
      <w:pPr>
        <w:tabs>
          <w:tab w:val="num" w:pos="0"/>
        </w:tabs>
        <w:ind w:left="846" w:hanging="576"/>
      </w:pPr>
      <w:rPr/>
    </w:lvl>
    <w:lvl w:ilvl="2">
      <w:start w:val="1"/>
      <w:isLgl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isLgl/>
      <w:numFmt w:val="decimal"/>
      <w:suff w:val="space"/>
      <w:lvlText w:val="%1.%2.%3.%4"/>
      <w:lvlJc w:val="left"/>
      <w:pPr>
        <w:tabs>
          <w:tab w:val="num" w:pos="0"/>
        </w:tabs>
        <w:ind w:left="2664" w:hanging="864"/>
      </w:pPr>
      <w:rPr/>
    </w:lvl>
    <w:lvl w:ilvl="4">
      <w:start w:val="1"/>
      <w:isLgl/>
      <w:numFmt w:val="decimal"/>
      <w:suff w:val="space"/>
      <w:lvlText w:val="%1.%2.%3.%4.%5"/>
      <w:lvlJc w:val="left"/>
      <w:pPr>
        <w:tabs>
          <w:tab w:val="num" w:pos="0"/>
        </w:tabs>
        <w:ind w:left="1818" w:hanging="1008"/>
      </w:pPr>
      <w:rPr/>
    </w:lvl>
    <w:lvl w:ilvl="5">
      <w:start w:val="1"/>
      <w:isLgl/>
      <w:numFmt w:val="decimal"/>
      <w:suff w:val="space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2">
    <w:lvl w:ilvl="0">
      <w:start w:val="1"/>
      <w:isLgl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isLgl/>
      <w:numFmt w:val="decimal"/>
      <w:lvlText w:val="%1)"/>
      <w:lvlJc w:val="left"/>
      <w:pPr>
        <w:tabs>
          <w:tab w:val="num" w:pos="927"/>
        </w:tabs>
        <w:ind w:left="0" w:firstLine="567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isLgl/>
      <w:numFmt w:val="decimal"/>
      <w:suff w:val="space"/>
      <w:lvlText w:val="Рисунок %1. "/>
      <w:lvlJc w:val="left"/>
      <w:pPr>
        <w:tabs>
          <w:tab w:val="num" w:pos="0"/>
        </w:tabs>
        <w:ind w:left="454" w:hanging="454"/>
      </w:pPr>
      <w:rPr/>
    </w:lvl>
    <w:lvl w:ilvl="1">
      <w:start w:val="1"/>
      <w:isLgl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5">
    <w:lvl w:ilvl="0">
      <w:start w:val="1"/>
      <w:isLgl/>
      <w:numFmt w:val="bullet"/>
      <w:lvlText w:val=""/>
      <w:lvlJc w:val="left"/>
      <w:pPr>
        <w:tabs>
          <w:tab w:val="num" w:pos="1778"/>
        </w:tabs>
        <w:ind w:left="1418" w:hanging="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isLgl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isLgl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isLgl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isLgl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isLgl/>
      <w:numFmt w:val="decimal"/>
      <w:suff w:val="space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isLgl/>
      <w:numFmt w:val="decimal"/>
      <w:suff w:val="space"/>
      <w:lvlText w:val="%1.%2."/>
      <w:lvlJc w:val="left"/>
      <w:pPr>
        <w:tabs>
          <w:tab w:val="num" w:pos="0"/>
        </w:tabs>
        <w:ind w:left="2127" w:hanging="720"/>
      </w:pPr>
      <w:rPr/>
    </w:lvl>
    <w:lvl w:ilvl="2">
      <w:start w:val="1"/>
      <w:isLgl/>
      <w:numFmt w:val="decimal"/>
      <w:suff w:val="space"/>
      <w:lvlText w:val="%1.%2.%3."/>
      <w:lvlJc w:val="left"/>
      <w:pPr>
        <w:tabs>
          <w:tab w:val="num" w:pos="0"/>
        </w:tabs>
        <w:ind w:left="2814" w:hanging="720"/>
      </w:pPr>
      <w:rPr/>
    </w:lvl>
    <w:lvl w:ilvl="3">
      <w:start w:val="1"/>
      <w:isLgl/>
      <w:numFmt w:val="decimal"/>
      <w:suff w:val="space"/>
      <w:lvlText w:val="%1.%2.%3.%4."/>
      <w:lvlJc w:val="left"/>
      <w:pPr>
        <w:tabs>
          <w:tab w:val="num" w:pos="0"/>
        </w:tabs>
        <w:ind w:left="3861" w:hanging="1080"/>
      </w:pPr>
      <w:rPr/>
    </w:lvl>
    <w:lvl w:ilvl="4">
      <w:start w:val="1"/>
      <w:isLgl/>
      <w:numFmt w:val="decimal"/>
      <w:suff w:val="space"/>
      <w:lvlText w:val="%1.%2.%3.%4.%5."/>
      <w:lvlJc w:val="left"/>
      <w:pPr>
        <w:tabs>
          <w:tab w:val="num" w:pos="0"/>
        </w:tabs>
        <w:ind w:left="4548" w:hanging="1080"/>
      </w:pPr>
      <w:rPr/>
    </w:lvl>
    <w:lvl w:ilvl="5">
      <w:start w:val="1"/>
      <w:isLgl/>
      <w:numFmt w:val="decimal"/>
      <w:suff w:val="space"/>
      <w:lvlText w:val="%1.%2.%3.%4.%5.%6."/>
      <w:lvlJc w:val="left"/>
      <w:pPr>
        <w:tabs>
          <w:tab w:val="num" w:pos="0"/>
        </w:tabs>
        <w:ind w:left="5595" w:hanging="1440"/>
      </w:pPr>
      <w:rPr/>
    </w:lvl>
    <w:lvl w:ilvl="6">
      <w:start w:val="1"/>
      <w:isLgl/>
      <w:numFmt w:val="decimal"/>
      <w:suff w:val="space"/>
      <w:lvlText w:val="%1.%2.%3.%4.%5.%6.%7."/>
      <w:lvlJc w:val="left"/>
      <w:pPr>
        <w:tabs>
          <w:tab w:val="num" w:pos="0"/>
        </w:tabs>
        <w:ind w:left="6642" w:hanging="1800"/>
      </w:pPr>
      <w:rPr/>
    </w:lvl>
    <w:lvl w:ilvl="7">
      <w:start w:val="1"/>
      <w:isLgl/>
      <w:numFmt w:val="decimal"/>
      <w:suff w:val="space"/>
      <w:lvlText w:val="%1.%2.%3.%4.%5.%6.%7.%8."/>
      <w:lvlJc w:val="left"/>
      <w:pPr>
        <w:tabs>
          <w:tab w:val="num" w:pos="0"/>
        </w:tabs>
        <w:ind w:left="7329" w:hanging="1800"/>
      </w:pPr>
      <w:rPr/>
    </w:lvl>
    <w:lvl w:ilvl="8">
      <w:start w:val="1"/>
      <w:isLgl/>
      <w:numFmt w:val="decimal"/>
      <w:suff w:val="space"/>
      <w:lvlText w:val="%1.%2.%3.%4.%5.%6.%7.%8.%9."/>
      <w:lvlJc w:val="left"/>
      <w:pPr>
        <w:tabs>
          <w:tab w:val="num" w:pos="0"/>
        </w:tabs>
        <w:ind w:left="8376" w:hanging="2160"/>
      </w:pPr>
      <w:rPr/>
    </w:lvl>
  </w:abstractNum>
  <w:abstractNum w:abstractNumId="21">
    <w:lvl w:ilvl="0">
      <w:start w:val="1"/>
      <w:isLgl/>
      <w:numFmt w:val="decimal"/>
      <w:suff w:val="space"/>
      <w:lvlText w:val="%1."/>
      <w:lvlJc w:val="left"/>
      <w:pPr>
        <w:tabs>
          <w:tab w:val="num" w:pos="0"/>
        </w:tabs>
        <w:ind w:left="0" w:firstLine="720"/>
      </w:pPr>
      <w:rPr/>
    </w:lvl>
    <w:lvl w:ilvl="1">
      <w:start w:val="1"/>
      <w:isLgl/>
      <w:numFmt w:val="decimal"/>
      <w:suff w:val="space"/>
      <w:lvlText w:val="%1.%2."/>
      <w:lvlJc w:val="left"/>
      <w:pPr>
        <w:tabs>
          <w:tab w:val="num" w:pos="0"/>
        </w:tabs>
        <w:ind w:left="2127" w:hanging="720"/>
      </w:pPr>
      <w:rPr/>
    </w:lvl>
    <w:lvl w:ilvl="2">
      <w:start w:val="1"/>
      <w:isLgl/>
      <w:numFmt w:val="decimal"/>
      <w:suff w:val="space"/>
      <w:lvlText w:val="%1.%2.%3."/>
      <w:lvlJc w:val="left"/>
      <w:pPr>
        <w:tabs>
          <w:tab w:val="num" w:pos="0"/>
        </w:tabs>
        <w:ind w:left="2814" w:hanging="720"/>
      </w:pPr>
      <w:rPr/>
    </w:lvl>
    <w:lvl w:ilvl="3">
      <w:start w:val="1"/>
      <w:isLgl/>
      <w:numFmt w:val="decimal"/>
      <w:suff w:val="space"/>
      <w:lvlText w:val="%1.%2.%3.%4."/>
      <w:lvlJc w:val="left"/>
      <w:pPr>
        <w:tabs>
          <w:tab w:val="num" w:pos="0"/>
        </w:tabs>
        <w:ind w:left="3861" w:hanging="1080"/>
      </w:pPr>
      <w:rPr/>
    </w:lvl>
    <w:lvl w:ilvl="4">
      <w:start w:val="1"/>
      <w:isLgl/>
      <w:numFmt w:val="decimal"/>
      <w:suff w:val="space"/>
      <w:lvlText w:val="%1.%2.%3.%4.%5."/>
      <w:lvlJc w:val="left"/>
      <w:pPr>
        <w:tabs>
          <w:tab w:val="num" w:pos="0"/>
        </w:tabs>
        <w:ind w:left="4548" w:hanging="1080"/>
      </w:pPr>
      <w:rPr/>
    </w:lvl>
    <w:lvl w:ilvl="5">
      <w:start w:val="1"/>
      <w:isLgl/>
      <w:numFmt w:val="decimal"/>
      <w:suff w:val="space"/>
      <w:lvlText w:val="%1.%2.%3.%4.%5.%6."/>
      <w:lvlJc w:val="left"/>
      <w:pPr>
        <w:tabs>
          <w:tab w:val="num" w:pos="0"/>
        </w:tabs>
        <w:ind w:left="5595" w:hanging="1440"/>
      </w:pPr>
      <w:rPr/>
    </w:lvl>
    <w:lvl w:ilvl="6">
      <w:start w:val="1"/>
      <w:isLgl/>
      <w:numFmt w:val="decimal"/>
      <w:suff w:val="space"/>
      <w:lvlText w:val="%1.%2.%3.%4.%5.%6.%7."/>
      <w:lvlJc w:val="left"/>
      <w:pPr>
        <w:tabs>
          <w:tab w:val="num" w:pos="0"/>
        </w:tabs>
        <w:ind w:left="6642" w:hanging="1800"/>
      </w:pPr>
      <w:rPr/>
    </w:lvl>
    <w:lvl w:ilvl="7">
      <w:start w:val="1"/>
      <w:isLgl/>
      <w:numFmt w:val="decimal"/>
      <w:suff w:val="space"/>
      <w:lvlText w:val="%1.%2.%3.%4.%5.%6.%7.%8."/>
      <w:lvlJc w:val="left"/>
      <w:pPr>
        <w:tabs>
          <w:tab w:val="num" w:pos="0"/>
        </w:tabs>
        <w:ind w:left="7329" w:hanging="1800"/>
      </w:pPr>
      <w:rPr/>
    </w:lvl>
    <w:lvl w:ilvl="8">
      <w:start w:val="1"/>
      <w:isLgl/>
      <w:numFmt w:val="decimal"/>
      <w:suff w:val="space"/>
      <w:lvlText w:val="%1.%2.%3.%4.%5.%6.%7.%8.%9."/>
      <w:lvlJc w:val="left"/>
      <w:pPr>
        <w:tabs>
          <w:tab w:val="num" w:pos="0"/>
        </w:tabs>
        <w:ind w:left="8376" w:hanging="2160"/>
      </w:pPr>
      <w:rPr/>
    </w:lvl>
  </w:abstractNum>
  <w:abstractNum w:abstractNumId="22">
    <w:lvl w:ilvl="0">
      <w:start w:val="1"/>
      <w:isLgl/>
      <w:numFmt w:val="decimal"/>
      <w:suff w:val="space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isLgl/>
      <w:numFmt w:val="decimal"/>
      <w:suff w:val="space"/>
      <w:lvlText w:val="%1.%2."/>
      <w:lvlJc w:val="left"/>
      <w:pPr>
        <w:tabs>
          <w:tab w:val="num" w:pos="0"/>
        </w:tabs>
        <w:ind w:left="1854" w:hanging="447"/>
      </w:pPr>
      <w:rPr/>
    </w:lvl>
    <w:lvl w:ilvl="2">
      <w:start w:val="1"/>
      <w:isLgl/>
      <w:numFmt w:val="decimal"/>
      <w:suff w:val="space"/>
      <w:lvlText w:val="%1.%2.%3."/>
      <w:lvlJc w:val="left"/>
      <w:pPr>
        <w:tabs>
          <w:tab w:val="num" w:pos="0"/>
        </w:tabs>
        <w:ind w:left="2814" w:hanging="720"/>
      </w:pPr>
      <w:rPr/>
    </w:lvl>
    <w:lvl w:ilvl="3">
      <w:start w:val="1"/>
      <w:isLgl/>
      <w:numFmt w:val="decimal"/>
      <w:suff w:val="space"/>
      <w:lvlText w:val="%1.%2.%3.%4."/>
      <w:lvlJc w:val="left"/>
      <w:pPr>
        <w:tabs>
          <w:tab w:val="num" w:pos="0"/>
        </w:tabs>
        <w:ind w:left="3861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4548"/>
        </w:tabs>
        <w:ind w:left="454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5595"/>
        </w:tabs>
        <w:ind w:left="5595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6642"/>
        </w:tabs>
        <w:ind w:left="6642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7329"/>
        </w:tabs>
        <w:ind w:left="7329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8376"/>
        </w:tabs>
        <w:ind w:left="8376" w:hanging="2160"/>
      </w:pPr>
      <w:rPr/>
    </w:lvl>
  </w:abstractNum>
  <w:abstractNum w:abstractNumId="23">
    <w:lvl w:ilvl="0">
      <w:start w:val="1"/>
      <w:isLgl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4"/>
        <w:color w:val="F9FAFB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4"/>
        <w:color w:val="F9FAFB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4"/>
        <w:color w:val="F9FAFB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4"/>
        <w:color w:val="F9FAFB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4"/>
        <w:color w:val="F9FAFB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4"/>
        <w:color w:val="F9FAFB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4"/>
        <w:color w:val="F9FAFB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4"/>
        <w:color w:val="F9FAFB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4"/>
        <w:color w:val="F9FAFB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240" w:after="0"/>
      <w:jc w:val="lef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lef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jc w:val="lef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jc w:val="left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5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user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basedOn w:val="DefaultParagraphFont"/>
    <w:semiHidden/>
    <w:qFormat/>
    <w:rPr>
      <w:sz w:val="16"/>
      <w:szCs w:val="16"/>
    </w:rPr>
  </w:style>
  <w:style w:type="character" w:styleId="Style6">
    <w:name w:val="Степень"/>
    <w:basedOn w:val="DefaultParagraphFont"/>
    <w:qFormat/>
    <w:rPr>
      <w:rFonts w:ascii="TimesDL" w:hAnsi="TimesDL" w:cs="TimesDL"/>
      <w:spacing w:val="0"/>
      <w:sz w:val="16"/>
      <w:szCs w:val="16"/>
      <w:vertAlign w:val="superscript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yle7">
    <w:name w:val="Текст_Назв_Прогр"/>
    <w:basedOn w:val="DefaultParagraphFont"/>
    <w:qFormat/>
    <w:rPr>
      <w:rFonts w:ascii="Times New Roman" w:hAnsi="Times New Roman" w:cs="Times New Roman"/>
      <w:i/>
      <w:iCs/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8">
    <w:name w:val="Символ сноски"/>
    <w:semiHidden/>
    <w:qFormat/>
    <w:rPr>
      <w:vertAlign w:val="superscript"/>
    </w:rPr>
  </w:style>
  <w:style w:type="character" w:styleId="user1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t">
    <w:name w:val="at"/>
    <w:basedOn w:val="DefaultParagraphFont"/>
    <w:qFormat/>
    <w:rPr/>
  </w:style>
  <w:style w:type="character" w:styleId="Style9">
    <w:name w:val="Ссылка указателя"/>
    <w:qFormat/>
    <w:rPr/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2">
    <w:name w:val="Ссылка указателя (user)"/>
    <w:qFormat/>
    <w:rPr/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Исходный текст (user)"/>
    <w:qFormat/>
    <w:rPr>
      <w:rFonts w:ascii="Liberation Mono" w:hAnsi="Liberation Mono" w:eastAsia="NSimSun" w:cs="Liberation Mono"/>
    </w:rPr>
  </w:style>
  <w:style w:type="character" w:styleId="user5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next w:val="BodyTex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Arial"/>
      <w:b/>
      <w:bCs/>
      <w:color w:val="auto"/>
      <w:kern w:val="0"/>
      <w:sz w:val="22"/>
      <w:szCs w:val="22"/>
      <w:lang w:val="ru-RU" w:eastAsia="ru-RU" w:bidi="ar-SA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Normal"/>
    <w:pPr>
      <w:tabs>
        <w:tab w:val="clear" w:pos="720"/>
        <w:tab w:val="left" w:pos="360" w:leader="none"/>
      </w:tabs>
      <w:ind w:hanging="360" w:left="360"/>
      <w:jc w:val="left"/>
    </w:pPr>
    <w:rPr/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6">
    <w:name w:val="Заголовок (user)"/>
    <w:basedOn w:val="Normal"/>
    <w:next w:val="BodyText"/>
    <w:qFormat/>
    <w:pPr>
      <w:pageBreakBefore/>
      <w:ind w:hanging="0"/>
      <w:jc w:val="center"/>
    </w:pPr>
    <w:rPr>
      <w:b/>
      <w:bCs/>
      <w:sz w:val="28"/>
      <w:szCs w:val="28"/>
    </w:rPr>
  </w:style>
  <w:style w:type="paragraph" w:styleId="user7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Heading1Heading0HeadingforTopSection">
    <w:name w:val="Heading 1,Heading 0,Heading for Top Section"/>
    <w:basedOn w:val="Normal"/>
    <w:next w:val="Normal"/>
    <w:qFormat/>
    <w:pPr>
      <w:keepNext w:val="true"/>
      <w:keepLines/>
      <w:pageBreakBefore/>
      <w:numPr>
        <w:ilvl w:val="0"/>
        <w:numId w:val="1"/>
      </w:numPr>
      <w:spacing w:before="240" w:after="120"/>
      <w:jc w:val="center"/>
      <w:outlineLvl w:val="0"/>
    </w:pPr>
    <w:rPr>
      <w:b/>
      <w:bCs/>
      <w:caps/>
      <w:sz w:val="28"/>
      <w:szCs w:val="28"/>
    </w:rPr>
  </w:style>
  <w:style w:type="paragraph" w:styleId="Heading22Level2Headingh2Numberedindent2ni2Hanging2Indentnumberedindent2">
    <w:name w:val="Heading 2,2,Level 2 Heading,h2,Numbered indent 2,ni2,Hanging 2 Indent,numbered indent 2"/>
    <w:basedOn w:val="Normal"/>
    <w:next w:val="Normal"/>
    <w:qFormat/>
    <w:pPr>
      <w:keepNext w:val="true"/>
      <w:keepLines/>
      <w:numPr>
        <w:ilvl w:val="1"/>
        <w:numId w:val="1"/>
      </w:numPr>
      <w:spacing w:before="240" w:after="120"/>
      <w:jc w:val="left"/>
      <w:outlineLvl w:val="1"/>
    </w:pPr>
    <w:rPr>
      <w:b/>
      <w:bCs/>
    </w:rPr>
  </w:style>
  <w:style w:type="paragraph" w:styleId="Heading3h3">
    <w:name w:val="Heading 3,h3"/>
    <w:basedOn w:val="Normal"/>
    <w:next w:val="Normal"/>
    <w:qFormat/>
    <w:pPr>
      <w:keepNext w:val="true"/>
      <w:keepLines/>
      <w:numPr>
        <w:ilvl w:val="2"/>
        <w:numId w:val="1"/>
      </w:numPr>
      <w:spacing w:before="240" w:after="120"/>
      <w:jc w:val="left"/>
      <w:outlineLvl w:val="2"/>
    </w:pPr>
    <w:rPr>
      <w:b/>
      <w:bCs/>
    </w:rPr>
  </w:style>
  <w:style w:type="paragraph" w:styleId="Style13">
    <w:name w:val="Колонтитулы"/>
    <w:basedOn w:val="Normal"/>
    <w:qFormat/>
    <w:pPr/>
    <w:rPr/>
  </w:style>
  <w:style w:type="paragraph" w:styleId="user8">
    <w:name w:val="Колонтитулы (user)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pany">
    <w:name w:val="company"/>
    <w:basedOn w:val="Normal"/>
    <w:qFormat/>
    <w:pPr>
      <w:widowControl w:val="false"/>
      <w:spacing w:lineRule="auto" w:line="240" w:before="0" w:after="240"/>
      <w:ind w:hanging="0"/>
      <w:jc w:val="center"/>
    </w:pPr>
    <w:rPr>
      <w:b/>
      <w:bCs/>
    </w:rPr>
  </w:style>
  <w:style w:type="paragraph" w:styleId="Style14">
    <w:name w:val="Текст в таблице"/>
    <w:basedOn w:val="Normal"/>
    <w:qFormat/>
    <w:pPr>
      <w:keepLines/>
      <w:spacing w:lineRule="auto" w:line="240"/>
      <w:ind w:hanging="0"/>
      <w:jc w:val="left"/>
    </w:pPr>
    <w:rPr/>
  </w:style>
  <w:style w:type="paragraph" w:styleId="Style15">
    <w:name w:val="Наименование системы"/>
    <w:basedOn w:val="Normal"/>
    <w:qFormat/>
    <w:pPr>
      <w:spacing w:before="1080" w:after="0"/>
      <w:ind w:hanging="0"/>
      <w:jc w:val="center"/>
    </w:pPr>
    <w:rPr>
      <w:caps/>
      <w:sz w:val="28"/>
      <w:szCs w:val="28"/>
    </w:rPr>
  </w:style>
  <w:style w:type="paragraph" w:styleId="Style16">
    <w:name w:val="Наименование программы"/>
    <w:basedOn w:val="Style15"/>
    <w:qFormat/>
    <w:pPr>
      <w:spacing w:before="120" w:after="0"/>
    </w:pPr>
    <w:rPr>
      <w:b/>
      <w:bCs/>
    </w:rPr>
  </w:style>
  <w:style w:type="paragraph" w:styleId="Style17">
    <w:name w:val="Наименование документа"/>
    <w:qFormat/>
    <w:pPr>
      <w:widowControl/>
      <w:suppressAutoHyphens w:val="true"/>
      <w:bidi w:val="0"/>
      <w:spacing w:before="120" w:after="120"/>
      <w:jc w:val="center"/>
    </w:pPr>
    <w:rPr>
      <w:rFonts w:ascii="Arial" w:hAnsi="Arial" w:eastAsia="NSimSun" w:cs="Arial"/>
      <w:b/>
      <w:bCs/>
      <w:color w:val="auto"/>
      <w:kern w:val="0"/>
      <w:sz w:val="28"/>
      <w:szCs w:val="28"/>
      <w:lang w:val="ru-RU" w:eastAsia="ru-RU" w:bidi="ar-SA"/>
    </w:rPr>
  </w:style>
  <w:style w:type="paragraph" w:styleId="Style18">
    <w:name w:val="Код документа"/>
    <w:qFormat/>
    <w:pPr>
      <w:widowControl/>
      <w:suppressAutoHyphens w:val="true"/>
      <w:bidi w:val="0"/>
      <w:spacing w:before="120" w:after="0"/>
      <w:jc w:val="center"/>
    </w:pPr>
    <w:rPr>
      <w:rFonts w:ascii="Arial" w:hAnsi="Arial" w:eastAsia="NSimSun" w:cs="Arial"/>
      <w:caps/>
      <w:color w:val="auto"/>
      <w:kern w:val="0"/>
      <w:sz w:val="24"/>
      <w:szCs w:val="24"/>
      <w:lang w:val="ru-RU" w:eastAsia="ru-RU" w:bidi="ar-SA"/>
    </w:rPr>
  </w:style>
  <w:style w:type="paragraph" w:styleId="TOC1">
    <w:name w:val="toc 1"/>
    <w:basedOn w:val="Normal"/>
    <w:next w:val="Normal"/>
    <w:uiPriority w:val="39"/>
    <w:pPr>
      <w:tabs>
        <w:tab w:val="clear" w:pos="720"/>
        <w:tab w:val="right" w:pos="10195" w:leader="dot"/>
      </w:tabs>
      <w:spacing w:lineRule="auto" w:line="240"/>
      <w:ind w:hanging="0" w:left="567"/>
      <w:jc w:val="left"/>
    </w:pPr>
    <w:rPr>
      <w:caps/>
      <w:sz w:val="20"/>
      <w:szCs w:val="20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10195" w:leader="dot"/>
      </w:tabs>
      <w:spacing w:lineRule="auto" w:line="240"/>
      <w:ind w:hanging="0" w:left="567"/>
      <w:jc w:val="left"/>
    </w:pPr>
    <w:rPr>
      <w:caps/>
      <w:sz w:val="20"/>
      <w:szCs w:val="20"/>
    </w:rPr>
  </w:style>
  <w:style w:type="paragraph" w:styleId="TOC3">
    <w:name w:val="toc 3"/>
    <w:basedOn w:val="Normal"/>
    <w:next w:val="Normal"/>
    <w:semiHidden/>
    <w:pPr>
      <w:tabs>
        <w:tab w:val="clear" w:pos="720"/>
        <w:tab w:val="right" w:pos="10195" w:leader="dot"/>
      </w:tabs>
      <w:spacing w:lineRule="auto" w:line="240"/>
      <w:ind w:hanging="0" w:left="567"/>
      <w:jc w:val="left"/>
    </w:pPr>
    <w:rPr>
      <w:caps/>
      <w:sz w:val="20"/>
      <w:szCs w:val="20"/>
    </w:rPr>
  </w:style>
  <w:style w:type="paragraph" w:styleId="TOC4">
    <w:name w:val="toc 4"/>
    <w:basedOn w:val="TOC3"/>
    <w:next w:val="Normal"/>
    <w:semiHidden/>
    <w:pPr>
      <w:ind w:left="720"/>
    </w:pPr>
    <w:rPr>
      <w:sz w:val="18"/>
      <w:szCs w:val="18"/>
    </w:rPr>
  </w:style>
  <w:style w:type="paragraph" w:styleId="TOC5">
    <w:name w:val="toc 5"/>
    <w:basedOn w:val="TOC3"/>
    <w:next w:val="Normal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ind w:left="1920"/>
      <w:jc w:val="left"/>
    </w:pPr>
    <w:rPr>
      <w:sz w:val="18"/>
      <w:szCs w:val="18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losing">
    <w:name w:val="Closing"/>
    <w:basedOn w:val="Normal"/>
    <w:next w:val="Normal"/>
    <w:qFormat/>
    <w:pPr>
      <w:keepNext w:val="true"/>
      <w:keepLines/>
      <w:pageBreakBefore/>
      <w:numPr>
        <w:ilvl w:val="0"/>
        <w:numId w:val="3"/>
      </w:numPr>
      <w:tabs>
        <w:tab w:val="clear" w:pos="720"/>
      </w:tabs>
      <w:spacing w:before="240" w:after="0"/>
      <w:ind w:hanging="432" w:left="432"/>
      <w:jc w:val="center"/>
    </w:pPr>
    <w:rPr>
      <w:b/>
      <w:bCs/>
      <w:caps/>
      <w:sz w:val="32"/>
      <w:szCs w:val="32"/>
    </w:rPr>
  </w:style>
  <w:style w:type="paragraph" w:styleId="Style19">
    <w:name w:val="Раздел приложения"/>
    <w:basedOn w:val="Normal"/>
    <w:next w:val="Normal"/>
    <w:qFormat/>
    <w:pPr>
      <w:numPr>
        <w:ilvl w:val="1"/>
        <w:numId w:val="1"/>
      </w:numPr>
      <w:spacing w:before="240" w:after="0"/>
      <w:ind w:firstLine="1134" w:left="360"/>
      <w:jc w:val="left"/>
    </w:pPr>
    <w:rPr>
      <w:b/>
      <w:bCs/>
      <w:sz w:val="28"/>
      <w:szCs w:val="28"/>
    </w:rPr>
  </w:style>
  <w:style w:type="paragraph" w:styleId="Style20">
    <w:name w:val="Нумерация"/>
    <w:basedOn w:val="Normal"/>
    <w:qFormat/>
    <w:pPr>
      <w:numPr>
        <w:ilvl w:val="0"/>
        <w:numId w:val="13"/>
      </w:numPr>
      <w:tabs>
        <w:tab w:val="clear" w:pos="720"/>
        <w:tab w:val="left" w:pos="1134" w:leader="none"/>
      </w:tabs>
      <w:jc w:val="left"/>
    </w:pPr>
    <w:rPr/>
  </w:style>
  <w:style w:type="paragraph" w:styleId="user9">
    <w:name w:val="Рисунок (user)"/>
    <w:basedOn w:val="Normal"/>
    <w:next w:val="Normal"/>
    <w:qFormat/>
    <w:pPr>
      <w:numPr>
        <w:ilvl w:val="0"/>
        <w:numId w:val="14"/>
      </w:numPr>
      <w:jc w:val="center"/>
    </w:pPr>
    <w:rPr/>
  </w:style>
  <w:style w:type="paragraph" w:styleId="user10">
    <w:name w:val="Таблица (user)"/>
    <w:basedOn w:val="Normal"/>
    <w:next w:val="Normal"/>
    <w:qFormat/>
    <w:pPr>
      <w:numPr>
        <w:ilvl w:val="0"/>
        <w:numId w:val="6"/>
      </w:numPr>
      <w:ind w:left="360"/>
      <w:jc w:val="left"/>
    </w:pPr>
    <w:rPr/>
  </w:style>
  <w:style w:type="paragraph" w:styleId="BlockText">
    <w:name w:val="Block Text"/>
    <w:basedOn w:val="Normal"/>
    <w:qFormat/>
    <w:pPr/>
    <w:rPr/>
  </w:style>
  <w:style w:type="paragraph" w:styleId="BodyTextIndent">
    <w:name w:val="Body Text Indent"/>
    <w:basedOn w:val="Normal"/>
    <w:pPr>
      <w:spacing w:before="0" w:after="120"/>
      <w:ind w:hanging="0"/>
    </w:pPr>
    <w:rPr/>
  </w:style>
  <w:style w:type="paragraph" w:styleId="BodyTextIndent2">
    <w:name w:val="Body Text Indent 2"/>
    <w:basedOn w:val="Normal"/>
    <w:qFormat/>
    <w:pPr/>
    <w:rPr/>
  </w:style>
  <w:style w:type="paragraph" w:styleId="CommentText">
    <w:name w:val="Comment Text"/>
    <w:basedOn w:val="Normal"/>
    <w:semiHidden/>
    <w:qFormat/>
    <w:pPr/>
    <w:rPr>
      <w:sz w:val="20"/>
      <w:szCs w:val="20"/>
    </w:rPr>
  </w:style>
  <w:style w:type="paragraph" w:styleId="Style21">
    <w:name w:val="Буква"/>
    <w:basedOn w:val="Style20"/>
    <w:qFormat/>
    <w:pPr>
      <w:numPr>
        <w:ilvl w:val="0"/>
        <w:numId w:val="12"/>
      </w:numPr>
      <w:tabs>
        <w:tab w:val="left" w:pos="927" w:leader="none"/>
        <w:tab w:val="left" w:pos="1134" w:leader="none"/>
      </w:tabs>
      <w:ind w:firstLine="567" w:left="0"/>
    </w:pPr>
    <w:rPr/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  <w:ind w:hanging="0"/>
      <w:jc w:val="left"/>
    </w:pPr>
    <w:rPr>
      <w:rFonts w:ascii="Arial CYR" w:hAnsi="Arial CYR" w:cs="Arial CYR"/>
      <w:b/>
      <w:bCs/>
      <w:i/>
      <w:iCs/>
    </w:rPr>
  </w:style>
  <w:style w:type="paragraph" w:styleId="Style22">
    <w:name w:val="Нормальный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ru-RU" w:bidi="ar-SA"/>
    </w:rPr>
  </w:style>
  <w:style w:type="paragraph" w:styleId="ListBullet">
    <w:name w:val="List Bullet"/>
    <w:basedOn w:val="Normal"/>
    <w:pPr/>
    <w:rPr/>
  </w:style>
  <w:style w:type="paragraph" w:styleId="1">
    <w:name w:val="Маркированный 1"/>
    <w:basedOn w:val="ListBullet"/>
    <w:qFormat/>
    <w:pPr>
      <w:numPr>
        <w:ilvl w:val="0"/>
        <w:numId w:val="15"/>
      </w:numPr>
      <w:ind w:hanging="0"/>
    </w:pPr>
    <w:rPr/>
  </w:style>
  <w:style w:type="paragraph" w:styleId="Style23">
    <w:name w:val="Начало таблицы"/>
    <w:basedOn w:val="Normal"/>
    <w:next w:val="Normal"/>
    <w:qFormat/>
    <w:pPr>
      <w:spacing w:before="60" w:after="0"/>
      <w:jc w:val="center"/>
    </w:pPr>
    <w:rPr>
      <w:rFonts w:ascii="TimesDL" w:hAnsi="TimesDL" w:cs="TimesDL"/>
      <w:b/>
      <w:bCs/>
      <w:sz w:val="20"/>
      <w:szCs w:val="20"/>
    </w:rPr>
  </w:style>
  <w:style w:type="paragraph" w:styleId="Title">
    <w:name w:val="Title"/>
    <w:basedOn w:val="Normal"/>
    <w:qFormat/>
    <w:pPr>
      <w:pageBreakBefore/>
      <w:spacing w:before="0" w:after="60"/>
      <w:ind w:hanging="0"/>
      <w:jc w:val="center"/>
      <w:outlineLvl w:val="0"/>
    </w:pPr>
    <w:rPr>
      <w:b/>
      <w:bCs/>
      <w:sz w:val="28"/>
      <w:szCs w:val="28"/>
    </w:rPr>
  </w:style>
  <w:style w:type="paragraph" w:styleId="bodycopy">
    <w:name w:val="bodycopy"/>
    <w:basedOn w:val="Normal"/>
    <w:qFormat/>
    <w:pPr>
      <w:spacing w:lineRule="atLeast" w:line="210" w:before="100" w:after="100"/>
      <w:ind w:hanging="0"/>
      <w:jc w:val="left"/>
    </w:pPr>
    <w:rPr>
      <w:rFonts w:ascii="Arial" w:hAnsi="Arial" w:cs="Arial"/>
      <w:color w:val="000000"/>
      <w:sz w:val="18"/>
      <w:szCs w:val="18"/>
    </w:rPr>
  </w:style>
  <w:style w:type="paragraph" w:styleId="parahead1">
    <w:name w:val="parahead1"/>
    <w:basedOn w:val="Normal"/>
    <w:qFormat/>
    <w:pPr>
      <w:spacing w:lineRule="atLeast" w:line="255" w:before="100" w:after="100"/>
      <w:ind w:hanging="0"/>
      <w:jc w:val="left"/>
    </w:pPr>
    <w:rPr>
      <w:rFonts w:ascii="Arial" w:hAnsi="Arial" w:cs="Arial"/>
      <w:b/>
      <w:bCs/>
      <w:color w:val="000000"/>
      <w:sz w:val="21"/>
      <w:szCs w:val="21"/>
    </w:rPr>
  </w:style>
  <w:style w:type="paragraph" w:styleId="parahead2">
    <w:name w:val="parahead2"/>
    <w:basedOn w:val="Normal"/>
    <w:qFormat/>
    <w:pPr>
      <w:spacing w:lineRule="atLeast" w:line="255" w:before="100" w:after="100"/>
      <w:ind w:hanging="0"/>
      <w:jc w:val="left"/>
    </w:pPr>
    <w:rPr>
      <w:rFonts w:ascii="Arial" w:hAnsi="Arial" w:cs="Arial"/>
      <w:b/>
      <w:bCs/>
      <w:color w:val="808080"/>
      <w:sz w:val="21"/>
      <w:szCs w:val="21"/>
    </w:rPr>
  </w:style>
  <w:style w:type="paragraph" w:styleId="ListBullet2">
    <w:name w:val="List Bullet 2"/>
    <w:basedOn w:val="ListBullet"/>
    <w:pPr>
      <w:spacing w:before="20" w:after="0"/>
      <w:ind w:hanging="426" w:left="720"/>
    </w:pPr>
    <w:rPr>
      <w:color w:val="000000"/>
      <w:lang w:val="en-US"/>
    </w:rPr>
  </w:style>
  <w:style w:type="paragraph" w:styleId="ListBullet3">
    <w:name w:val="List Bullet 3"/>
    <w:basedOn w:val="ListBullet"/>
    <w:pPr>
      <w:numPr>
        <w:ilvl w:val="0"/>
        <w:numId w:val="8"/>
      </w:numPr>
      <w:tabs>
        <w:tab w:val="clear" w:pos="720"/>
        <w:tab w:val="left" w:pos="1494" w:leader="none"/>
      </w:tabs>
      <w:spacing w:before="20" w:after="0"/>
      <w:ind w:hanging="357" w:left="1491"/>
    </w:pPr>
    <w:rPr>
      <w:rFonts w:ascii="Arial" w:hAnsi="Arial" w:cs="Arial"/>
    </w:rPr>
  </w:style>
  <w:style w:type="paragraph" w:styleId="Bullet">
    <w:name w:val="Bullet"/>
    <w:basedOn w:val="Normal"/>
    <w:qFormat/>
    <w:pPr>
      <w:widowControl w:val="false"/>
      <w:numPr>
        <w:ilvl w:val="0"/>
        <w:numId w:val="9"/>
      </w:numPr>
      <w:spacing w:before="0" w:after="60"/>
      <w:ind w:hanging="357" w:left="714"/>
    </w:pPr>
    <w:rPr/>
  </w:style>
  <w:style w:type="paragraph" w:styleId="Style24">
    <w:name w:val="Перечисления"/>
    <w:basedOn w:val="Normal"/>
    <w:qFormat/>
    <w:pPr>
      <w:keepNext w:val="true"/>
      <w:numPr>
        <w:ilvl w:val="0"/>
        <w:numId w:val="16"/>
      </w:numPr>
    </w:pPr>
    <w:rPr>
      <w:color w:val="000000"/>
      <w:sz w:val="22"/>
      <w:szCs w:val="22"/>
      <w:lang w:val="en-US"/>
    </w:rPr>
  </w:style>
  <w:style w:type="paragraph" w:styleId="11">
    <w:name w:val="Маркированный1"/>
    <w:basedOn w:val="Normal"/>
    <w:qFormat/>
    <w:pPr>
      <w:numPr>
        <w:ilvl w:val="0"/>
        <w:numId w:val="21"/>
      </w:numPr>
      <w:jc w:val="left"/>
    </w:pPr>
    <w:rPr>
      <w:sz w:val="22"/>
      <w:szCs w:val="22"/>
      <w:lang w:val="en-US"/>
    </w:rPr>
  </w:style>
  <w:style w:type="paragraph" w:styleId="2">
    <w:name w:val="Список простой 2"/>
    <w:basedOn w:val="Style25"/>
    <w:qFormat/>
    <w:pPr>
      <w:numPr>
        <w:ilvl w:val="0"/>
        <w:numId w:val="17"/>
      </w:numPr>
      <w:spacing w:before="0" w:after="0"/>
      <w:outlineLvl w:val="1"/>
    </w:pPr>
    <w:rPr/>
  </w:style>
  <w:style w:type="paragraph" w:styleId="Style25">
    <w:name w:val="Список простой"/>
    <w:basedOn w:val="Normal"/>
    <w:qFormat/>
    <w:pPr>
      <w:numPr>
        <w:ilvl w:val="0"/>
        <w:numId w:val="11"/>
      </w:numPr>
      <w:tabs>
        <w:tab w:val="clear" w:pos="720"/>
      </w:tabs>
      <w:spacing w:before="0" w:after="120"/>
    </w:pPr>
    <w:rPr>
      <w:sz w:val="16"/>
      <w:szCs w:val="16"/>
      <w:lang w:val="en-US"/>
    </w:rPr>
  </w:style>
  <w:style w:type="paragraph" w:styleId="21">
    <w:name w:val="Маркированный 2"/>
    <w:basedOn w:val="Normal"/>
    <w:qFormat/>
    <w:pPr>
      <w:numPr>
        <w:ilvl w:val="0"/>
        <w:numId w:val="18"/>
      </w:numPr>
      <w:jc w:val="left"/>
    </w:pPr>
    <w:rPr>
      <w:sz w:val="22"/>
      <w:szCs w:val="22"/>
      <w:lang w:val="en-US"/>
    </w:rPr>
  </w:style>
  <w:style w:type="paragraph" w:styleId="Style26">
    <w:name w:val="Список нумерованный"/>
    <w:basedOn w:val="Normal"/>
    <w:qFormat/>
    <w:pPr>
      <w:numPr>
        <w:ilvl w:val="0"/>
        <w:numId w:val="19"/>
      </w:numPr>
    </w:pPr>
    <w:rPr>
      <w:sz w:val="16"/>
      <w:szCs w:val="16"/>
      <w:lang w:val="en-US"/>
    </w:rPr>
  </w:style>
  <w:style w:type="paragraph" w:styleId="Style27">
    <w:name w:val="Список многоуровневый"/>
    <w:basedOn w:val="Normal"/>
    <w:qFormat/>
    <w:pPr>
      <w:numPr>
        <w:ilvl w:val="0"/>
        <w:numId w:val="20"/>
      </w:numPr>
      <w:jc w:val="left"/>
    </w:pPr>
    <w:rPr>
      <w:sz w:val="16"/>
      <w:szCs w:val="16"/>
      <w:lang w:val="en-US"/>
    </w:rPr>
  </w:style>
  <w:style w:type="paragraph" w:styleId="12">
    <w:name w:val="Многоуровневый 1"/>
    <w:basedOn w:val="Normal"/>
    <w:qFormat/>
    <w:pPr>
      <w:numPr>
        <w:ilvl w:val="0"/>
        <w:numId w:val="22"/>
      </w:numPr>
    </w:pPr>
    <w:rPr>
      <w:sz w:val="16"/>
      <w:szCs w:val="16"/>
      <w:lang w:val="en-US"/>
    </w:rPr>
  </w:style>
  <w:style w:type="paragraph" w:styleId="22">
    <w:name w:val="Многоуровневый 2"/>
    <w:basedOn w:val="Normal"/>
    <w:qFormat/>
    <w:pPr>
      <w:numPr>
        <w:ilvl w:val="1"/>
        <w:numId w:val="22"/>
      </w:numPr>
    </w:pPr>
    <w:rPr>
      <w:sz w:val="16"/>
      <w:szCs w:val="16"/>
      <w:lang w:val="en-US"/>
    </w:rPr>
  </w:style>
  <w:style w:type="paragraph" w:styleId="3">
    <w:name w:val="Многоуровневый 3"/>
    <w:basedOn w:val="Normal"/>
    <w:qFormat/>
    <w:pPr>
      <w:numPr>
        <w:ilvl w:val="2"/>
        <w:numId w:val="22"/>
      </w:numPr>
    </w:pPr>
    <w:rPr>
      <w:sz w:val="16"/>
      <w:szCs w:val="16"/>
      <w:lang w:val="en-US"/>
    </w:rPr>
  </w:style>
  <w:style w:type="paragraph" w:styleId="4">
    <w:name w:val="Многоуровневый 4"/>
    <w:basedOn w:val="Normal"/>
    <w:qFormat/>
    <w:pPr>
      <w:numPr>
        <w:ilvl w:val="3"/>
        <w:numId w:val="22"/>
      </w:numPr>
    </w:pPr>
    <w:rPr>
      <w:sz w:val="16"/>
      <w:szCs w:val="16"/>
      <w:lang w:val="en-US"/>
    </w:rPr>
  </w:style>
  <w:style w:type="paragraph" w:styleId="FootnoteText">
    <w:name w:val="footnote text"/>
    <w:basedOn w:val="Normal"/>
    <w:semiHidden/>
    <w:pPr>
      <w:spacing w:before="0" w:after="120"/>
      <w:ind w:hanging="0"/>
    </w:pPr>
    <w:rPr/>
  </w:style>
  <w:style w:type="paragraph" w:styleId="BodyTextIndent3">
    <w:name w:val="Body Text Indent 3"/>
    <w:basedOn w:val="Normal"/>
    <w:qFormat/>
    <w:pPr/>
    <w:rPr>
      <w:rFonts w:ascii="Arial" w:hAnsi="Arial" w:cs="Arial"/>
    </w:rPr>
  </w:style>
  <w:style w:type="paragraph" w:styleId="ListContinue2">
    <w:name w:val="List Continue 2"/>
    <w:basedOn w:val="Normal"/>
    <w:pPr>
      <w:widowControl w:val="false"/>
      <w:spacing w:before="100" w:after="120"/>
      <w:ind w:hanging="0" w:left="566"/>
      <w:jc w:val="left"/>
    </w:pPr>
    <w:rPr>
      <w:color w:val="000000"/>
    </w:rPr>
  </w:style>
  <w:style w:type="paragraph" w:styleId="H2">
    <w:name w:val="H2"/>
    <w:basedOn w:val="Normal"/>
    <w:next w:val="Normal"/>
    <w:qFormat/>
    <w:pPr>
      <w:keepNext w:val="true"/>
      <w:widowControl w:val="false"/>
      <w:spacing w:before="100" w:after="100"/>
      <w:ind w:hanging="0"/>
      <w:jc w:val="left"/>
      <w:outlineLvl w:val="2"/>
    </w:pPr>
    <w:rPr>
      <w:b/>
      <w:bCs/>
      <w:sz w:val="36"/>
      <w:szCs w:val="36"/>
    </w:rPr>
  </w:style>
  <w:style w:type="paragraph" w:styleId="H3">
    <w:name w:val="H3"/>
    <w:basedOn w:val="Normal"/>
    <w:next w:val="Normal"/>
    <w:qFormat/>
    <w:pPr>
      <w:keepNext w:val="true"/>
      <w:widowControl w:val="false"/>
      <w:spacing w:before="100" w:after="100"/>
      <w:ind w:hanging="0"/>
      <w:jc w:val="left"/>
      <w:outlineLvl w:val="3"/>
    </w:pPr>
    <w:rPr>
      <w:b/>
      <w:bCs/>
      <w:sz w:val="28"/>
      <w:szCs w:val="28"/>
    </w:rPr>
  </w:style>
  <w:style w:type="paragraph" w:styleId="Left">
    <w:name w:val="Left"/>
    <w:basedOn w:val="Normal"/>
    <w:qFormat/>
    <w:pPr>
      <w:spacing w:before="0" w:after="120"/>
      <w:ind w:hanging="0"/>
    </w:pPr>
    <w:rPr/>
  </w:style>
  <w:style w:type="paragraph" w:styleId="Style28">
    <w:name w:val="Адреса"/>
    <w:basedOn w:val="Normal"/>
    <w:next w:val="Normal"/>
    <w:qFormat/>
    <w:pPr>
      <w:widowControl w:val="false"/>
      <w:ind w:hanging="0"/>
      <w:jc w:val="left"/>
    </w:pPr>
    <w:rPr>
      <w:i/>
      <w:iCs/>
    </w:rPr>
  </w:style>
  <w:style w:type="paragraph" w:styleId="CommentSubject1">
    <w:name w:val="Comment Subject1"/>
    <w:basedOn w:val="CommentText"/>
    <w:next w:val="CommentText"/>
    <w:semiHidden/>
    <w:qFormat/>
    <w:pPr/>
    <w:rPr>
      <w:b/>
      <w:bCs/>
      <w:lang w:val="en-US" w:eastAsia="en-US"/>
    </w:rPr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  <w:lang w:val="en-US" w:eastAsia="en-US"/>
    </w:rPr>
  </w:style>
  <w:style w:type="paragraph" w:styleId="Style29">
    <w:name w:val="Основной"/>
    <w:basedOn w:val="Normal"/>
    <w:qFormat/>
    <w:pPr>
      <w:spacing w:lineRule="exact" w:line="340" w:before="120" w:after="60"/>
      <w:ind w:firstLine="709"/>
    </w:pPr>
    <w:rPr>
      <w:sz w:val="26"/>
      <w:szCs w:val="26"/>
      <w:lang w:val="en-US" w:eastAsia="en-US"/>
    </w:rPr>
  </w:style>
  <w:style w:type="paragraph" w:styleId="Normal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ru-RU" w:bidi="ar-SA"/>
    </w:rPr>
  </w:style>
  <w:style w:type="paragraph" w:styleId="13">
    <w:name w:val="Стиль1"/>
    <w:basedOn w:val="Normal"/>
    <w:qFormat/>
    <w:pPr>
      <w:numPr>
        <w:ilvl w:val="0"/>
        <w:numId w:val="11"/>
      </w:numPr>
      <w:tabs>
        <w:tab w:val="clear" w:pos="720"/>
        <w:tab w:val="left" w:pos="1080" w:leader="none"/>
      </w:tabs>
      <w:spacing w:lineRule="auto" w:line="240" w:before="60" w:after="60"/>
      <w:ind w:hanging="360" w:left="1080"/>
    </w:pPr>
    <w:rPr>
      <w:lang w:val="en-US" w:eastAsia="en-US"/>
    </w:rPr>
  </w:style>
  <w:style w:type="paragraph" w:styleId="Style30">
    <w:name w:val="Перечисление"/>
    <w:basedOn w:val="Normal"/>
    <w:qFormat/>
    <w:pPr>
      <w:numPr>
        <w:ilvl w:val="0"/>
        <w:numId w:val="23"/>
      </w:numPr>
      <w:spacing w:before="60" w:after="60"/>
      <w:ind w:firstLine="720" w:left="0"/>
    </w:pPr>
    <w:rPr>
      <w:lang w:val="en-US" w:eastAsia="en-US"/>
    </w:rPr>
  </w:style>
  <w:style w:type="paragraph" w:styleId="Menu1">
    <w:name w:val="Menu1"/>
    <w:basedOn w:val="Normal"/>
    <w:next w:val="Normal"/>
    <w:qFormat/>
    <w:pPr>
      <w:spacing w:lineRule="auto" w:line="240" w:before="60" w:after="60"/>
      <w:ind w:firstLine="720"/>
    </w:pPr>
    <w:rPr>
      <w:b/>
      <w:bCs/>
      <w:sz w:val="18"/>
      <w:szCs w:val="18"/>
      <w:lang w:val="en-US" w:eastAsia="en-US"/>
    </w:rPr>
  </w:style>
  <w:style w:type="paragraph" w:styleId="Style31">
    <w:name w:val="Примечание"/>
    <w:basedOn w:val="Normal"/>
    <w:qFormat/>
    <w:pPr>
      <w:spacing w:lineRule="auto" w:line="240" w:before="60" w:after="60"/>
      <w:ind w:hanging="0" w:left="1701"/>
    </w:pPr>
    <w:rPr>
      <w:rFonts w:ascii="Verdana" w:hAnsi="Verdana" w:cs="Verdana"/>
      <w:sz w:val="18"/>
      <w:szCs w:val="18"/>
      <w:lang w:val="en-US" w:eastAsia="en-US"/>
    </w:rPr>
  </w:style>
  <w:style w:type="paragraph" w:styleId="Style32">
    <w:name w:val="Литература"/>
    <w:basedOn w:val="Normal"/>
    <w:qFormat/>
    <w:pPr>
      <w:numPr>
        <w:ilvl w:val="0"/>
        <w:numId w:val="10"/>
      </w:numPr>
      <w:spacing w:lineRule="auto" w:line="240"/>
      <w:ind w:hanging="360" w:left="360"/>
    </w:pPr>
    <w:rPr>
      <w:lang w:val="en-US" w:eastAsia="en-US"/>
    </w:rPr>
  </w:style>
  <w:style w:type="paragraph" w:styleId="BasicBullet">
    <w:name w:val="Basic Bullet"/>
    <w:basedOn w:val="Normal"/>
    <w:qFormat/>
    <w:pPr>
      <w:numPr>
        <w:ilvl w:val="0"/>
        <w:numId w:val="4"/>
      </w:numPr>
      <w:spacing w:lineRule="auto" w:line="240"/>
      <w:ind w:left="360"/>
      <w:jc w:val="left"/>
    </w:pPr>
    <w:rPr>
      <w:b/>
      <w:bCs/>
      <w:sz w:val="22"/>
      <w:szCs w:val="22"/>
      <w:lang w:val="en-US" w:eastAsia="en-US"/>
    </w:rPr>
  </w:style>
  <w:style w:type="paragraph" w:styleId="Bullet1">
    <w:name w:val="Bullet 1"/>
    <w:basedOn w:val="Normal"/>
    <w:qFormat/>
    <w:pPr>
      <w:numPr>
        <w:ilvl w:val="0"/>
        <w:numId w:val="5"/>
      </w:numPr>
      <w:tabs>
        <w:tab w:val="left" w:pos="720" w:leader="none"/>
      </w:tabs>
      <w:spacing w:lineRule="auto" w:line="240"/>
      <w:ind w:left="720"/>
      <w:jc w:val="left"/>
    </w:pPr>
    <w:rPr>
      <w:sz w:val="22"/>
      <w:szCs w:val="22"/>
      <w:lang w:val="en-US" w:eastAsia="en-US"/>
    </w:rPr>
  </w:style>
  <w:style w:type="paragraph" w:styleId="Bullet2">
    <w:name w:val="Bullet 2"/>
    <w:basedOn w:val="Normal"/>
    <w:qFormat/>
    <w:pPr>
      <w:numPr>
        <w:ilvl w:val="0"/>
        <w:numId w:val="6"/>
      </w:numPr>
      <w:spacing w:lineRule="auto" w:line="240" w:before="0" w:after="60"/>
      <w:jc w:val="left"/>
    </w:pPr>
    <w:rPr>
      <w:sz w:val="22"/>
      <w:szCs w:val="22"/>
      <w:lang w:val="en-US" w:eastAsia="en-US"/>
    </w:rPr>
  </w:style>
  <w:style w:type="paragraph" w:styleId="ListNumber2">
    <w:name w:val="List Number 2"/>
    <w:basedOn w:val="Normal"/>
    <w:pPr>
      <w:widowControl w:val="false"/>
      <w:numPr>
        <w:ilvl w:val="0"/>
        <w:numId w:val="6"/>
      </w:numPr>
      <w:tabs>
        <w:tab w:val="clear" w:pos="720"/>
        <w:tab w:val="left" w:pos="714" w:leader="none"/>
      </w:tabs>
      <w:spacing w:lineRule="auto" w:line="240" w:before="120" w:after="0"/>
      <w:ind w:hanging="357" w:left="714"/>
    </w:pPr>
    <w:rPr>
      <w:sz w:val="22"/>
      <w:szCs w:val="22"/>
      <w:lang w:val="en-US" w:eastAsia="en-US"/>
    </w:rPr>
  </w:style>
  <w:style w:type="paragraph" w:styleId="ListNumber">
    <w:name w:val="List Number"/>
    <w:basedOn w:val="Normal"/>
    <w:pPr>
      <w:widowControl w:val="false"/>
      <w:numPr>
        <w:ilvl w:val="0"/>
        <w:numId w:val="3"/>
      </w:numPr>
      <w:tabs>
        <w:tab w:val="clear" w:pos="720"/>
        <w:tab w:val="decimal" w:pos="360" w:leader="none"/>
      </w:tabs>
      <w:spacing w:lineRule="auto" w:line="240" w:before="120" w:after="0"/>
      <w:ind w:hanging="357" w:left="357"/>
    </w:pPr>
    <w:rPr>
      <w:sz w:val="22"/>
      <w:szCs w:val="22"/>
      <w:lang w:val="en-US" w:eastAsia="en-US"/>
    </w:rPr>
  </w:style>
  <w:style w:type="paragraph" w:styleId="-">
    <w:name w:val="Перечисление-Гипертекст"/>
    <w:basedOn w:val="Normal"/>
    <w:qFormat/>
    <w:pPr>
      <w:numPr>
        <w:ilvl w:val="0"/>
        <w:numId w:val="7"/>
      </w:numPr>
      <w:tabs>
        <w:tab w:val="clear" w:pos="720"/>
        <w:tab w:val="left" w:pos="390" w:leader="none"/>
      </w:tabs>
      <w:spacing w:lineRule="auto" w:line="240" w:before="100" w:after="100"/>
      <w:ind w:hanging="284" w:left="738"/>
    </w:pPr>
    <w:rPr>
      <w:lang w:eastAsia="en-US"/>
    </w:rPr>
  </w:style>
  <w:style w:type="paragraph" w:styleId="14">
    <w:name w:val="Текст_Абзаца_Вар_1"/>
    <w:qFormat/>
    <w:pPr>
      <w:widowControl/>
      <w:suppressAutoHyphens w:val="true"/>
      <w:bidi w:val="0"/>
      <w:spacing w:before="40" w:after="40"/>
      <w:ind w:firstLine="567"/>
      <w:jc w:val="both"/>
    </w:pPr>
    <w:rPr>
      <w:rFonts w:ascii="Times New Roman" w:hAnsi="Times New Roman" w:eastAsia="NSimSun" w:cs="Arial"/>
      <w:color w:val="auto"/>
      <w:kern w:val="0"/>
      <w:sz w:val="22"/>
      <w:szCs w:val="22"/>
      <w:lang w:val="ru-RU" w:eastAsia="en-US" w:bidi="ar-SA"/>
    </w:rPr>
  </w:style>
  <w:style w:type="paragraph" w:styleId="15">
    <w:name w:val="НеНум_Список_Перечисление_1"/>
    <w:basedOn w:val="Normal"/>
    <w:qFormat/>
    <w:pPr>
      <w:numPr>
        <w:ilvl w:val="0"/>
        <w:numId w:val="2"/>
      </w:numPr>
      <w:tabs>
        <w:tab w:val="clear" w:pos="720"/>
        <w:tab w:val="left" w:pos="1560" w:leader="none"/>
      </w:tabs>
      <w:spacing w:lineRule="auto" w:line="240"/>
      <w:ind w:left="1560"/>
    </w:pPr>
    <w:rPr>
      <w:lang w:eastAsia="en-US"/>
    </w:rPr>
  </w:style>
  <w:style w:type="paragraph" w:styleId="Style33">
    <w:name w:val="Текст_Абзаца"/>
    <w:qFormat/>
    <w:pPr>
      <w:widowControl/>
      <w:suppressAutoHyphens w:val="true"/>
      <w:bidi w:val="0"/>
      <w:spacing w:before="40" w:after="40"/>
      <w:ind w:firstLine="425" w:left="851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ru-RU" w:eastAsia="en-US" w:bidi="ar-SA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Style34">
    <w:name w:val="Осн. текст"/>
    <w:basedOn w:val="Normal"/>
    <w:qFormat/>
    <w:pPr>
      <w:spacing w:lineRule="auto" w:line="240" w:before="60" w:after="60"/>
      <w:ind w:firstLine="720"/>
    </w:pPr>
    <w:rPr>
      <w:sz w:val="28"/>
      <w:szCs w:val="28"/>
      <w:lang w:val="en-US" w:eastAsia="en-US"/>
    </w:rPr>
  </w:style>
  <w:style w:type="paragraph" w:styleId="western">
    <w:name w:val="western"/>
    <w:basedOn w:val="Normal"/>
    <w:qFormat/>
    <w:pPr>
      <w:spacing w:lineRule="auto" w:line="240" w:beforeAutospacing="1" w:after="119"/>
      <w:ind w:hanging="0"/>
      <w:jc w:val="left"/>
    </w:pPr>
    <w:rPr>
      <w:lang w:val="en-US" w:eastAsia="en-US"/>
    </w:rPr>
  </w:style>
  <w:style w:type="paragraph" w:styleId="BalloonText1">
    <w:name w:val="Balloon Text1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  <w:ind w:hanging="0"/>
      <w:jc w:val="left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Arial Unicode MS" w:hAnsi="Arial Unicode MS" w:cs="Arial Unicode MS"/>
      <w:sz w:val="20"/>
      <w:szCs w:val="20"/>
    </w:rPr>
  </w:style>
  <w:style w:type="paragraph" w:styleId="PlainText">
    <w:name w:val="Plain Text"/>
    <w:basedOn w:val="Normal"/>
    <w:qFormat/>
    <w:pPr>
      <w:spacing w:lineRule="auto" w:line="240"/>
      <w:ind w:hanging="0"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Heading3IndentLeft0">
    <w:name w:val="Heading 3 + Indent Left 0"/>
    <w:basedOn w:val="Heading3h3"/>
    <w:qFormat/>
    <w:pPr>
      <w:numPr>
        <w:ilvl w:val="2"/>
        <w:numId w:val="1"/>
      </w:numPr>
      <w:tabs>
        <w:tab w:val="clear" w:pos="720"/>
        <w:tab w:val="left" w:pos="1080" w:leader="none"/>
      </w:tabs>
      <w:ind w:hanging="0"/>
    </w:pPr>
    <w:rPr>
      <w:rFonts w:ascii="Arial" w:hAnsi="Arial" w:cs="Arial"/>
    </w:rPr>
  </w:style>
  <w:style w:type="paragraph" w:styleId="bodytext1">
    <w:name w:val="bodytext"/>
    <w:basedOn w:val="Normal"/>
    <w:qFormat/>
    <w:pPr>
      <w:spacing w:lineRule="atLeast" w:line="220" w:before="120" w:after="120"/>
      <w:ind w:hanging="0" w:left="709"/>
    </w:pPr>
    <w:rPr>
      <w:szCs w:val="20"/>
      <w:lang w:eastAsia="en-US"/>
    </w:rPr>
  </w:style>
  <w:style w:type="paragraph" w:styleId="16">
    <w:name w:val="Список1"/>
    <w:basedOn w:val="Normal"/>
    <w:qFormat/>
    <w:pPr>
      <w:tabs>
        <w:tab w:val="clear" w:pos="720"/>
        <w:tab w:val="left" w:pos="851" w:leader="none"/>
      </w:tabs>
      <w:jc w:val="left"/>
    </w:pPr>
    <w:rPr>
      <w:rFonts w:ascii="Arial" w:hAnsi="Arial" w:cs="Arial"/>
    </w:rPr>
  </w:style>
  <w:style w:type="paragraph" w:styleId="131">
    <w:name w:val="заголовок 13"/>
    <w:basedOn w:val="Normal"/>
    <w:next w:val="Normal"/>
    <w:qFormat/>
    <w:pPr>
      <w:keepNext w:val="true"/>
      <w:spacing w:lineRule="auto" w:line="240" w:before="240" w:after="60"/>
      <w:ind w:hanging="0"/>
      <w:jc w:val="center"/>
    </w:pPr>
    <w:rPr>
      <w:b/>
      <w:bCs/>
      <w:caps/>
    </w:rPr>
  </w:style>
  <w:style w:type="paragraph" w:styleId="bodytext11">
    <w:name w:val="body text1"/>
    <w:qFormat/>
    <w:pPr>
      <w:keepLines/>
      <w:widowControl/>
      <w:suppressAutoHyphens w:val="true"/>
      <w:bidi w:val="0"/>
      <w:spacing w:lineRule="atLeast" w:line="220" w:before="0" w:after="12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GB" w:eastAsia="en-US" w:bidi="ar-SA"/>
    </w:rPr>
  </w:style>
  <w:style w:type="paragraph" w:styleId="CommentSubject">
    <w:name w:val="Comment Subject"/>
    <w:basedOn w:val="CommentText"/>
    <w:next w:val="CommentText"/>
    <w:semiHidden/>
    <w:qFormat/>
    <w:pPr/>
    <w:rPr>
      <w:b/>
      <w:bCs/>
    </w:rPr>
  </w:style>
  <w:style w:type="paragraph" w:styleId="Revision">
    <w:name w:val="Revision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ru-RU" w:eastAsia="ru-RU" w:bidi="ar-SA"/>
    </w:rPr>
  </w:style>
  <w:style w:type="paragraph" w:styleId="Style35">
    <w:name w:val="Шапка таблицы"/>
    <w:basedOn w:val="Normal"/>
    <w:qFormat/>
    <w:pPr>
      <w:keepNext w:val="true"/>
      <w:keepLines/>
      <w:widowControl w:val="false"/>
      <w:spacing w:lineRule="auto" w:line="240" w:before="120" w:after="120"/>
      <w:ind w:hanging="0"/>
      <w:jc w:val="left"/>
    </w:pPr>
    <w:rPr>
      <w:b/>
      <w:bCs/>
      <w:sz w:val="20"/>
      <w:szCs w:val="20"/>
      <w:lang w:eastAsia="en-US"/>
    </w:rPr>
  </w:style>
  <w:style w:type="paragraph" w:styleId="Style36">
    <w:name w:val="Текст таблицы"/>
    <w:basedOn w:val="Normal"/>
    <w:qFormat/>
    <w:pPr>
      <w:widowControl w:val="false"/>
      <w:spacing w:lineRule="auto" w:line="240" w:before="60" w:after="60"/>
      <w:ind w:hanging="0"/>
      <w:jc w:val="left"/>
    </w:pPr>
    <w:rPr>
      <w:bCs/>
      <w:color w:val="000000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08"/>
    </w:pPr>
    <w:rPr/>
  </w:style>
  <w:style w:type="paragraph" w:styleId="Style37">
    <w:name w:val="Верхний колонтитул слева"/>
    <w:basedOn w:val="Header"/>
    <w:qFormat/>
    <w:pPr/>
    <w:rPr/>
  </w:style>
  <w:style w:type="paragraph" w:styleId="user1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12">
    <w:name w:val="Заголовок таблицы (user)"/>
    <w:basedOn w:val="user11"/>
    <w:qFormat/>
    <w:pPr>
      <w:suppressLineNumbers/>
      <w:jc w:val="center"/>
    </w:pPr>
    <w:rPr>
      <w:b/>
      <w:bCs/>
    </w:rPr>
  </w:style>
  <w:style w:type="numbering" w:styleId="Style38" w:default="1">
    <w:name w:val="Без списка"/>
    <w:semiHidden/>
    <w:qFormat/>
  </w:style>
  <w:style w:type="table" w:styleId="787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789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91">
    <w:name w:val="Lined - Accen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styleId="929">
    <w:name w:val="Table Normal"/>
    <w:semiHidden/>
  </w:style>
  <w:style w:type="table" w:styleId="1037">
    <w:name w:val="Table Grid"/>
    <w:basedOn w:val="929"/>
  </w:style>
  <w:style w:type="table" w:default="1" w:styleId="1038">
    <w:name w:val="Normal Table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https://socket.io/" TargetMode="External"/><Relationship Id="rId6" Type="http://schemas.openxmlformats.org/officeDocument/2006/relationships/hyperlink" Target="https://socket.io/" TargetMode="External"/><Relationship Id="rId7" Type="http://schemas.openxmlformats.org/officeDocument/2006/relationships/hyperlink" Target="https://socket.io/" TargetMode="External"/><Relationship Id="rId8" Type="http://schemas.openxmlformats.org/officeDocument/2006/relationships/hyperlink" Target="https://socket.io/" TargetMode="Externa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notes" Target="footnotes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21</TotalTime>
  <Application>LibreOffice/25.2.7.2$Windows_X86_64 LibreOffice_project/5cbfd1ab6520636bb5f7b99185aa69bd7456825d</Application>
  <AppVersion>15.0000</AppVersion>
  <Pages>19</Pages>
  <Words>2315</Words>
  <Characters>16005</Characters>
  <CharactersWithSpaces>18045</CharactersWithSpaces>
  <Paragraphs>301</Paragraphs>
  <Company>АПЛАНА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2009-09-18T08:05:00Z</dcterms:created>
  <dc:creator>Широбоков Андрей</dc:creator>
  <dc:description/>
  <dc:language>ru-RU</dc:language>
  <cp:lastModifiedBy/>
  <dcterms:modified xsi:type="dcterms:W3CDTF">2026-02-19T22:09:01Z</dcterms:modified>
  <cp:revision>14</cp:revision>
  <dc:subject>ТЗ на нагрузочное тестирование</dc:subject>
  <dc:title>ТЗ на нагрузочное тестирование</dc:title>
  <cp:version>730895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