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72F9E" w14:textId="77777777" w:rsidR="005B3129" w:rsidRDefault="005B3129" w:rsidP="007675EB">
      <w:pPr>
        <w:rPr>
          <w:rFonts w:ascii="Times New Roman" w:eastAsia="Times New Roman" w:hAnsi="Times New Roman" w:cs="Times New Roman"/>
          <w:b/>
          <w:bCs/>
          <w:color w:val="002060"/>
          <w:sz w:val="24"/>
          <w:szCs w:val="24"/>
          <w:lang w:val="en-US"/>
        </w:rPr>
      </w:pPr>
    </w:p>
    <w:p w14:paraId="5C1EBAF1" w14:textId="6AF868BE" w:rsidR="007675EB" w:rsidRPr="007675EB" w:rsidRDefault="007675EB" w:rsidP="007675EB">
      <w:pPr>
        <w:rPr>
          <w:rFonts w:ascii="Times New Roman" w:eastAsia="Times New Roman" w:hAnsi="Times New Roman" w:cs="Times New Roman"/>
          <w:b/>
          <w:bCs/>
          <w:color w:val="002060"/>
          <w:sz w:val="24"/>
          <w:szCs w:val="24"/>
          <w:lang w:val="en-US"/>
        </w:rPr>
      </w:pPr>
      <w:r w:rsidRPr="007675EB">
        <w:rPr>
          <w:rFonts w:ascii="Times New Roman" w:eastAsia="Times New Roman" w:hAnsi="Times New Roman" w:cs="Times New Roman"/>
          <w:b/>
          <w:bCs/>
          <w:color w:val="002060"/>
          <w:sz w:val="24"/>
          <w:szCs w:val="24"/>
          <w:lang w:val="en-US"/>
        </w:rPr>
        <w:t>IMP Global Megatrend Umbrella Fund Commentary</w:t>
      </w:r>
    </w:p>
    <w:p w14:paraId="7238ACDF" w14:textId="77777777" w:rsidR="00FA7BBA" w:rsidRPr="00FA7BBA" w:rsidRDefault="00FA7BBA" w:rsidP="00FA7BBA">
      <w:pPr>
        <w:jc w:val="both"/>
        <w:rPr>
          <w:rFonts w:ascii="Times New Roman" w:hAnsi="Times New Roman" w:cs="Times New Roman"/>
          <w:sz w:val="24"/>
          <w:szCs w:val="24"/>
          <w:lang w:val="en-GB"/>
        </w:rPr>
      </w:pPr>
      <w:r w:rsidRPr="00FA7BBA">
        <w:rPr>
          <w:rFonts w:ascii="Times New Roman" w:hAnsi="Times New Roman" w:cs="Times New Roman"/>
          <w:sz w:val="24"/>
          <w:szCs w:val="24"/>
          <w:lang w:val="en-GB"/>
        </w:rPr>
        <w:t>Global equity markets delivered mixed performance during February as investors navigated a more complex investment environment characterized by increased volatility within technology stocks, growing scrutiny of artificial intelligence investment spending, and escalating geopolitical tensions toward month-end. The coordinated U.S. and Israeli airstrikes across Iran on 28 February added to market uncertainty and introduced additional tail risks, prompting a temporary risk-off move and a sharp rise in oil prices amid concerns about potential energy supply disruptions. While the duration and scope of further escalation remain uncertain, our base case does not assume that the current tensions will lead to sustained global economic disruption. The global economy today is structurally less sensitive to oil price shocks than in prior decades, and major central banks have signalled a measured response to temporary inflation impulses. As such, although geopolitical risk premiums may remain elevated in the near term, we do not expect the situation to evolve into a systemic market event.</w:t>
      </w:r>
    </w:p>
    <w:p w14:paraId="58A2C6FC" w14:textId="41D11CBF" w:rsidR="00120CF5" w:rsidRPr="00120CF5" w:rsidRDefault="00FA7BBA" w:rsidP="00120CF5">
      <w:pPr>
        <w:jc w:val="both"/>
        <w:rPr>
          <w:rFonts w:ascii="Times New Roman" w:hAnsi="Times New Roman" w:cs="Times New Roman"/>
          <w:sz w:val="24"/>
          <w:szCs w:val="24"/>
          <w:lang w:val="en-US"/>
        </w:rPr>
      </w:pPr>
      <w:r w:rsidRPr="00FA7BBA">
        <w:rPr>
          <w:rFonts w:ascii="Times New Roman" w:hAnsi="Times New Roman" w:cs="Times New Roman"/>
          <w:sz w:val="24"/>
          <w:szCs w:val="24"/>
          <w:lang w:val="en-GB"/>
        </w:rPr>
        <w:t>Equity market developments increasingly indicated a transition toward a more mature phase of the equity cycle, marked by greater selectivity and episodic volatility. While short-term fluctuations persisted, underlying conditions continued to be driven primarily by corporate fundamentals and long-term structural growth trends. U.S. equities remained the central driver of global equity performance during the month, although headline index movements remained relatively contained as investors reassessed valuations and capital expenditure plans within the technology sector. Artificial intelligence-related investment continued to support U.S. equities, but volatility within technology stocks reflected increased selectivity and a greater focus on capital efficiency rather than a weakening of the broader AI investment theme.</w:t>
      </w:r>
      <w:r w:rsidR="00120CF5" w:rsidRPr="00120CF5">
        <w:rPr>
          <w:rFonts w:ascii="Times New Roman" w:hAnsi="Times New Roman" w:cs="Times New Roman"/>
          <w:sz w:val="24"/>
          <w:szCs w:val="24"/>
          <w:lang w:val="en-US"/>
        </w:rPr>
        <w:t xml:space="preserve"> Within this environment, the IMP Global Megatrend Umbrella Fund returned -2.47% in February, bringing year-to-date performance to -2.88% net of fees.</w:t>
      </w:r>
    </w:p>
    <w:p w14:paraId="2FB0F605" w14:textId="3C790731" w:rsidR="00FA7BBA" w:rsidRPr="00FA7BBA" w:rsidRDefault="00FA7BBA" w:rsidP="00FA7BBA">
      <w:pPr>
        <w:jc w:val="both"/>
        <w:rPr>
          <w:rFonts w:ascii="Times New Roman" w:hAnsi="Times New Roman" w:cs="Times New Roman"/>
          <w:sz w:val="24"/>
          <w:szCs w:val="24"/>
          <w:lang w:val="en-US"/>
        </w:rPr>
      </w:pPr>
      <w:r w:rsidRPr="00FA7BBA">
        <w:rPr>
          <w:rFonts w:ascii="Times New Roman" w:hAnsi="Times New Roman" w:cs="Times New Roman"/>
          <w:sz w:val="24"/>
          <w:szCs w:val="24"/>
          <w:lang w:val="en-GB"/>
        </w:rPr>
        <w:t>Recent market trends</w:t>
      </w:r>
      <w:r w:rsidRPr="00FA7BBA">
        <w:rPr>
          <w:rFonts w:ascii="Times New Roman" w:hAnsi="Times New Roman" w:cs="Times New Roman"/>
          <w:sz w:val="24"/>
          <w:szCs w:val="24"/>
          <w:lang w:val="en-US"/>
        </w:rPr>
        <w:t xml:space="preserve"> indicated that market leadership in the United States continued to evolve during February. While artificial intelligence remains a central driver of earnings growth, returns broadened further beyond mega-cap technology into sectors such as industrials, healthcare, financials, and utilities. This shift reflects a healthier and more diversified structure and suggests that equity strength is increasingly supported by underlying economic resilience rather than reliance on a narrow group of </w:t>
      </w:r>
      <w:proofErr w:type="gramStart"/>
      <w:r w:rsidRPr="00FA7BBA">
        <w:rPr>
          <w:rFonts w:ascii="Times New Roman" w:hAnsi="Times New Roman" w:cs="Times New Roman"/>
          <w:sz w:val="24"/>
          <w:szCs w:val="24"/>
          <w:lang w:val="en-US"/>
        </w:rPr>
        <w:t>technology</w:t>
      </w:r>
      <w:proofErr w:type="gramEnd"/>
      <w:r w:rsidRPr="00FA7BBA">
        <w:rPr>
          <w:rFonts w:ascii="Times New Roman" w:hAnsi="Times New Roman" w:cs="Times New Roman"/>
          <w:sz w:val="24"/>
          <w:szCs w:val="24"/>
          <w:lang w:val="en-US"/>
        </w:rPr>
        <w:t xml:space="preserve"> companies. Corporate earnings expectations remain supportive for 2026 and continue to provide an important foundation for equity valuations. At the same time, increased dispersion across sectors and investment styles highlighted a more selective investment climate than earlier in the year. From a market dynamics perspective, February was characterized by increased volatility across technology stocks despite generally strong corporate earnings. Several semiconductor and artificial intelligence infrastructure companies reported robust results driven by ongoing demand for data center capacity and AI computing power yet share price reactions were mixed as investors focused increasingly on the scale and sustainability of capital expenditure. This pattern reflects a notable shift from earlier phases of the artificial intelligence-driven rally, as investors have begun to place greater emphasis on long-term profitability and capital efficiency. Technology sector weakness during parts of the month contrasted with more stable results in cyclical and defensive sectors, highlighting the ongoing broadening of market leadership.</w:t>
      </w:r>
    </w:p>
    <w:p w14:paraId="33AFA2A6" w14:textId="77777777" w:rsidR="00FA7BBA" w:rsidRDefault="00FA7BBA" w:rsidP="00120CF5">
      <w:pPr>
        <w:jc w:val="both"/>
        <w:rPr>
          <w:rFonts w:ascii="Times New Roman" w:hAnsi="Times New Roman" w:cs="Times New Roman"/>
          <w:sz w:val="24"/>
          <w:szCs w:val="24"/>
          <w:lang w:val="en-US"/>
        </w:rPr>
      </w:pPr>
    </w:p>
    <w:p w14:paraId="1C20CC5C" w14:textId="3794B442" w:rsidR="00FA7BBA" w:rsidRDefault="00FA7BBA" w:rsidP="00120CF5">
      <w:pPr>
        <w:jc w:val="both"/>
        <w:rPr>
          <w:rFonts w:ascii="Times New Roman" w:hAnsi="Times New Roman" w:cs="Times New Roman"/>
          <w:sz w:val="24"/>
          <w:szCs w:val="24"/>
          <w:lang w:val="en-US"/>
        </w:rPr>
      </w:pPr>
      <w:r w:rsidRPr="00FA7BBA">
        <w:rPr>
          <w:rFonts w:ascii="Times New Roman" w:hAnsi="Times New Roman" w:cs="Times New Roman"/>
          <w:sz w:val="24"/>
          <w:szCs w:val="24"/>
          <w:lang w:val="en-US"/>
        </w:rPr>
        <w:t xml:space="preserve">Artificial intelligence infrastructure investment remained exceptionally strong during the month. Major technology companies continued to expand capital expenditure programs focused on data centers, cloud infrastructure, and semiconductor capacity </w:t>
      </w:r>
      <w:proofErr w:type="gramStart"/>
      <w:r w:rsidRPr="00FA7BBA">
        <w:rPr>
          <w:rFonts w:ascii="Times New Roman" w:hAnsi="Times New Roman" w:cs="Times New Roman"/>
          <w:sz w:val="24"/>
          <w:szCs w:val="24"/>
          <w:lang w:val="en-US"/>
        </w:rPr>
        <w:t>in order to</w:t>
      </w:r>
      <w:proofErr w:type="gramEnd"/>
      <w:r w:rsidRPr="00FA7BBA">
        <w:rPr>
          <w:rFonts w:ascii="Times New Roman" w:hAnsi="Times New Roman" w:cs="Times New Roman"/>
          <w:sz w:val="24"/>
          <w:szCs w:val="24"/>
          <w:lang w:val="en-US"/>
        </w:rPr>
        <w:t xml:space="preserve"> support the rapid adoption of AI-driven applications. This investment cycle remains one of the most important structural drivers of U.S. equities and provides significant long-term growth opportunities across the semiconductor, cloud computing, and digital infrastructure ecosystem. While the scale of planned investment has raised questions regarding long-term returns and competitive dynamics, the ongoing expansion of enterprise AI adoption supports a sustained growth trajectory across the artificial intelligence value chain. European equities delivered more stable results during February, supported by improving earnings visibility and gradually stabilizing economic conditions. Although economic growth remains uneven across the region, corporate results generally </w:t>
      </w:r>
      <w:proofErr w:type="gramStart"/>
      <w:r w:rsidRPr="00FA7BBA">
        <w:rPr>
          <w:rFonts w:ascii="Times New Roman" w:hAnsi="Times New Roman" w:cs="Times New Roman"/>
          <w:sz w:val="24"/>
          <w:szCs w:val="24"/>
          <w:lang w:val="en-US"/>
        </w:rPr>
        <w:t>remained</w:t>
      </w:r>
      <w:proofErr w:type="gramEnd"/>
      <w:r w:rsidRPr="00FA7BBA">
        <w:rPr>
          <w:rFonts w:ascii="Times New Roman" w:hAnsi="Times New Roman" w:cs="Times New Roman"/>
          <w:sz w:val="24"/>
          <w:szCs w:val="24"/>
          <w:lang w:val="en-US"/>
        </w:rPr>
        <w:t xml:space="preserve"> resilient. European equity developments continued to reflect increased selectivity, with strength concentrated in sectors offering structural growth characteristics and stable earnings visibility.</w:t>
      </w:r>
    </w:p>
    <w:p w14:paraId="633EF977" w14:textId="5ED4269D" w:rsidR="00FA7BBA" w:rsidRPr="00120CF5" w:rsidRDefault="00FA7BBA" w:rsidP="00120CF5">
      <w:pPr>
        <w:jc w:val="both"/>
        <w:rPr>
          <w:rFonts w:ascii="Times New Roman" w:hAnsi="Times New Roman" w:cs="Times New Roman"/>
          <w:sz w:val="24"/>
          <w:szCs w:val="24"/>
          <w:lang w:val="en-US"/>
        </w:rPr>
      </w:pPr>
      <w:r w:rsidRPr="00120CF5">
        <w:rPr>
          <w:rFonts w:ascii="Times New Roman" w:hAnsi="Times New Roman" w:cs="Times New Roman"/>
          <w:sz w:val="24"/>
          <w:szCs w:val="24"/>
          <w:lang w:val="en-US"/>
        </w:rPr>
        <w:t xml:space="preserve">In foreign exchange markets, the U.S. dollar stabilized against the Swiss franc following the significant movements observed earlier in the year. The dollar continued to benefit from comparatively stronger economic growth and resilient domestic demand, while the Swiss franc remained supported by </w:t>
      </w:r>
      <w:proofErr w:type="gramStart"/>
      <w:r w:rsidRPr="00120CF5">
        <w:rPr>
          <w:rFonts w:ascii="Times New Roman" w:hAnsi="Times New Roman" w:cs="Times New Roman"/>
          <w:sz w:val="24"/>
          <w:szCs w:val="24"/>
          <w:lang w:val="en-US"/>
        </w:rPr>
        <w:t>safe-haven</w:t>
      </w:r>
      <w:proofErr w:type="gramEnd"/>
      <w:r w:rsidRPr="00120CF5">
        <w:rPr>
          <w:rFonts w:ascii="Times New Roman" w:hAnsi="Times New Roman" w:cs="Times New Roman"/>
          <w:sz w:val="24"/>
          <w:szCs w:val="24"/>
          <w:lang w:val="en-US"/>
        </w:rPr>
        <w:t xml:space="preserve"> flows during periods of geopolitical uncertainty. Swiss inflation remains subdued, and the Swiss National Bank’s increased willingness to intervene in response to franc strength provides limited structural support for further sustained appreciation. Currency movements therefore remain closely linked to global risk sentiment and relative growth expectations. For Swiss-based investors, exchange rate developments remain an important driver of portfolio returns given the significant exposure to U.S. equities.</w:t>
      </w:r>
    </w:p>
    <w:p w14:paraId="729E6D8C" w14:textId="77777777" w:rsidR="00D1535C" w:rsidRDefault="00120CF5" w:rsidP="00E51B14">
      <w:pPr>
        <w:jc w:val="both"/>
        <w:rPr>
          <w:rFonts w:ascii="Times New Roman" w:hAnsi="Times New Roman" w:cs="Times New Roman"/>
          <w:sz w:val="24"/>
          <w:szCs w:val="24"/>
          <w:lang w:val="en-US"/>
        </w:rPr>
      </w:pPr>
      <w:r w:rsidRPr="00120CF5">
        <w:rPr>
          <w:rFonts w:ascii="Times New Roman" w:hAnsi="Times New Roman" w:cs="Times New Roman"/>
          <w:sz w:val="24"/>
          <w:szCs w:val="24"/>
          <w:lang w:val="en-US"/>
        </w:rPr>
        <w:t>Against this backdrop, we maintained a disciplined investment approach in February, selectively adjusting portfolio exposures while continuing to</w:t>
      </w:r>
      <w:r>
        <w:rPr>
          <w:rFonts w:ascii="Times New Roman" w:hAnsi="Times New Roman" w:cs="Times New Roman"/>
          <w:sz w:val="24"/>
          <w:szCs w:val="24"/>
          <w:lang w:val="en-US"/>
        </w:rPr>
        <w:t xml:space="preserve"> align</w:t>
      </w:r>
      <w:r w:rsidRPr="00120CF5">
        <w:rPr>
          <w:rFonts w:ascii="Times New Roman" w:hAnsi="Times New Roman" w:cs="Times New Roman"/>
          <w:sz w:val="24"/>
          <w:szCs w:val="24"/>
          <w:lang w:val="en-US"/>
        </w:rPr>
        <w:t xml:space="preserve"> with our long-term megatrend within the Technological Innovation sector.</w:t>
      </w:r>
      <w:r w:rsidR="00260FC7">
        <w:rPr>
          <w:rFonts w:ascii="Times New Roman" w:hAnsi="Times New Roman" w:cs="Times New Roman"/>
          <w:sz w:val="24"/>
          <w:szCs w:val="24"/>
          <w:lang w:val="en-US"/>
        </w:rPr>
        <w:t xml:space="preserve"> </w:t>
      </w:r>
      <w:r w:rsidRPr="00120CF5">
        <w:rPr>
          <w:rFonts w:ascii="Times New Roman" w:hAnsi="Times New Roman" w:cs="Times New Roman"/>
          <w:sz w:val="24"/>
          <w:szCs w:val="24"/>
          <w:lang w:val="en-US"/>
        </w:rPr>
        <w:t>Within our Technology Innovation allocation, we further accumulated exposure to Cloudflare Inc.</w:t>
      </w:r>
      <w:r>
        <w:rPr>
          <w:rFonts w:ascii="Times New Roman" w:hAnsi="Times New Roman" w:cs="Times New Roman"/>
          <w:sz w:val="24"/>
          <w:szCs w:val="24"/>
          <w:lang w:val="en-US"/>
        </w:rPr>
        <w:t xml:space="preserve">, </w:t>
      </w:r>
      <w:r w:rsidRPr="00120CF5">
        <w:rPr>
          <w:rFonts w:ascii="Times New Roman" w:hAnsi="Times New Roman" w:cs="Times New Roman"/>
          <w:sz w:val="24"/>
          <w:szCs w:val="24"/>
          <w:lang w:val="en-US"/>
        </w:rPr>
        <w:t>Cloudflare is a leading infrastructure software provider positioned to benefit from growing demand for secure, low-latency compute as artificial intelligence applications move into production environments. Its global edge network supports the scaling of AI agents, while strategic collaboration with Anthropic may support long-term growth as agent-based applications expand and drive demand for paid services. The company is also well positioned to benefit from consumption-based monetization models such as pay-per-inference traffic as AI adoption accelerates.</w:t>
      </w:r>
      <w:r w:rsidR="00260FC7">
        <w:rPr>
          <w:rFonts w:ascii="Times New Roman" w:hAnsi="Times New Roman" w:cs="Times New Roman"/>
          <w:sz w:val="24"/>
          <w:szCs w:val="24"/>
          <w:lang w:val="en-US"/>
        </w:rPr>
        <w:t xml:space="preserve"> </w:t>
      </w:r>
      <w:r w:rsidRPr="00120CF5">
        <w:rPr>
          <w:rFonts w:ascii="Times New Roman" w:hAnsi="Times New Roman" w:cs="Times New Roman"/>
          <w:sz w:val="24"/>
          <w:szCs w:val="24"/>
          <w:lang w:val="en-US"/>
        </w:rPr>
        <w:t>As part of ongoing portfolio calibration, we executed a partial divestment in Prysmian S.p.A., realizing gains following the stock’s recent rally toward its 52-week high while maintaining exposure to long-term opportunities linked to electrification and grid modernization.</w:t>
      </w:r>
      <w:r>
        <w:rPr>
          <w:rFonts w:ascii="Times New Roman" w:hAnsi="Times New Roman" w:cs="Times New Roman"/>
          <w:sz w:val="24"/>
          <w:szCs w:val="24"/>
          <w:lang w:val="en-US"/>
        </w:rPr>
        <w:t xml:space="preserve"> </w:t>
      </w:r>
      <w:r w:rsidRPr="00120CF5">
        <w:rPr>
          <w:rFonts w:ascii="Times New Roman" w:hAnsi="Times New Roman" w:cs="Times New Roman"/>
          <w:sz w:val="24"/>
          <w:szCs w:val="24"/>
          <w:lang w:val="en-US"/>
        </w:rPr>
        <w:t xml:space="preserve">We also completed the divestment of Klarna Group PLC as the position did not evolve in line with our original investment thesis. The capital </w:t>
      </w:r>
      <w:r w:rsidR="00E51B14">
        <w:rPr>
          <w:rFonts w:ascii="Times New Roman" w:hAnsi="Times New Roman" w:cs="Times New Roman"/>
          <w:sz w:val="24"/>
          <w:szCs w:val="24"/>
          <w:lang w:val="en-US"/>
        </w:rPr>
        <w:t xml:space="preserve">is to be </w:t>
      </w:r>
      <w:r w:rsidRPr="00120CF5">
        <w:rPr>
          <w:rFonts w:ascii="Times New Roman" w:hAnsi="Times New Roman" w:cs="Times New Roman"/>
          <w:sz w:val="24"/>
          <w:szCs w:val="24"/>
          <w:lang w:val="en-US"/>
        </w:rPr>
        <w:t>redeployed into higher-conviction opportunities within the portfolio.</w:t>
      </w:r>
      <w:r w:rsidR="00D1535C">
        <w:rPr>
          <w:rFonts w:ascii="Times New Roman" w:hAnsi="Times New Roman" w:cs="Times New Roman"/>
          <w:sz w:val="24"/>
          <w:szCs w:val="24"/>
          <w:lang w:val="en-US"/>
        </w:rPr>
        <w:t xml:space="preserve"> </w:t>
      </w:r>
      <w:r w:rsidRPr="00120CF5">
        <w:rPr>
          <w:rFonts w:ascii="Times New Roman" w:hAnsi="Times New Roman" w:cs="Times New Roman"/>
          <w:sz w:val="24"/>
          <w:szCs w:val="24"/>
          <w:lang w:val="en-US"/>
        </w:rPr>
        <w:t>Finally, we initiated a position in the WisdomTree S&amp;P 500 VIX Short-Term Futures 2.25x Daily Leveraged ETP as a tactical risk-management allocation. The position provides a degree of portfolio protection against potential volatility spikes amid evolving cross-asset dynamics and geopolitical uncertainty while preserving flexibility to redeploy capital opportunistically.</w:t>
      </w:r>
      <w:r w:rsidR="00260FC7">
        <w:rPr>
          <w:rFonts w:ascii="Times New Roman" w:hAnsi="Times New Roman" w:cs="Times New Roman"/>
          <w:sz w:val="24"/>
          <w:szCs w:val="24"/>
          <w:lang w:val="en-US"/>
        </w:rPr>
        <w:t xml:space="preserve"> </w:t>
      </w:r>
    </w:p>
    <w:p w14:paraId="4AD71A3F" w14:textId="7736210A" w:rsidR="00E51B14" w:rsidRPr="00E51B14" w:rsidRDefault="00E51B14" w:rsidP="00E51B14">
      <w:pPr>
        <w:jc w:val="both"/>
        <w:rPr>
          <w:rFonts w:ascii="Times New Roman" w:hAnsi="Times New Roman" w:cs="Times New Roman"/>
          <w:sz w:val="24"/>
          <w:szCs w:val="24"/>
          <w:lang w:val="en-US"/>
        </w:rPr>
      </w:pPr>
      <w:r w:rsidRPr="00E51B14">
        <w:rPr>
          <w:rFonts w:ascii="Times New Roman" w:hAnsi="Times New Roman" w:cs="Times New Roman"/>
          <w:sz w:val="24"/>
          <w:szCs w:val="24"/>
          <w:lang w:val="en-US"/>
        </w:rPr>
        <w:lastRenderedPageBreak/>
        <w:t>Overall, February reinforced a cautiously constructive outlook for global equities. Structural growth drivers, including ongoing corporate earnings momentum and sustained investment</w:t>
      </w:r>
      <w:r>
        <w:rPr>
          <w:rFonts w:ascii="Times New Roman" w:hAnsi="Times New Roman" w:cs="Times New Roman"/>
          <w:sz w:val="24"/>
          <w:szCs w:val="24"/>
          <w:lang w:val="en-US"/>
        </w:rPr>
        <w:t>s</w:t>
      </w:r>
      <w:r w:rsidRPr="00E51B14">
        <w:rPr>
          <w:rFonts w:ascii="Times New Roman" w:hAnsi="Times New Roman" w:cs="Times New Roman"/>
          <w:sz w:val="24"/>
          <w:szCs w:val="24"/>
          <w:lang w:val="en-US"/>
        </w:rPr>
        <w:t>, continue to provide long-term market support. At the same time, the investment environment is becoming more selective and periodically volatile, reflecting short-term market adjustments and the evolving implications of geopolitical and macroeconomic developments.</w:t>
      </w:r>
      <w:r>
        <w:rPr>
          <w:rFonts w:ascii="Times New Roman" w:hAnsi="Times New Roman" w:cs="Times New Roman"/>
          <w:sz w:val="24"/>
          <w:szCs w:val="24"/>
          <w:lang w:val="en-US"/>
        </w:rPr>
        <w:t xml:space="preserve"> </w:t>
      </w:r>
      <w:r w:rsidRPr="00E51B14">
        <w:rPr>
          <w:rFonts w:ascii="Times New Roman" w:hAnsi="Times New Roman" w:cs="Times New Roman"/>
          <w:sz w:val="24"/>
          <w:szCs w:val="24"/>
          <w:lang w:val="en-US"/>
        </w:rPr>
        <w:t>As noted earlier, we do not view the current situation in the Middle East as evolving into a systemic market scenario. Historical data dating back to 1990 suggests that, in the year following periods of peak geopolitical risk, discretionary, technology, and utilities stocks have often delivered positive returns. While near-term market sentiment may react to headlines, these episodes typically prove temporary, with markets ultimately guided by corporate fundamentals, earnings resilience, and structural growth trends.</w:t>
      </w:r>
      <w:r w:rsidR="00FA7BBA">
        <w:rPr>
          <w:rFonts w:ascii="Times New Roman" w:hAnsi="Times New Roman" w:cs="Times New Roman"/>
          <w:sz w:val="24"/>
          <w:szCs w:val="24"/>
          <w:lang w:val="en-US"/>
        </w:rPr>
        <w:t xml:space="preserve"> </w:t>
      </w:r>
      <w:r w:rsidRPr="00E51B14">
        <w:rPr>
          <w:rFonts w:ascii="Times New Roman" w:hAnsi="Times New Roman" w:cs="Times New Roman"/>
          <w:sz w:val="24"/>
          <w:szCs w:val="24"/>
          <w:lang w:val="en-US"/>
        </w:rPr>
        <w:t>In this environment, it is essential to maintain a long-term perspective and avoid being distracted by short-term noise. Disciplined portfolio construction and active risk management remain critical, with a focus on companies possessing sustainable competitive advantages and robust growth potential. By sustaining conviction in high-quality positions while retaining flexibility to respond to market volatility, we aim to navigate fluctuations effectively and capitalize on attractive opportunities as they arise.</w:t>
      </w:r>
    </w:p>
    <w:p w14:paraId="30E0A033" w14:textId="5593298E" w:rsidR="00455DF1" w:rsidRPr="007675EB" w:rsidRDefault="007675EB" w:rsidP="00B00086">
      <w:pPr>
        <w:jc w:val="both"/>
        <w:rPr>
          <w:rFonts w:ascii="Times New Roman" w:hAnsi="Times New Roman" w:cs="Times New Roman"/>
          <w:sz w:val="24"/>
          <w:szCs w:val="24"/>
          <w:lang w:val="en-US"/>
        </w:rPr>
      </w:pPr>
      <w:r w:rsidRPr="007675EB">
        <w:rPr>
          <w:rFonts w:ascii="Times New Roman" w:hAnsi="Times New Roman" w:cs="Times New Roman"/>
          <w:sz w:val="24"/>
          <w:szCs w:val="24"/>
          <w:lang w:val="en-US"/>
        </w:rPr>
        <w:t xml:space="preserve">Thank you for your continued trust and support. </w:t>
      </w:r>
    </w:p>
    <w:p w14:paraId="5B1A88D0" w14:textId="3A0C0E9A" w:rsidR="007675EB" w:rsidRPr="007675EB" w:rsidRDefault="007675EB" w:rsidP="007675EB">
      <w:pPr>
        <w:jc w:val="both"/>
        <w:rPr>
          <w:rFonts w:ascii="Times New Roman" w:hAnsi="Times New Roman" w:cs="Times New Roman"/>
          <w:sz w:val="24"/>
          <w:szCs w:val="24"/>
          <w:lang w:val="en-US"/>
        </w:rPr>
      </w:pPr>
      <w:r w:rsidRPr="007675EB">
        <w:rPr>
          <w:rFonts w:ascii="Times New Roman" w:hAnsi="Times New Roman" w:cs="Times New Roman"/>
          <w:sz w:val="24"/>
          <w:szCs w:val="24"/>
          <w:lang w:val="en-US"/>
        </w:rPr>
        <w:t>Stefan Wiederkehr &amp; Karin Wiederkeh</w:t>
      </w:r>
      <w:r w:rsidR="00534FEB">
        <w:rPr>
          <w:rFonts w:ascii="Times New Roman" w:hAnsi="Times New Roman" w:cs="Times New Roman"/>
          <w:sz w:val="24"/>
          <w:szCs w:val="24"/>
          <w:lang w:val="en-US"/>
        </w:rPr>
        <w:t>r</w:t>
      </w:r>
    </w:p>
    <w:p w14:paraId="23FF8947" w14:textId="77777777" w:rsidR="007675EB" w:rsidRPr="007675EB" w:rsidRDefault="007675EB" w:rsidP="007675EB">
      <w:pPr>
        <w:jc w:val="both"/>
        <w:rPr>
          <w:rFonts w:ascii="Times New Roman" w:hAnsi="Times New Roman" w:cs="Times New Roman"/>
          <w:sz w:val="24"/>
          <w:szCs w:val="24"/>
          <w:lang w:val="en-US"/>
        </w:rPr>
      </w:pPr>
    </w:p>
    <w:p w14:paraId="7DBBE8C9" w14:textId="77777777" w:rsidR="007675EB" w:rsidRDefault="007675EB" w:rsidP="007675EB">
      <w:pPr>
        <w:jc w:val="both"/>
        <w:rPr>
          <w:sz w:val="24"/>
          <w:szCs w:val="24"/>
          <w:lang w:val="en-US"/>
        </w:rPr>
      </w:pPr>
    </w:p>
    <w:p w14:paraId="0B5777B6" w14:textId="77777777" w:rsidR="00F4110E" w:rsidRDefault="00F4110E" w:rsidP="007675EB">
      <w:pPr>
        <w:jc w:val="both"/>
        <w:rPr>
          <w:sz w:val="24"/>
          <w:szCs w:val="24"/>
          <w:lang w:val="en-US"/>
        </w:rPr>
      </w:pPr>
    </w:p>
    <w:p w14:paraId="51E33E3F" w14:textId="77777777" w:rsidR="00317AC4" w:rsidRDefault="00317AC4" w:rsidP="007675EB">
      <w:pPr>
        <w:jc w:val="both"/>
        <w:rPr>
          <w:sz w:val="24"/>
          <w:szCs w:val="24"/>
          <w:lang w:val="en-US"/>
        </w:rPr>
      </w:pPr>
    </w:p>
    <w:p w14:paraId="6AC82F74" w14:textId="77777777" w:rsidR="00DB3E72" w:rsidRDefault="00DB3E72" w:rsidP="007675EB">
      <w:pPr>
        <w:jc w:val="both"/>
        <w:rPr>
          <w:sz w:val="24"/>
          <w:szCs w:val="24"/>
          <w:lang w:val="en-US"/>
        </w:rPr>
      </w:pPr>
    </w:p>
    <w:p w14:paraId="65205C57" w14:textId="77777777" w:rsidR="000B7DCE" w:rsidRDefault="000B7DCE" w:rsidP="007675EB">
      <w:pPr>
        <w:jc w:val="both"/>
        <w:rPr>
          <w:sz w:val="24"/>
          <w:szCs w:val="24"/>
          <w:lang w:val="en-US"/>
        </w:rPr>
      </w:pPr>
    </w:p>
    <w:p w14:paraId="3CECD329" w14:textId="77777777" w:rsidR="000B7DCE" w:rsidRDefault="000B7DCE" w:rsidP="007675EB">
      <w:pPr>
        <w:jc w:val="both"/>
        <w:rPr>
          <w:sz w:val="24"/>
          <w:szCs w:val="24"/>
          <w:lang w:val="en-US"/>
        </w:rPr>
      </w:pPr>
    </w:p>
    <w:p w14:paraId="2A1C87E4" w14:textId="77777777" w:rsidR="00DB3E72" w:rsidRDefault="00DB3E72" w:rsidP="007675EB">
      <w:pPr>
        <w:jc w:val="both"/>
        <w:rPr>
          <w:sz w:val="24"/>
          <w:szCs w:val="24"/>
          <w:lang w:val="en-US"/>
        </w:rPr>
      </w:pPr>
    </w:p>
    <w:p w14:paraId="324BB84B" w14:textId="77777777" w:rsidR="00DB3E72" w:rsidRDefault="00DB3E72" w:rsidP="007675EB">
      <w:pPr>
        <w:jc w:val="both"/>
        <w:rPr>
          <w:sz w:val="24"/>
          <w:szCs w:val="24"/>
          <w:lang w:val="en-US"/>
        </w:rPr>
      </w:pPr>
    </w:p>
    <w:p w14:paraId="3007CD60" w14:textId="77777777" w:rsidR="00DB3E72" w:rsidRDefault="00DB3E72" w:rsidP="007675EB">
      <w:pPr>
        <w:jc w:val="both"/>
        <w:rPr>
          <w:sz w:val="24"/>
          <w:szCs w:val="24"/>
          <w:lang w:val="en-US"/>
        </w:rPr>
      </w:pPr>
    </w:p>
    <w:p w14:paraId="697C8A03" w14:textId="77777777" w:rsidR="00DB3E72" w:rsidRDefault="00DB3E72" w:rsidP="007675EB">
      <w:pPr>
        <w:jc w:val="both"/>
        <w:rPr>
          <w:sz w:val="24"/>
          <w:szCs w:val="24"/>
          <w:lang w:val="en-US"/>
        </w:rPr>
      </w:pPr>
    </w:p>
    <w:p w14:paraId="08D63720" w14:textId="77777777" w:rsidR="00274896" w:rsidRDefault="00274896" w:rsidP="007675EB">
      <w:pPr>
        <w:jc w:val="both"/>
        <w:rPr>
          <w:sz w:val="24"/>
          <w:szCs w:val="24"/>
          <w:lang w:val="en-US"/>
        </w:rPr>
      </w:pPr>
    </w:p>
    <w:p w14:paraId="29B8C19E" w14:textId="77777777" w:rsidR="00274896" w:rsidRDefault="00274896" w:rsidP="007675EB">
      <w:pPr>
        <w:jc w:val="both"/>
        <w:rPr>
          <w:sz w:val="24"/>
          <w:szCs w:val="24"/>
          <w:lang w:val="en-US"/>
        </w:rPr>
      </w:pPr>
    </w:p>
    <w:p w14:paraId="098D19DF" w14:textId="77777777" w:rsidR="00274896" w:rsidRDefault="00274896" w:rsidP="007675EB">
      <w:pPr>
        <w:jc w:val="both"/>
        <w:rPr>
          <w:sz w:val="24"/>
          <w:szCs w:val="24"/>
          <w:lang w:val="en-US"/>
        </w:rPr>
      </w:pPr>
    </w:p>
    <w:p w14:paraId="49A0A761" w14:textId="77777777" w:rsidR="00893780" w:rsidRDefault="00893780" w:rsidP="007675EB">
      <w:pPr>
        <w:jc w:val="both"/>
        <w:rPr>
          <w:sz w:val="24"/>
          <w:szCs w:val="24"/>
          <w:lang w:val="en-US"/>
        </w:rPr>
      </w:pPr>
    </w:p>
    <w:p w14:paraId="2E3837D3" w14:textId="77777777" w:rsidR="00337FB7" w:rsidRDefault="00337FB7" w:rsidP="007675EB">
      <w:pPr>
        <w:jc w:val="both"/>
        <w:rPr>
          <w:sz w:val="24"/>
          <w:szCs w:val="24"/>
          <w:lang w:val="en-US"/>
        </w:rPr>
      </w:pPr>
    </w:p>
    <w:p w14:paraId="5D35851C" w14:textId="50C699B2" w:rsidR="006C74BD" w:rsidRPr="00793B66" w:rsidRDefault="006D5E62" w:rsidP="006C74BD">
      <w:pPr>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T</w:t>
      </w:r>
      <w:r w:rsidR="006C74BD" w:rsidRPr="00793B66">
        <w:rPr>
          <w:rFonts w:ascii="Times New Roman" w:hAnsi="Times New Roman" w:cs="Times New Roman"/>
          <w:sz w:val="24"/>
          <w:szCs w:val="24"/>
          <w:lang w:val="en-US"/>
        </w:rPr>
        <w:t xml:space="preserve">his document is a marketing advertisement and has been prepared by MRB Fund Partners AG for information and marketing purposes only. All information and contents of this fund commentary are based on carefully selected sources that have been deemed reliable. Nevertheless, despite careful compilation of the information and content, MRB Fund Partners AG cannot assume any liability or guarantee for its correctness, completeness, accuracy, timeliness or availability. Furthermore, this fund commentary has neither been reviewed nor approved by a supervisory authority. The information and content legally constitute advertising messages that do not fulfil all legal requirements. This fund commentary is aimed at retail clients within the meaning of the European Financial Markets Directive and presents this investment opportunity as an entrepreneurial investment which, in addition to opportunities for returns, also involves risks up to and including the total loss of the invested capital. An investment decision may only be made </w:t>
      </w:r>
      <w:proofErr w:type="gramStart"/>
      <w:r w:rsidR="006C74BD" w:rsidRPr="00793B66">
        <w:rPr>
          <w:rFonts w:ascii="Times New Roman" w:hAnsi="Times New Roman" w:cs="Times New Roman"/>
          <w:sz w:val="24"/>
          <w:szCs w:val="24"/>
          <w:lang w:val="en-US"/>
        </w:rPr>
        <w:t>on the basis of</w:t>
      </w:r>
      <w:proofErr w:type="gramEnd"/>
      <w:r w:rsidR="006C74BD" w:rsidRPr="00793B66">
        <w:rPr>
          <w:rFonts w:ascii="Times New Roman" w:hAnsi="Times New Roman" w:cs="Times New Roman"/>
          <w:sz w:val="24"/>
          <w:szCs w:val="24"/>
          <w:lang w:val="en-US"/>
        </w:rPr>
        <w:t xml:space="preserve"> the information provided to investors as required by law. Please read the constituent documents, the prospectus and the key information documents before making a final investment decision. This fund commentary must be read in conjunction with the constituent documents or the prospectus and the key information documents for packaged investment products and insurance-based investment products (PRIIPs), if available under the relevant fund law, as these documents alone are authoritative. It is therefore necessary to read these documents carefully and in full before purchasing units </w:t>
      </w:r>
      <w:proofErr w:type="gramStart"/>
      <w:r w:rsidR="006C74BD" w:rsidRPr="00793B66">
        <w:rPr>
          <w:rFonts w:ascii="Times New Roman" w:hAnsi="Times New Roman" w:cs="Times New Roman"/>
          <w:sz w:val="24"/>
          <w:szCs w:val="24"/>
          <w:lang w:val="en-US"/>
        </w:rPr>
        <w:t>in</w:t>
      </w:r>
      <w:proofErr w:type="gramEnd"/>
      <w:r w:rsidR="006C74BD" w:rsidRPr="00793B66">
        <w:rPr>
          <w:rFonts w:ascii="Times New Roman" w:hAnsi="Times New Roman" w:cs="Times New Roman"/>
          <w:sz w:val="24"/>
          <w:szCs w:val="24"/>
          <w:lang w:val="en-US"/>
        </w:rPr>
        <w:t xml:space="preserve"> this fund. A subscription for units will only be accepted </w:t>
      </w:r>
      <w:proofErr w:type="gramStart"/>
      <w:r w:rsidR="006C74BD" w:rsidRPr="00793B66">
        <w:rPr>
          <w:rFonts w:ascii="Times New Roman" w:hAnsi="Times New Roman" w:cs="Times New Roman"/>
          <w:sz w:val="24"/>
          <w:szCs w:val="24"/>
          <w:lang w:val="en-US"/>
        </w:rPr>
        <w:t>on the basis of</w:t>
      </w:r>
      <w:proofErr w:type="gramEnd"/>
      <w:r w:rsidR="006C74BD" w:rsidRPr="00793B66">
        <w:rPr>
          <w:rFonts w:ascii="Times New Roman" w:hAnsi="Times New Roman" w:cs="Times New Roman"/>
          <w:sz w:val="24"/>
          <w:szCs w:val="24"/>
          <w:lang w:val="en-US"/>
        </w:rPr>
        <w:t xml:space="preserve"> the constituent documents, the prospectus and the key information documents for packaged investment products and insurance-based investment products (PRIIPs). No one should act </w:t>
      </w:r>
      <w:proofErr w:type="gramStart"/>
      <w:r w:rsidR="006C74BD" w:rsidRPr="00793B66">
        <w:rPr>
          <w:rFonts w:ascii="Times New Roman" w:hAnsi="Times New Roman" w:cs="Times New Roman"/>
          <w:sz w:val="24"/>
          <w:szCs w:val="24"/>
          <w:lang w:val="en-US"/>
        </w:rPr>
        <w:t>on the basis of</w:t>
      </w:r>
      <w:proofErr w:type="gramEnd"/>
      <w:r w:rsidR="006C74BD" w:rsidRPr="00793B66">
        <w:rPr>
          <w:rFonts w:ascii="Times New Roman" w:hAnsi="Times New Roman" w:cs="Times New Roman"/>
          <w:sz w:val="24"/>
          <w:szCs w:val="24"/>
          <w:lang w:val="en-US"/>
        </w:rPr>
        <w:t xml:space="preserve"> the information contained in this fund commentary without thoroughly analyzing the situation in question and obtaining appropriate professional advice from competent third parties. If available under the relevant fund law, the constitutive documents, the prospectus and the key information documents for packaged investment products and insurance-based investment products (PRIIPs) as well as the current annual and semi-annual reports can be obtained free of charge from the management company, the depositary and all authorized distributors in Switzerland and abroad. The information in this fund commentary is for information purposes only and does not contain any contractual or other obligations. It should not be construed as an offer or an advertisement soliciting the purchase of shares in this fund. Furthermore, this fund commentary does not constitute investment advice. The information and contents of this fund commentary may also be unsuitable or inapplicable for certain investors. It is intended solely for the purpose of providing information on your own responsibility and cannot replace individual advice. This fund commentary does not </w:t>
      </w:r>
      <w:proofErr w:type="gramStart"/>
      <w:r w:rsidR="006C74BD" w:rsidRPr="00793B66">
        <w:rPr>
          <w:rFonts w:ascii="Times New Roman" w:hAnsi="Times New Roman" w:cs="Times New Roman"/>
          <w:sz w:val="24"/>
          <w:szCs w:val="24"/>
          <w:lang w:val="en-US"/>
        </w:rPr>
        <w:t>take into account</w:t>
      </w:r>
      <w:proofErr w:type="gramEnd"/>
      <w:r w:rsidR="006C74BD" w:rsidRPr="00793B66">
        <w:rPr>
          <w:rFonts w:ascii="Times New Roman" w:hAnsi="Times New Roman" w:cs="Times New Roman"/>
          <w:sz w:val="24"/>
          <w:szCs w:val="24"/>
          <w:lang w:val="en-US"/>
        </w:rPr>
        <w:t xml:space="preserve"> specific or future investment objectives, financial or tax circumstances or other special needs of an investor. The value and income of the fund described in this fund commentary may go down as well as up. It is possible that an investor may not get back the amount originally invested or may not get it back in full. Past performance is not a reliable indicator of future results and the performance shown does not </w:t>
      </w:r>
      <w:proofErr w:type="gramStart"/>
      <w:r w:rsidR="006C74BD" w:rsidRPr="00793B66">
        <w:rPr>
          <w:rFonts w:ascii="Times New Roman" w:hAnsi="Times New Roman" w:cs="Times New Roman"/>
          <w:sz w:val="24"/>
          <w:szCs w:val="24"/>
          <w:lang w:val="en-US"/>
        </w:rPr>
        <w:t>take into account</w:t>
      </w:r>
      <w:proofErr w:type="gramEnd"/>
      <w:r w:rsidR="006C74BD" w:rsidRPr="00793B66">
        <w:rPr>
          <w:rFonts w:ascii="Times New Roman" w:hAnsi="Times New Roman" w:cs="Times New Roman"/>
          <w:sz w:val="24"/>
          <w:szCs w:val="24"/>
          <w:lang w:val="en-US"/>
        </w:rPr>
        <w:t xml:space="preserve"> the commissions and costs incurred on the subscription and redemption of fund units. Furthermore, the fund currency is subject to exchange rate fluctuations if the reference currency of a unit class is not the same as the fund currency. This fund commentary may contain forward-looking statements, in particular statements about future market developments. Future performance is neither expressly nor implicitly guaranteed or promised. Although all forward-looking statements contained in this fund commentary are based on our carefully reasoned judgements and expectations, uncertainties and various risk </w:t>
      </w:r>
      <w:r w:rsidR="006C74BD" w:rsidRPr="00793B66">
        <w:rPr>
          <w:rFonts w:ascii="Times New Roman" w:hAnsi="Times New Roman" w:cs="Times New Roman"/>
          <w:sz w:val="24"/>
          <w:szCs w:val="24"/>
          <w:lang w:val="en-US"/>
        </w:rPr>
        <w:lastRenderedPageBreak/>
        <w:t>factors could cause actual developments and results to differ materially from our statements. Further information on public distribution in the individual countries can be found in the constituent documents, the prospectus and the key information documents for packaged investment products and insurance-based investment products (PRIIPs), if available under the respective fund law. Due to different authorization procedures, no guarantee can be given that the fund or any of its sub-funds are or will be authorized for distribution in every country at the same time. In countries in which the fund is not authorized for public distribution, it can only be distributed - in accordance with local regulations - as a "private placement" or to institutional investors. Fund units are not offered for sale in countries in which such a sale is not permitted by law. This fund is not registered under the United States Securities Act of 1933. Fund units may therefore not be offered or distributed in the USA for or on behalf of a US person (in accordance with the definitions in US federal laws relating to securities, commodities and taxes, including "Regulation S" under the United States Securities Act of 1993). Subsequent transfers of fund units to the United States and/or to US persons are not permitted. Any documents relating to this fund may not be circulated in the United States.</w:t>
      </w:r>
    </w:p>
    <w:p w14:paraId="69406DCB" w14:textId="77777777" w:rsidR="006C74BD" w:rsidRPr="00793B66" w:rsidRDefault="006C74BD" w:rsidP="006C74BD">
      <w:pPr>
        <w:jc w:val="both"/>
        <w:rPr>
          <w:rFonts w:ascii="Times New Roman" w:hAnsi="Times New Roman" w:cs="Times New Roman"/>
          <w:sz w:val="24"/>
          <w:szCs w:val="24"/>
          <w:lang w:val="en-US"/>
        </w:rPr>
      </w:pPr>
      <w:proofErr w:type="gramStart"/>
      <w:r w:rsidRPr="00793B66">
        <w:rPr>
          <w:rFonts w:ascii="Times New Roman" w:hAnsi="Times New Roman" w:cs="Times New Roman"/>
          <w:sz w:val="24"/>
          <w:szCs w:val="24"/>
          <w:lang w:val="en-US"/>
        </w:rPr>
        <w:t>@MRB</w:t>
      </w:r>
      <w:proofErr w:type="gramEnd"/>
      <w:r w:rsidRPr="00793B66">
        <w:rPr>
          <w:rFonts w:ascii="Times New Roman" w:hAnsi="Times New Roman" w:cs="Times New Roman"/>
          <w:sz w:val="24"/>
          <w:szCs w:val="24"/>
          <w:lang w:val="en-US"/>
        </w:rPr>
        <w:t xml:space="preserve"> FUND PARTNERS AG. All rights reserved.</w:t>
      </w:r>
    </w:p>
    <w:p w14:paraId="67C0F0CA" w14:textId="77777777" w:rsidR="006C74BD" w:rsidRPr="00E62FFC" w:rsidRDefault="006C74BD" w:rsidP="006C74BD">
      <w:pPr>
        <w:jc w:val="both"/>
        <w:rPr>
          <w:lang w:val="en-US"/>
        </w:rPr>
      </w:pPr>
    </w:p>
    <w:p w14:paraId="72A65497" w14:textId="77777777" w:rsidR="006C74BD" w:rsidRPr="006C74BD" w:rsidRDefault="006C74BD" w:rsidP="007675EB">
      <w:pPr>
        <w:jc w:val="both"/>
        <w:rPr>
          <w:sz w:val="24"/>
          <w:szCs w:val="24"/>
          <w:lang w:val="en-US"/>
        </w:rPr>
      </w:pPr>
    </w:p>
    <w:sectPr w:rsidR="006C74BD" w:rsidRPr="006C74BD">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1DC7D2" w14:textId="77777777" w:rsidR="0073698E" w:rsidRDefault="0073698E" w:rsidP="007675EB">
      <w:pPr>
        <w:spacing w:after="0" w:line="240" w:lineRule="auto"/>
      </w:pPr>
      <w:r>
        <w:separator/>
      </w:r>
    </w:p>
  </w:endnote>
  <w:endnote w:type="continuationSeparator" w:id="0">
    <w:p w14:paraId="27ACEECE" w14:textId="77777777" w:rsidR="0073698E" w:rsidRDefault="0073698E" w:rsidP="007675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97FAE8" w14:textId="77777777" w:rsidR="0073698E" w:rsidRDefault="0073698E" w:rsidP="007675EB">
      <w:pPr>
        <w:spacing w:after="0" w:line="240" w:lineRule="auto"/>
      </w:pPr>
      <w:r>
        <w:separator/>
      </w:r>
    </w:p>
  </w:footnote>
  <w:footnote w:type="continuationSeparator" w:id="0">
    <w:p w14:paraId="4724B90A" w14:textId="77777777" w:rsidR="0073698E" w:rsidRDefault="0073698E" w:rsidP="007675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4134F" w14:textId="0F94A07F" w:rsidR="003B1A81" w:rsidRPr="00B5274F" w:rsidRDefault="003B1A81" w:rsidP="003B1A81">
    <w:pPr>
      <w:spacing w:after="0"/>
      <w:jc w:val="center"/>
      <w:rPr>
        <w:rFonts w:ascii="Times New Roman" w:hAnsi="Times New Roman" w:cs="Times New Roman"/>
        <w:sz w:val="20"/>
        <w:szCs w:val="20"/>
        <w:lang w:val="en-US"/>
      </w:rPr>
    </w:pPr>
    <w:r w:rsidRPr="00B5274F">
      <w:rPr>
        <w:rFonts w:ascii="Times New Roman" w:hAnsi="Times New Roman" w:cs="Times New Roman"/>
        <w:sz w:val="20"/>
        <w:szCs w:val="20"/>
        <w:lang w:val="en-US"/>
      </w:rPr>
      <w:t xml:space="preserve">Data as of </w:t>
    </w:r>
    <w:r w:rsidR="002857F1">
      <w:rPr>
        <w:rFonts w:ascii="Times New Roman" w:hAnsi="Times New Roman" w:cs="Times New Roman"/>
        <w:sz w:val="20"/>
        <w:szCs w:val="20"/>
        <w:lang w:val="en-US"/>
      </w:rPr>
      <w:t>28.02</w:t>
    </w:r>
    <w:r w:rsidR="00EC5E74">
      <w:rPr>
        <w:rFonts w:ascii="Times New Roman" w:hAnsi="Times New Roman" w:cs="Times New Roman"/>
        <w:sz w:val="20"/>
        <w:szCs w:val="20"/>
        <w:lang w:val="en-US"/>
      </w:rPr>
      <w:t>.2026</w:t>
    </w:r>
    <w:r w:rsidRPr="00B5274F">
      <w:rPr>
        <w:rFonts w:ascii="Times New Roman" w:hAnsi="Times New Roman" w:cs="Times New Roman"/>
        <w:sz w:val="20"/>
        <w:szCs w:val="20"/>
        <w:lang w:val="en-US"/>
      </w:rPr>
      <w:t xml:space="preserve"> - Marketing Communication</w:t>
    </w:r>
  </w:p>
  <w:p w14:paraId="1EC58ED9" w14:textId="77777777" w:rsidR="003B1A81" w:rsidRPr="00B5274F" w:rsidRDefault="003B1A81" w:rsidP="003B1A81">
    <w:pPr>
      <w:spacing w:after="0"/>
      <w:jc w:val="center"/>
      <w:rPr>
        <w:rFonts w:ascii="Times New Roman" w:hAnsi="Times New Roman" w:cs="Times New Roman"/>
        <w:sz w:val="20"/>
        <w:szCs w:val="20"/>
        <w:lang w:val="en-US"/>
      </w:rPr>
    </w:pPr>
  </w:p>
  <w:p w14:paraId="2E324174" w14:textId="64FBF58E" w:rsidR="007675EB" w:rsidRPr="003B1A81" w:rsidRDefault="003B1A81" w:rsidP="003B1A81">
    <w:pPr>
      <w:pStyle w:val="Kopfzeile"/>
      <w:jc w:val="center"/>
    </w:pPr>
    <w:r>
      <w:rPr>
        <w:noProof/>
      </w:rPr>
      <w:drawing>
        <wp:inline distT="0" distB="0" distL="0" distR="0" wp14:anchorId="29E76EE9" wp14:editId="2E96A9C7">
          <wp:extent cx="1609725" cy="349885"/>
          <wp:effectExtent l="0" t="0" r="9525"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k 4"/>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09725" cy="349885"/>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09B"/>
    <w:rsid w:val="00000F6C"/>
    <w:rsid w:val="000162EC"/>
    <w:rsid w:val="000308BD"/>
    <w:rsid w:val="00062B46"/>
    <w:rsid w:val="000675BC"/>
    <w:rsid w:val="00071CF1"/>
    <w:rsid w:val="000A7079"/>
    <w:rsid w:val="000B7DCE"/>
    <w:rsid w:val="000E05FD"/>
    <w:rsid w:val="001038D1"/>
    <w:rsid w:val="00120CF5"/>
    <w:rsid w:val="0013127D"/>
    <w:rsid w:val="00196821"/>
    <w:rsid w:val="001A4FF7"/>
    <w:rsid w:val="001A5E98"/>
    <w:rsid w:val="001A799D"/>
    <w:rsid w:val="001C0DE3"/>
    <w:rsid w:val="001D1906"/>
    <w:rsid w:val="001D5D0A"/>
    <w:rsid w:val="001D766B"/>
    <w:rsid w:val="001E2E50"/>
    <w:rsid w:val="001F1425"/>
    <w:rsid w:val="001F31BF"/>
    <w:rsid w:val="0020209B"/>
    <w:rsid w:val="002112AA"/>
    <w:rsid w:val="0023056C"/>
    <w:rsid w:val="002463B0"/>
    <w:rsid w:val="00260FC7"/>
    <w:rsid w:val="00274896"/>
    <w:rsid w:val="00276316"/>
    <w:rsid w:val="0028561C"/>
    <w:rsid w:val="002857F1"/>
    <w:rsid w:val="002B7BB5"/>
    <w:rsid w:val="002F12EA"/>
    <w:rsid w:val="002F6E24"/>
    <w:rsid w:val="00310781"/>
    <w:rsid w:val="00317AC4"/>
    <w:rsid w:val="00337FB7"/>
    <w:rsid w:val="00366D2B"/>
    <w:rsid w:val="00383F2E"/>
    <w:rsid w:val="00392EEA"/>
    <w:rsid w:val="003B1A81"/>
    <w:rsid w:val="003B33B0"/>
    <w:rsid w:val="003C278F"/>
    <w:rsid w:val="00417DFD"/>
    <w:rsid w:val="00436F9A"/>
    <w:rsid w:val="00440F77"/>
    <w:rsid w:val="00455DF1"/>
    <w:rsid w:val="00482A5B"/>
    <w:rsid w:val="00485781"/>
    <w:rsid w:val="004A07CF"/>
    <w:rsid w:val="004A0B4C"/>
    <w:rsid w:val="004B070F"/>
    <w:rsid w:val="004C6934"/>
    <w:rsid w:val="004D6C18"/>
    <w:rsid w:val="004E5044"/>
    <w:rsid w:val="00503149"/>
    <w:rsid w:val="00521339"/>
    <w:rsid w:val="00524305"/>
    <w:rsid w:val="00527DC1"/>
    <w:rsid w:val="00534FEB"/>
    <w:rsid w:val="0057589E"/>
    <w:rsid w:val="005A18C4"/>
    <w:rsid w:val="005A3C76"/>
    <w:rsid w:val="005B3129"/>
    <w:rsid w:val="005B32A1"/>
    <w:rsid w:val="005E2C4D"/>
    <w:rsid w:val="006203B2"/>
    <w:rsid w:val="006320B3"/>
    <w:rsid w:val="00633091"/>
    <w:rsid w:val="00637617"/>
    <w:rsid w:val="0064404A"/>
    <w:rsid w:val="00652F22"/>
    <w:rsid w:val="00661183"/>
    <w:rsid w:val="00677EF4"/>
    <w:rsid w:val="00681248"/>
    <w:rsid w:val="006928FB"/>
    <w:rsid w:val="006B167A"/>
    <w:rsid w:val="006C4D9E"/>
    <w:rsid w:val="006C74BD"/>
    <w:rsid w:val="006D2090"/>
    <w:rsid w:val="006D5E62"/>
    <w:rsid w:val="006D6F4B"/>
    <w:rsid w:val="006E5B66"/>
    <w:rsid w:val="007208E6"/>
    <w:rsid w:val="00722500"/>
    <w:rsid w:val="00730C52"/>
    <w:rsid w:val="0073698E"/>
    <w:rsid w:val="00744F1C"/>
    <w:rsid w:val="007675EB"/>
    <w:rsid w:val="007741C1"/>
    <w:rsid w:val="007845FC"/>
    <w:rsid w:val="007C1B31"/>
    <w:rsid w:val="007C4C0F"/>
    <w:rsid w:val="007D0BBB"/>
    <w:rsid w:val="00803A8C"/>
    <w:rsid w:val="0084631A"/>
    <w:rsid w:val="00893780"/>
    <w:rsid w:val="008B16B2"/>
    <w:rsid w:val="008E42D7"/>
    <w:rsid w:val="008F4C06"/>
    <w:rsid w:val="00906C55"/>
    <w:rsid w:val="00917E1B"/>
    <w:rsid w:val="00933FB3"/>
    <w:rsid w:val="00936A46"/>
    <w:rsid w:val="00937455"/>
    <w:rsid w:val="00944131"/>
    <w:rsid w:val="00944525"/>
    <w:rsid w:val="00975AFD"/>
    <w:rsid w:val="009962A2"/>
    <w:rsid w:val="009A4670"/>
    <w:rsid w:val="009A6142"/>
    <w:rsid w:val="009D25BB"/>
    <w:rsid w:val="009F0695"/>
    <w:rsid w:val="00A31DD4"/>
    <w:rsid w:val="00A36F82"/>
    <w:rsid w:val="00A4354F"/>
    <w:rsid w:val="00A52FE6"/>
    <w:rsid w:val="00A63CD9"/>
    <w:rsid w:val="00A649B7"/>
    <w:rsid w:val="00A66CF3"/>
    <w:rsid w:val="00A70275"/>
    <w:rsid w:val="00AC280D"/>
    <w:rsid w:val="00AC35F6"/>
    <w:rsid w:val="00AF2DBA"/>
    <w:rsid w:val="00AF6B15"/>
    <w:rsid w:val="00B00086"/>
    <w:rsid w:val="00B502BC"/>
    <w:rsid w:val="00B63879"/>
    <w:rsid w:val="00B67059"/>
    <w:rsid w:val="00B91EAD"/>
    <w:rsid w:val="00BB397C"/>
    <w:rsid w:val="00BC18D8"/>
    <w:rsid w:val="00BD5188"/>
    <w:rsid w:val="00C01381"/>
    <w:rsid w:val="00C11B29"/>
    <w:rsid w:val="00C11F84"/>
    <w:rsid w:val="00C32E24"/>
    <w:rsid w:val="00C6612A"/>
    <w:rsid w:val="00C94DE7"/>
    <w:rsid w:val="00CA2AB8"/>
    <w:rsid w:val="00CA787F"/>
    <w:rsid w:val="00CC3730"/>
    <w:rsid w:val="00CE04B1"/>
    <w:rsid w:val="00CF779D"/>
    <w:rsid w:val="00CF7CD7"/>
    <w:rsid w:val="00D1535C"/>
    <w:rsid w:val="00D220C8"/>
    <w:rsid w:val="00D222AC"/>
    <w:rsid w:val="00D321E1"/>
    <w:rsid w:val="00D5056F"/>
    <w:rsid w:val="00D569D4"/>
    <w:rsid w:val="00D73348"/>
    <w:rsid w:val="00DA5CE0"/>
    <w:rsid w:val="00DB3E72"/>
    <w:rsid w:val="00DB41FE"/>
    <w:rsid w:val="00DC228E"/>
    <w:rsid w:val="00E1368A"/>
    <w:rsid w:val="00E15637"/>
    <w:rsid w:val="00E15BAA"/>
    <w:rsid w:val="00E45B26"/>
    <w:rsid w:val="00E51B14"/>
    <w:rsid w:val="00E568E8"/>
    <w:rsid w:val="00E67BF5"/>
    <w:rsid w:val="00E74107"/>
    <w:rsid w:val="00E90739"/>
    <w:rsid w:val="00EB4082"/>
    <w:rsid w:val="00EB60E3"/>
    <w:rsid w:val="00EC5E74"/>
    <w:rsid w:val="00ED5A66"/>
    <w:rsid w:val="00ED6BC9"/>
    <w:rsid w:val="00EE1176"/>
    <w:rsid w:val="00EF77BF"/>
    <w:rsid w:val="00F4110E"/>
    <w:rsid w:val="00F744BC"/>
    <w:rsid w:val="00F84ACA"/>
    <w:rsid w:val="00F91715"/>
    <w:rsid w:val="00F9199F"/>
    <w:rsid w:val="00F95746"/>
    <w:rsid w:val="00F96277"/>
    <w:rsid w:val="00F97D94"/>
    <w:rsid w:val="00FA1CFD"/>
    <w:rsid w:val="00FA7BBA"/>
    <w:rsid w:val="00FB58A2"/>
    <w:rsid w:val="00FC6E09"/>
    <w:rsid w:val="00FD03B4"/>
    <w:rsid w:val="00FF113F"/>
    <w:rsid w:val="00FF7B7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7C9EB"/>
  <w15:chartTrackingRefBased/>
  <w15:docId w15:val="{16978C48-396A-4CB7-AEB1-350DC312A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2020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2020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20209B"/>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20209B"/>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20209B"/>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20209B"/>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0209B"/>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0209B"/>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0209B"/>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0209B"/>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20209B"/>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20209B"/>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20209B"/>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20209B"/>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20209B"/>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0209B"/>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0209B"/>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0209B"/>
    <w:rPr>
      <w:rFonts w:eastAsiaTheme="majorEastAsia" w:cstheme="majorBidi"/>
      <w:color w:val="272727" w:themeColor="text1" w:themeTint="D8"/>
    </w:rPr>
  </w:style>
  <w:style w:type="paragraph" w:styleId="Titel">
    <w:name w:val="Title"/>
    <w:basedOn w:val="Standard"/>
    <w:next w:val="Standard"/>
    <w:link w:val="TitelZchn"/>
    <w:uiPriority w:val="10"/>
    <w:qFormat/>
    <w:rsid w:val="002020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0209B"/>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0209B"/>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0209B"/>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0209B"/>
    <w:pPr>
      <w:spacing w:before="160"/>
      <w:jc w:val="center"/>
    </w:pPr>
    <w:rPr>
      <w:i/>
      <w:iCs/>
      <w:color w:val="404040" w:themeColor="text1" w:themeTint="BF"/>
    </w:rPr>
  </w:style>
  <w:style w:type="character" w:customStyle="1" w:styleId="ZitatZchn">
    <w:name w:val="Zitat Zchn"/>
    <w:basedOn w:val="Absatz-Standardschriftart"/>
    <w:link w:val="Zitat"/>
    <w:uiPriority w:val="29"/>
    <w:rsid w:val="0020209B"/>
    <w:rPr>
      <w:i/>
      <w:iCs/>
      <w:color w:val="404040" w:themeColor="text1" w:themeTint="BF"/>
    </w:rPr>
  </w:style>
  <w:style w:type="paragraph" w:styleId="Listenabsatz">
    <w:name w:val="List Paragraph"/>
    <w:basedOn w:val="Standard"/>
    <w:uiPriority w:val="34"/>
    <w:qFormat/>
    <w:rsid w:val="0020209B"/>
    <w:pPr>
      <w:ind w:left="720"/>
      <w:contextualSpacing/>
    </w:pPr>
  </w:style>
  <w:style w:type="character" w:styleId="IntensiveHervorhebung">
    <w:name w:val="Intense Emphasis"/>
    <w:basedOn w:val="Absatz-Standardschriftart"/>
    <w:uiPriority w:val="21"/>
    <w:qFormat/>
    <w:rsid w:val="0020209B"/>
    <w:rPr>
      <w:i/>
      <w:iCs/>
      <w:color w:val="0F4761" w:themeColor="accent1" w:themeShade="BF"/>
    </w:rPr>
  </w:style>
  <w:style w:type="paragraph" w:styleId="IntensivesZitat">
    <w:name w:val="Intense Quote"/>
    <w:basedOn w:val="Standard"/>
    <w:next w:val="Standard"/>
    <w:link w:val="IntensivesZitatZchn"/>
    <w:uiPriority w:val="30"/>
    <w:qFormat/>
    <w:rsid w:val="002020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20209B"/>
    <w:rPr>
      <w:i/>
      <w:iCs/>
      <w:color w:val="0F4761" w:themeColor="accent1" w:themeShade="BF"/>
    </w:rPr>
  </w:style>
  <w:style w:type="character" w:styleId="IntensiverVerweis">
    <w:name w:val="Intense Reference"/>
    <w:basedOn w:val="Absatz-Standardschriftart"/>
    <w:uiPriority w:val="32"/>
    <w:qFormat/>
    <w:rsid w:val="0020209B"/>
    <w:rPr>
      <w:b/>
      <w:bCs/>
      <w:smallCaps/>
      <w:color w:val="0F4761" w:themeColor="accent1" w:themeShade="BF"/>
      <w:spacing w:val="5"/>
    </w:rPr>
  </w:style>
  <w:style w:type="paragraph" w:styleId="Kopfzeile">
    <w:name w:val="header"/>
    <w:basedOn w:val="Standard"/>
    <w:link w:val="KopfzeileZchn"/>
    <w:uiPriority w:val="99"/>
    <w:unhideWhenUsed/>
    <w:rsid w:val="007675EB"/>
    <w:pPr>
      <w:tabs>
        <w:tab w:val="center" w:pos="4513"/>
        <w:tab w:val="right" w:pos="9026"/>
      </w:tabs>
      <w:spacing w:after="0" w:line="240" w:lineRule="auto"/>
    </w:pPr>
  </w:style>
  <w:style w:type="character" w:customStyle="1" w:styleId="KopfzeileZchn">
    <w:name w:val="Kopfzeile Zchn"/>
    <w:basedOn w:val="Absatz-Standardschriftart"/>
    <w:link w:val="Kopfzeile"/>
    <w:uiPriority w:val="99"/>
    <w:rsid w:val="007675EB"/>
  </w:style>
  <w:style w:type="paragraph" w:styleId="Fuzeile">
    <w:name w:val="footer"/>
    <w:basedOn w:val="Standard"/>
    <w:link w:val="FuzeileZchn"/>
    <w:uiPriority w:val="99"/>
    <w:unhideWhenUsed/>
    <w:rsid w:val="007675EB"/>
    <w:pPr>
      <w:tabs>
        <w:tab w:val="center" w:pos="4513"/>
        <w:tab w:val="right" w:pos="9026"/>
      </w:tabs>
      <w:spacing w:after="0" w:line="240" w:lineRule="auto"/>
    </w:pPr>
  </w:style>
  <w:style w:type="character" w:customStyle="1" w:styleId="FuzeileZchn">
    <w:name w:val="Fußzeile Zchn"/>
    <w:basedOn w:val="Absatz-Standardschriftart"/>
    <w:link w:val="Fuzeile"/>
    <w:uiPriority w:val="99"/>
    <w:rsid w:val="007675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2017</Words>
  <Characters>12709</Characters>
  <Application>Microsoft Office Word</Application>
  <DocSecurity>0</DocSecurity>
  <Lines>105</Lines>
  <Paragraphs>29</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14697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W</dc:creator>
  <cp:keywords/>
  <dc:description/>
  <cp:lastModifiedBy>Wiederkehr Karin</cp:lastModifiedBy>
  <cp:revision>7</cp:revision>
  <cp:lastPrinted>2026-03-05T10:45:00Z</cp:lastPrinted>
  <dcterms:created xsi:type="dcterms:W3CDTF">2026-03-05T10:44:00Z</dcterms:created>
  <dcterms:modified xsi:type="dcterms:W3CDTF">2026-03-05T14:16:00Z</dcterms:modified>
</cp:coreProperties>
</file>