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CDEC" w14:textId="3D792625" w:rsidR="00EC7C68" w:rsidRPr="00793B66" w:rsidRDefault="00691ABB" w:rsidP="00793B66">
      <w:pPr>
        <w:jc w:val="both"/>
        <w:rPr>
          <w:rFonts w:ascii="Times New Roman" w:hAnsi="Times New Roman" w:cs="Times New Roman"/>
          <w:sz w:val="24"/>
          <w:szCs w:val="24"/>
          <w:lang w:val="en-US"/>
        </w:rPr>
      </w:pPr>
      <w:r w:rsidRPr="00793B66">
        <w:rPr>
          <w:rFonts w:ascii="Times New Roman" w:eastAsia="Times New Roman" w:hAnsi="Times New Roman" w:cs="Times New Roman"/>
          <w:b/>
          <w:bCs/>
          <w:color w:val="002060"/>
          <w:sz w:val="24"/>
          <w:szCs w:val="24"/>
          <w:lang w:val="en-US"/>
        </w:rPr>
        <w:t xml:space="preserve"> </w:t>
      </w:r>
      <w:r w:rsidR="00BD5FAE" w:rsidRPr="00793B66">
        <w:rPr>
          <w:rFonts w:ascii="Times New Roman" w:eastAsia="Times New Roman" w:hAnsi="Times New Roman" w:cs="Times New Roman"/>
          <w:b/>
          <w:bCs/>
          <w:color w:val="002060"/>
          <w:sz w:val="24"/>
          <w:szCs w:val="24"/>
          <w:lang w:val="en-US"/>
        </w:rPr>
        <w:t>IMP Global Megatrend Umbrella Fund Commentary</w:t>
      </w:r>
    </w:p>
    <w:p w14:paraId="713D26EC" w14:textId="0B38E3B9" w:rsidR="00136853" w:rsidRPr="00793B66" w:rsidRDefault="00D63DDD"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 xml:space="preserve">In June, global equities continued their upward </w:t>
      </w:r>
      <w:r w:rsidR="006D6AC5" w:rsidRPr="00793B66">
        <w:rPr>
          <w:rFonts w:ascii="Times New Roman" w:hAnsi="Times New Roman" w:cs="Times New Roman"/>
          <w:sz w:val="24"/>
          <w:szCs w:val="24"/>
          <w:lang w:val="en-US"/>
        </w:rPr>
        <w:t>trajectory</w:t>
      </w:r>
      <w:r w:rsidRPr="00793B66">
        <w:rPr>
          <w:rFonts w:ascii="Times New Roman" w:hAnsi="Times New Roman" w:cs="Times New Roman"/>
          <w:sz w:val="24"/>
          <w:szCs w:val="24"/>
          <w:lang w:val="en-US"/>
        </w:rPr>
        <w:t xml:space="preserve">, buoyed by </w:t>
      </w:r>
      <w:r w:rsidR="00B77481" w:rsidRPr="00793B66">
        <w:rPr>
          <w:rFonts w:ascii="Times New Roman" w:hAnsi="Times New Roman" w:cs="Times New Roman"/>
          <w:sz w:val="24"/>
          <w:szCs w:val="24"/>
          <w:lang w:val="en-US"/>
        </w:rPr>
        <w:t xml:space="preserve">renewed </w:t>
      </w:r>
      <w:r w:rsidRPr="00793B66">
        <w:rPr>
          <w:rFonts w:ascii="Times New Roman" w:hAnsi="Times New Roman" w:cs="Times New Roman"/>
          <w:sz w:val="24"/>
          <w:szCs w:val="24"/>
          <w:lang w:val="en-US"/>
        </w:rPr>
        <w:t xml:space="preserve">progress in U.S.-China trade talks, a de-escalation of tensions in the Middle East, and </w:t>
      </w:r>
      <w:r w:rsidR="006D6AC5" w:rsidRPr="00793B66">
        <w:rPr>
          <w:rFonts w:ascii="Times New Roman" w:hAnsi="Times New Roman" w:cs="Times New Roman"/>
          <w:sz w:val="24"/>
          <w:szCs w:val="24"/>
          <w:lang w:val="en-US"/>
        </w:rPr>
        <w:t>dovish signals from Federal Reserve Chair Jerome Powell, which rekindled market expectations for interest rate cuts</w:t>
      </w:r>
      <w:r w:rsidRPr="00793B66">
        <w:rPr>
          <w:rFonts w:ascii="Times New Roman" w:hAnsi="Times New Roman" w:cs="Times New Roman"/>
          <w:sz w:val="24"/>
          <w:szCs w:val="24"/>
          <w:lang w:val="en-US"/>
        </w:rPr>
        <w:t xml:space="preserve">. The S&amp;P 500 and Nasdaq Composite both reached all-time highs by month’s end, marking their best quarters since December and March 2023, respectively. As </w:t>
      </w:r>
      <w:r w:rsidR="0011367C">
        <w:rPr>
          <w:rFonts w:ascii="Times New Roman" w:hAnsi="Times New Roman" w:cs="Times New Roman"/>
          <w:sz w:val="24"/>
          <w:szCs w:val="24"/>
          <w:lang w:val="en-US"/>
        </w:rPr>
        <w:t>investors</w:t>
      </w:r>
      <w:r w:rsidRPr="00793B66">
        <w:rPr>
          <w:rFonts w:ascii="Times New Roman" w:hAnsi="Times New Roman" w:cs="Times New Roman"/>
          <w:sz w:val="24"/>
          <w:szCs w:val="24"/>
          <w:lang w:val="en-US"/>
        </w:rPr>
        <w:t xml:space="preserve"> grew more confident and risk appetite expanded, even institutional investors stepped back into the </w:t>
      </w:r>
      <w:r w:rsidR="00B4764E" w:rsidRPr="00793B66">
        <w:rPr>
          <w:rFonts w:ascii="Times New Roman" w:hAnsi="Times New Roman" w:cs="Times New Roman"/>
          <w:sz w:val="24"/>
          <w:szCs w:val="24"/>
          <w:lang w:val="en-US"/>
        </w:rPr>
        <w:t>market</w:t>
      </w:r>
      <w:r w:rsidRPr="00793B66">
        <w:rPr>
          <w:rFonts w:ascii="Times New Roman" w:hAnsi="Times New Roman" w:cs="Times New Roman"/>
          <w:sz w:val="24"/>
          <w:szCs w:val="24"/>
          <w:lang w:val="en-US"/>
        </w:rPr>
        <w:t>. With s</w:t>
      </w:r>
      <w:r w:rsidR="006D6AC5" w:rsidRPr="00793B66">
        <w:rPr>
          <w:rFonts w:ascii="Times New Roman" w:hAnsi="Times New Roman" w:cs="Times New Roman"/>
          <w:sz w:val="24"/>
          <w:szCs w:val="24"/>
          <w:lang w:val="en-US"/>
        </w:rPr>
        <w:t>olid</w:t>
      </w:r>
      <w:r w:rsidRPr="00793B66">
        <w:rPr>
          <w:rFonts w:ascii="Times New Roman" w:hAnsi="Times New Roman" w:cs="Times New Roman"/>
          <w:sz w:val="24"/>
          <w:szCs w:val="24"/>
          <w:lang w:val="en-US"/>
        </w:rPr>
        <w:t xml:space="preserve"> momentum, a relatively healthy economy, and corporate America </w:t>
      </w:r>
      <w:r w:rsidR="00D612AB" w:rsidRPr="00793B66">
        <w:rPr>
          <w:rFonts w:ascii="Times New Roman" w:hAnsi="Times New Roman" w:cs="Times New Roman"/>
          <w:sz w:val="24"/>
          <w:szCs w:val="24"/>
          <w:lang w:val="en-US"/>
        </w:rPr>
        <w:t xml:space="preserve">taking the </w:t>
      </w:r>
      <w:r w:rsidRPr="00793B66">
        <w:rPr>
          <w:rFonts w:ascii="Times New Roman" w:hAnsi="Times New Roman" w:cs="Times New Roman"/>
          <w:sz w:val="24"/>
          <w:szCs w:val="24"/>
          <w:lang w:val="en-US"/>
        </w:rPr>
        <w:t>evolving trade policies</w:t>
      </w:r>
      <w:r w:rsidR="00D612AB" w:rsidRPr="00793B66">
        <w:rPr>
          <w:rFonts w:ascii="Times New Roman" w:hAnsi="Times New Roman" w:cs="Times New Roman"/>
          <w:sz w:val="24"/>
          <w:szCs w:val="24"/>
          <w:lang w:val="en-US"/>
        </w:rPr>
        <w:t xml:space="preserve"> in stride</w:t>
      </w:r>
      <w:r w:rsidR="00320E1B" w:rsidRPr="00793B66">
        <w:rPr>
          <w:rFonts w:ascii="Times New Roman" w:hAnsi="Times New Roman" w:cs="Times New Roman"/>
          <w:sz w:val="24"/>
          <w:szCs w:val="24"/>
          <w:lang w:val="en-US"/>
        </w:rPr>
        <w:t xml:space="preserve"> for now</w:t>
      </w:r>
      <w:r w:rsidRPr="00793B66">
        <w:rPr>
          <w:rFonts w:ascii="Times New Roman" w:hAnsi="Times New Roman" w:cs="Times New Roman"/>
          <w:sz w:val="24"/>
          <w:szCs w:val="24"/>
          <w:lang w:val="en-US"/>
        </w:rPr>
        <w:t xml:space="preserve">, </w:t>
      </w:r>
      <w:r w:rsidR="006D6AC5" w:rsidRPr="00793B66">
        <w:rPr>
          <w:rFonts w:ascii="Times New Roman" w:hAnsi="Times New Roman" w:cs="Times New Roman"/>
          <w:sz w:val="24"/>
          <w:szCs w:val="24"/>
          <w:lang w:val="en-US"/>
        </w:rPr>
        <w:t xml:space="preserve">equity </w:t>
      </w:r>
      <w:r w:rsidRPr="00793B66">
        <w:rPr>
          <w:rFonts w:ascii="Times New Roman" w:hAnsi="Times New Roman" w:cs="Times New Roman"/>
          <w:sz w:val="24"/>
          <w:szCs w:val="24"/>
          <w:lang w:val="en-US"/>
        </w:rPr>
        <w:t>markets clo</w:t>
      </w:r>
      <w:r w:rsidR="006D6AC5" w:rsidRPr="00793B66">
        <w:rPr>
          <w:rFonts w:ascii="Times New Roman" w:hAnsi="Times New Roman" w:cs="Times New Roman"/>
          <w:sz w:val="24"/>
          <w:szCs w:val="24"/>
          <w:lang w:val="en-US"/>
        </w:rPr>
        <w:t xml:space="preserve">sed the </w:t>
      </w:r>
      <w:r w:rsidRPr="00793B66">
        <w:rPr>
          <w:rFonts w:ascii="Times New Roman" w:hAnsi="Times New Roman" w:cs="Times New Roman"/>
          <w:sz w:val="24"/>
          <w:szCs w:val="24"/>
          <w:lang w:val="en-US"/>
        </w:rPr>
        <w:t>first half of the year</w:t>
      </w:r>
      <w:r w:rsidR="006D6AC5" w:rsidRPr="00793B66">
        <w:rPr>
          <w:rFonts w:ascii="Times New Roman" w:hAnsi="Times New Roman" w:cs="Times New Roman"/>
          <w:sz w:val="24"/>
          <w:szCs w:val="24"/>
          <w:lang w:val="en-US"/>
        </w:rPr>
        <w:t xml:space="preserve"> on a strong note</w:t>
      </w:r>
      <w:r w:rsidRPr="00793B66">
        <w:rPr>
          <w:rFonts w:ascii="Times New Roman" w:hAnsi="Times New Roman" w:cs="Times New Roman"/>
          <w:sz w:val="24"/>
          <w:szCs w:val="24"/>
          <w:lang w:val="en-US"/>
        </w:rPr>
        <w:t xml:space="preserve">. The S&amp;P 500, which </w:t>
      </w:r>
      <w:r w:rsidR="006D6AC5" w:rsidRPr="00793B66">
        <w:rPr>
          <w:rFonts w:ascii="Times New Roman" w:hAnsi="Times New Roman" w:cs="Times New Roman"/>
          <w:sz w:val="24"/>
          <w:szCs w:val="24"/>
          <w:lang w:val="en-US"/>
        </w:rPr>
        <w:t>experienced</w:t>
      </w:r>
      <w:r w:rsidRPr="00793B66">
        <w:rPr>
          <w:rFonts w:ascii="Times New Roman" w:hAnsi="Times New Roman" w:cs="Times New Roman"/>
          <w:sz w:val="24"/>
          <w:szCs w:val="24"/>
          <w:lang w:val="en-US"/>
        </w:rPr>
        <w:t xml:space="preserve"> 19% </w:t>
      </w:r>
      <w:r w:rsidR="006D6AC5" w:rsidRPr="00793B66">
        <w:rPr>
          <w:rFonts w:ascii="Times New Roman" w:hAnsi="Times New Roman" w:cs="Times New Roman"/>
          <w:sz w:val="24"/>
          <w:szCs w:val="24"/>
          <w:lang w:val="en-US"/>
        </w:rPr>
        <w:t>decline</w:t>
      </w:r>
      <w:r w:rsidRPr="00793B66">
        <w:rPr>
          <w:rFonts w:ascii="Times New Roman" w:hAnsi="Times New Roman" w:cs="Times New Roman"/>
          <w:sz w:val="24"/>
          <w:szCs w:val="24"/>
          <w:lang w:val="en-US"/>
        </w:rPr>
        <w:t xml:space="preserve"> in the year, fully recouped its losses, soaring from the</w:t>
      </w:r>
      <w:r w:rsidR="00EA6B72">
        <w:rPr>
          <w:rFonts w:ascii="Times New Roman" w:hAnsi="Times New Roman" w:cs="Times New Roman"/>
          <w:sz w:val="24"/>
          <w:szCs w:val="24"/>
          <w:lang w:val="en-US"/>
        </w:rPr>
        <w:t xml:space="preserve"> brink </w:t>
      </w:r>
      <w:r w:rsidRPr="00793B66">
        <w:rPr>
          <w:rFonts w:ascii="Times New Roman" w:hAnsi="Times New Roman" w:cs="Times New Roman"/>
          <w:sz w:val="24"/>
          <w:szCs w:val="24"/>
          <w:lang w:val="en-US"/>
        </w:rPr>
        <w:t xml:space="preserve">of a bear market to new all-time highs. Despite this strong rebound, caution is still advised as </w:t>
      </w:r>
      <w:r w:rsidR="00EA6B72">
        <w:rPr>
          <w:rFonts w:ascii="Times New Roman" w:hAnsi="Times New Roman" w:cs="Times New Roman"/>
          <w:sz w:val="24"/>
          <w:szCs w:val="24"/>
          <w:lang w:val="en-US"/>
        </w:rPr>
        <w:t>a multitude</w:t>
      </w:r>
      <w:r w:rsidR="006D6AC5" w:rsidRPr="00793B66">
        <w:rPr>
          <w:rFonts w:ascii="Times New Roman" w:hAnsi="Times New Roman" w:cs="Times New Roman"/>
          <w:sz w:val="24"/>
          <w:szCs w:val="24"/>
          <w:lang w:val="en-US"/>
        </w:rPr>
        <w:t xml:space="preserve"> of</w:t>
      </w:r>
      <w:r w:rsidRPr="00793B66">
        <w:rPr>
          <w:rFonts w:ascii="Times New Roman" w:hAnsi="Times New Roman" w:cs="Times New Roman"/>
          <w:sz w:val="24"/>
          <w:szCs w:val="24"/>
          <w:lang w:val="en-US"/>
        </w:rPr>
        <w:t xml:space="preserve"> risks remain on the horizon, including impending tariff deal deadline</w:t>
      </w:r>
      <w:r w:rsidR="006D6AC5" w:rsidRPr="00793B66">
        <w:rPr>
          <w:rFonts w:ascii="Times New Roman" w:hAnsi="Times New Roman" w:cs="Times New Roman"/>
          <w:sz w:val="24"/>
          <w:szCs w:val="24"/>
          <w:lang w:val="en-US"/>
        </w:rPr>
        <w:t>s</w:t>
      </w:r>
      <w:r w:rsidRPr="00793B66">
        <w:rPr>
          <w:rFonts w:ascii="Times New Roman" w:hAnsi="Times New Roman" w:cs="Times New Roman"/>
          <w:sz w:val="24"/>
          <w:szCs w:val="24"/>
          <w:lang w:val="en-US"/>
        </w:rPr>
        <w:t xml:space="preserve">, persistent geopolitical tensions, and the potential resurgence of inflation. </w:t>
      </w:r>
      <w:r w:rsidR="00104788">
        <w:rPr>
          <w:rFonts w:ascii="Times New Roman" w:hAnsi="Times New Roman" w:cs="Times New Roman"/>
          <w:sz w:val="24"/>
          <w:szCs w:val="24"/>
          <w:lang w:val="en-US"/>
        </w:rPr>
        <w:t>T</w:t>
      </w:r>
      <w:r w:rsidRPr="00793B66">
        <w:rPr>
          <w:rFonts w:ascii="Times New Roman" w:hAnsi="Times New Roman" w:cs="Times New Roman"/>
          <w:sz w:val="24"/>
          <w:szCs w:val="24"/>
          <w:lang w:val="en-US"/>
        </w:rPr>
        <w:t xml:space="preserve">echnology stocks remained the dominant force in the rally, underscoring investor confidence in the sector’s long-term growth potential. Adding to the </w:t>
      </w:r>
      <w:r w:rsidR="006D6AC5" w:rsidRPr="00793B66">
        <w:rPr>
          <w:rFonts w:ascii="Times New Roman" w:hAnsi="Times New Roman" w:cs="Times New Roman"/>
          <w:sz w:val="24"/>
          <w:szCs w:val="24"/>
          <w:lang w:val="en-US"/>
        </w:rPr>
        <w:t>positive sentiment</w:t>
      </w:r>
      <w:r w:rsidRPr="00793B66">
        <w:rPr>
          <w:rFonts w:ascii="Times New Roman" w:hAnsi="Times New Roman" w:cs="Times New Roman"/>
          <w:sz w:val="24"/>
          <w:szCs w:val="24"/>
          <w:lang w:val="en-US"/>
        </w:rPr>
        <w:t xml:space="preserve">, </w:t>
      </w:r>
      <w:r w:rsidR="006D6AC5" w:rsidRPr="00793B66">
        <w:rPr>
          <w:rFonts w:ascii="Times New Roman" w:hAnsi="Times New Roman" w:cs="Times New Roman"/>
          <w:sz w:val="24"/>
          <w:szCs w:val="24"/>
          <w:lang w:val="en-US"/>
        </w:rPr>
        <w:t xml:space="preserve">market </w:t>
      </w:r>
      <w:r w:rsidRPr="00793B66">
        <w:rPr>
          <w:rFonts w:ascii="Times New Roman" w:hAnsi="Times New Roman" w:cs="Times New Roman"/>
          <w:sz w:val="24"/>
          <w:szCs w:val="24"/>
          <w:lang w:val="en-US"/>
        </w:rPr>
        <w:t>sensitivity to macroeconomic shocks dropped to the lowest level since March</w:t>
      </w:r>
      <w:r w:rsidR="00D612AB" w:rsidRPr="00793B66">
        <w:rPr>
          <w:rFonts w:ascii="Times New Roman" w:hAnsi="Times New Roman" w:cs="Times New Roman"/>
          <w:sz w:val="24"/>
          <w:szCs w:val="24"/>
          <w:lang w:val="en-US"/>
        </w:rPr>
        <w:t xml:space="preserve">, as institutional trading desks </w:t>
      </w:r>
      <w:r w:rsidR="006D6AC5" w:rsidRPr="00793B66">
        <w:rPr>
          <w:rFonts w:ascii="Times New Roman" w:hAnsi="Times New Roman" w:cs="Times New Roman"/>
          <w:sz w:val="24"/>
          <w:szCs w:val="24"/>
          <w:lang w:val="en-US"/>
        </w:rPr>
        <w:t>maintain a</w:t>
      </w:r>
      <w:r w:rsidR="00D612AB" w:rsidRPr="00793B66">
        <w:rPr>
          <w:rFonts w:ascii="Times New Roman" w:hAnsi="Times New Roman" w:cs="Times New Roman"/>
          <w:sz w:val="24"/>
          <w:szCs w:val="24"/>
          <w:lang w:val="en-US"/>
        </w:rPr>
        <w:t xml:space="preserve"> tactically bullish </w:t>
      </w:r>
      <w:r w:rsidR="006D6AC5" w:rsidRPr="00793B66">
        <w:rPr>
          <w:rFonts w:ascii="Times New Roman" w:hAnsi="Times New Roman" w:cs="Times New Roman"/>
          <w:sz w:val="24"/>
          <w:szCs w:val="24"/>
          <w:lang w:val="en-US"/>
        </w:rPr>
        <w:t>stance.</w:t>
      </w:r>
      <w:r w:rsidR="00D612AB" w:rsidRPr="00793B66">
        <w:rPr>
          <w:rFonts w:ascii="Times New Roman" w:hAnsi="Times New Roman" w:cs="Times New Roman"/>
          <w:sz w:val="24"/>
          <w:szCs w:val="24"/>
          <w:lang w:val="en-US"/>
        </w:rPr>
        <w:t xml:space="preserve"> </w:t>
      </w:r>
      <w:r w:rsidR="006D6AC5" w:rsidRPr="00793B66">
        <w:rPr>
          <w:rFonts w:ascii="Times New Roman" w:hAnsi="Times New Roman" w:cs="Times New Roman"/>
          <w:sz w:val="24"/>
          <w:szCs w:val="24"/>
          <w:lang w:val="en-US"/>
        </w:rPr>
        <w:t>Meanwhile, the U.S. dollar index recorded its worst first-half performance since 1973, reflecting reduced demand for the greenback in the $7.5 trillion-per-day foreign exchange market, even during periods of volatility that would traditionally boost interest in the safe-haven currency.</w:t>
      </w:r>
      <w:r w:rsidR="00F45DE2" w:rsidRPr="00793B66">
        <w:rPr>
          <w:rFonts w:ascii="Times New Roman" w:hAnsi="Times New Roman" w:cs="Times New Roman"/>
          <w:sz w:val="24"/>
          <w:szCs w:val="24"/>
          <w:lang w:val="en-US"/>
        </w:rPr>
        <w:t xml:space="preserve"> </w:t>
      </w:r>
      <w:r w:rsidR="00E82B40" w:rsidRPr="00793B66">
        <w:rPr>
          <w:rFonts w:ascii="Times New Roman" w:hAnsi="Times New Roman" w:cs="Times New Roman"/>
          <w:sz w:val="24"/>
          <w:szCs w:val="24"/>
          <w:lang w:val="en-US"/>
        </w:rPr>
        <w:t xml:space="preserve">Against this backdrop, the IMP Global Megatrend Umbrella Fund extended its positive momentum in June, achieving a monthly return of 3.85%. This </w:t>
      </w:r>
      <w:r w:rsidR="00320E1B" w:rsidRPr="00793B66">
        <w:rPr>
          <w:rFonts w:ascii="Times New Roman" w:hAnsi="Times New Roman" w:cs="Times New Roman"/>
          <w:sz w:val="24"/>
          <w:szCs w:val="24"/>
          <w:lang w:val="en-US"/>
        </w:rPr>
        <w:t>solid</w:t>
      </w:r>
      <w:r w:rsidR="00E82B40" w:rsidRPr="00793B66">
        <w:rPr>
          <w:rFonts w:ascii="Times New Roman" w:hAnsi="Times New Roman" w:cs="Times New Roman"/>
          <w:sz w:val="24"/>
          <w:szCs w:val="24"/>
          <w:lang w:val="en-US"/>
        </w:rPr>
        <w:t xml:space="preserve"> performance brought the fund’s year-to-date return to 4.15% as of June 30, 2025, net of fees. In this context, the fund’s continued resilience reflects its strategic positioning amid shifting global dynamics, underscoring its ability to navigate volatility while capturing opportunities aligned with identified long-term structural trends.</w:t>
      </w:r>
    </w:p>
    <w:p w14:paraId="05EAA1F0" w14:textId="2167FAD7" w:rsidR="00FA26B0" w:rsidRPr="00793B66" w:rsidRDefault="00FA26B0"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 xml:space="preserve">As we had anticipated, the notion of U.S. exceptionalism has proven far from obsolete. The U.S. equity market once again emerged as the primary engine of global growth, reaffirming its structural strengths in innovation, resilience, and earnings power. </w:t>
      </w:r>
      <w:r w:rsidR="00B77481" w:rsidRPr="00793B66">
        <w:rPr>
          <w:rFonts w:ascii="Times New Roman" w:hAnsi="Times New Roman" w:cs="Times New Roman"/>
          <w:sz w:val="24"/>
          <w:szCs w:val="24"/>
          <w:lang w:val="en-US"/>
        </w:rPr>
        <w:t xml:space="preserve">While European markets temporarily outperformed earlier this year, such periods have historically tended to be short-lived. </w:t>
      </w:r>
      <w:r w:rsidRPr="00793B66">
        <w:rPr>
          <w:rFonts w:ascii="Times New Roman" w:hAnsi="Times New Roman" w:cs="Times New Roman"/>
          <w:sz w:val="24"/>
          <w:szCs w:val="24"/>
          <w:lang w:val="en-US"/>
        </w:rPr>
        <w:t xml:space="preserve">We continue to maintain an overweight position in U.S. equities, particularly </w:t>
      </w:r>
      <w:r w:rsidR="00461D22" w:rsidRPr="00793B66">
        <w:rPr>
          <w:rFonts w:ascii="Times New Roman" w:hAnsi="Times New Roman" w:cs="Times New Roman"/>
          <w:sz w:val="24"/>
          <w:szCs w:val="24"/>
          <w:lang w:val="en-US"/>
        </w:rPr>
        <w:t>considering</w:t>
      </w:r>
      <w:r w:rsidRPr="00793B66">
        <w:rPr>
          <w:rFonts w:ascii="Times New Roman" w:hAnsi="Times New Roman" w:cs="Times New Roman"/>
          <w:sz w:val="24"/>
          <w:szCs w:val="24"/>
          <w:lang w:val="en-US"/>
        </w:rPr>
        <w:t xml:space="preserve"> </w:t>
      </w:r>
      <w:r w:rsidR="00461D22">
        <w:rPr>
          <w:rFonts w:ascii="Times New Roman" w:hAnsi="Times New Roman" w:cs="Times New Roman"/>
          <w:sz w:val="24"/>
          <w:szCs w:val="24"/>
          <w:lang w:val="en-US"/>
        </w:rPr>
        <w:t xml:space="preserve">the highly </w:t>
      </w:r>
      <w:r w:rsidRPr="00793B66">
        <w:rPr>
          <w:rFonts w:ascii="Times New Roman" w:hAnsi="Times New Roman" w:cs="Times New Roman"/>
          <w:sz w:val="24"/>
          <w:szCs w:val="24"/>
          <w:lang w:val="en-US"/>
        </w:rPr>
        <w:t xml:space="preserve">anticipated tax and regulatory reforms that could provide an additional boost to investor sentiment. The underlying strength of American corporations, driven by early adoption of artificial intelligence, a deep culture of innovation, and operational agility, positions them exceptionally well to deliver </w:t>
      </w:r>
      <w:r w:rsidR="00417224">
        <w:rPr>
          <w:rFonts w:ascii="Times New Roman" w:hAnsi="Times New Roman" w:cs="Times New Roman"/>
          <w:sz w:val="24"/>
          <w:szCs w:val="24"/>
          <w:lang w:val="en-US"/>
        </w:rPr>
        <w:t>better-than-expected</w:t>
      </w:r>
      <w:r w:rsidRPr="00793B66">
        <w:rPr>
          <w:rFonts w:ascii="Times New Roman" w:hAnsi="Times New Roman" w:cs="Times New Roman"/>
          <w:sz w:val="24"/>
          <w:szCs w:val="24"/>
          <w:lang w:val="en-US"/>
        </w:rPr>
        <w:t xml:space="preserve"> earnings in the quarters ahead, even against a potentially uncertain macroeconomic </w:t>
      </w:r>
      <w:r w:rsidR="003824DF">
        <w:rPr>
          <w:rFonts w:ascii="Times New Roman" w:hAnsi="Times New Roman" w:cs="Times New Roman"/>
          <w:sz w:val="24"/>
          <w:szCs w:val="24"/>
          <w:lang w:val="en-US"/>
        </w:rPr>
        <w:t>environment</w:t>
      </w:r>
      <w:r w:rsidRPr="00793B66">
        <w:rPr>
          <w:rFonts w:ascii="Times New Roman" w:hAnsi="Times New Roman" w:cs="Times New Roman"/>
          <w:sz w:val="24"/>
          <w:szCs w:val="24"/>
          <w:lang w:val="en-US"/>
        </w:rPr>
        <w:t xml:space="preserve">. That said, the recent reversal in market leadership, following a decade in which U.S. equities decisively outperformed their developed market peers, has prompted us to identify new tactical opportunities in European markets. This shift is reflected in our evolving global geographical allocation, which now places </w:t>
      </w:r>
      <w:r w:rsidR="00B77481" w:rsidRPr="00793B66">
        <w:rPr>
          <w:rFonts w:ascii="Times New Roman" w:hAnsi="Times New Roman" w:cs="Times New Roman"/>
          <w:sz w:val="24"/>
          <w:szCs w:val="24"/>
          <w:lang w:val="en-US"/>
        </w:rPr>
        <w:t>greater</w:t>
      </w:r>
      <w:r w:rsidRPr="00793B66">
        <w:rPr>
          <w:rFonts w:ascii="Times New Roman" w:hAnsi="Times New Roman" w:cs="Times New Roman"/>
          <w:sz w:val="24"/>
          <w:szCs w:val="24"/>
          <w:lang w:val="en-US"/>
        </w:rPr>
        <w:t xml:space="preserve"> emphasis on select European </w:t>
      </w:r>
      <w:r w:rsidR="00B77481" w:rsidRPr="00793B66">
        <w:rPr>
          <w:rFonts w:ascii="Times New Roman" w:hAnsi="Times New Roman" w:cs="Times New Roman"/>
          <w:sz w:val="24"/>
          <w:szCs w:val="24"/>
          <w:lang w:val="en-US"/>
        </w:rPr>
        <w:t>markets</w:t>
      </w:r>
      <w:r w:rsidRPr="00793B66">
        <w:rPr>
          <w:rFonts w:ascii="Times New Roman" w:hAnsi="Times New Roman" w:cs="Times New Roman"/>
          <w:sz w:val="24"/>
          <w:szCs w:val="24"/>
          <w:lang w:val="en-US"/>
        </w:rPr>
        <w:t xml:space="preserve">. </w:t>
      </w:r>
      <w:r w:rsidR="00B77481" w:rsidRPr="00793B66">
        <w:rPr>
          <w:rFonts w:ascii="Times New Roman" w:hAnsi="Times New Roman" w:cs="Times New Roman"/>
          <w:sz w:val="24"/>
          <w:szCs w:val="24"/>
          <w:lang w:val="en-US"/>
        </w:rPr>
        <w:t>In this sense</w:t>
      </w:r>
      <w:r w:rsidRPr="00793B66">
        <w:rPr>
          <w:rFonts w:ascii="Times New Roman" w:hAnsi="Times New Roman" w:cs="Times New Roman"/>
          <w:sz w:val="24"/>
          <w:szCs w:val="24"/>
          <w:lang w:val="en-US"/>
        </w:rPr>
        <w:t>, we believe that megatrend opportunities remain inherently global. The secular themes shaping the investment landscape transcend regional boundaries and are becoming more influential in driving sectoral performance</w:t>
      </w:r>
      <w:r w:rsidR="0070198E">
        <w:rPr>
          <w:rFonts w:ascii="Times New Roman" w:hAnsi="Times New Roman" w:cs="Times New Roman"/>
          <w:sz w:val="24"/>
          <w:szCs w:val="24"/>
          <w:lang w:val="en-US"/>
        </w:rPr>
        <w:t xml:space="preserve"> rather</w:t>
      </w:r>
      <w:r w:rsidRPr="00793B66">
        <w:rPr>
          <w:rFonts w:ascii="Times New Roman" w:hAnsi="Times New Roman" w:cs="Times New Roman"/>
          <w:sz w:val="24"/>
          <w:szCs w:val="24"/>
          <w:lang w:val="en-US"/>
        </w:rPr>
        <w:t xml:space="preserve"> than traditional distinctions. This reinforces our conviction in a thematically led approach, anchored by long-term growth forces </w:t>
      </w:r>
      <w:r w:rsidRPr="00417224">
        <w:rPr>
          <w:rFonts w:ascii="Times New Roman" w:hAnsi="Times New Roman" w:cs="Times New Roman"/>
          <w:sz w:val="24"/>
          <w:szCs w:val="24"/>
          <w:lang w:val="en-US"/>
        </w:rPr>
        <w:t xml:space="preserve">that </w:t>
      </w:r>
      <w:r w:rsidR="003824DF" w:rsidRPr="00417224">
        <w:rPr>
          <w:rFonts w:ascii="Times New Roman" w:hAnsi="Times New Roman" w:cs="Times New Roman"/>
          <w:sz w:val="24"/>
          <w:szCs w:val="24"/>
          <w:lang w:val="en-US"/>
        </w:rPr>
        <w:t>span</w:t>
      </w:r>
      <w:r w:rsidRPr="00417224">
        <w:rPr>
          <w:rFonts w:ascii="Times New Roman" w:hAnsi="Times New Roman" w:cs="Times New Roman"/>
          <w:sz w:val="24"/>
          <w:szCs w:val="24"/>
          <w:lang w:val="en-US"/>
        </w:rPr>
        <w:t xml:space="preserve"> across</w:t>
      </w:r>
      <w:r w:rsidRPr="00793B66">
        <w:rPr>
          <w:rFonts w:ascii="Times New Roman" w:hAnsi="Times New Roman" w:cs="Times New Roman"/>
          <w:sz w:val="24"/>
          <w:szCs w:val="24"/>
          <w:lang w:val="en-US"/>
        </w:rPr>
        <w:t xml:space="preserve"> regions and asset classes. In this context, we view </w:t>
      </w:r>
      <w:r w:rsidRPr="00793B66">
        <w:rPr>
          <w:rFonts w:ascii="Times New Roman" w:hAnsi="Times New Roman" w:cs="Times New Roman"/>
          <w:sz w:val="24"/>
          <w:szCs w:val="24"/>
          <w:lang w:val="en-US"/>
        </w:rPr>
        <w:lastRenderedPageBreak/>
        <w:t xml:space="preserve">our global asset allocation strategy as a thoughtful rebalancing that emphasizes diversification while selectively allocating capital to high-conviction thematic opportunities. </w:t>
      </w:r>
      <w:r w:rsidR="00320E1B" w:rsidRPr="00793B66">
        <w:rPr>
          <w:rFonts w:ascii="Times New Roman" w:hAnsi="Times New Roman" w:cs="Times New Roman"/>
          <w:sz w:val="24"/>
          <w:szCs w:val="24"/>
          <w:lang w:val="en-US"/>
        </w:rPr>
        <w:t xml:space="preserve">Our positioning is guided by the pursuit of the most attractive risk-adjusted returns, whether through U.S. technology leaders at the forefront of artificial intelligence integration, European smart infrastructure enablers benefiting from robust policy support, or emerging market firms capitalizing on shifting global economic power and evolving consumption patterns. </w:t>
      </w:r>
      <w:r w:rsidRPr="00793B66">
        <w:rPr>
          <w:rFonts w:ascii="Times New Roman" w:hAnsi="Times New Roman" w:cs="Times New Roman"/>
          <w:sz w:val="24"/>
          <w:szCs w:val="24"/>
          <w:lang w:val="en-US"/>
        </w:rPr>
        <w:t>As megatrends increasingly transcend regional boundaries, we believe that a more nuanced, theme-driven investment approach is essential for capturing sustainable value. This strategic flexibility allows us to remain agile amid a complex macroeconomic backdrop, while anchoring portfolio construction around enduring principles such as innovation, sustainability, and resilience, which we view as the fundamental pillars of future growth.</w:t>
      </w:r>
    </w:p>
    <w:p w14:paraId="1FF98080" w14:textId="6FDA2121" w:rsidR="00AC541E" w:rsidRPr="00793B66" w:rsidRDefault="001B57AC"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 xml:space="preserve">In June, we maintained a </w:t>
      </w:r>
      <w:r w:rsidR="00B96BCD" w:rsidRPr="00793B66">
        <w:rPr>
          <w:rFonts w:ascii="Times New Roman" w:hAnsi="Times New Roman" w:cs="Times New Roman"/>
          <w:sz w:val="24"/>
          <w:szCs w:val="24"/>
          <w:lang w:val="en-US"/>
        </w:rPr>
        <w:t>predominantly static</w:t>
      </w:r>
      <w:r w:rsidRPr="00793B66">
        <w:rPr>
          <w:rFonts w:ascii="Times New Roman" w:hAnsi="Times New Roman" w:cs="Times New Roman"/>
          <w:sz w:val="24"/>
          <w:szCs w:val="24"/>
          <w:lang w:val="en-US"/>
        </w:rPr>
        <w:t xml:space="preserve"> asset allocation </w:t>
      </w:r>
      <w:r w:rsidR="00FA26B0" w:rsidRPr="00793B66">
        <w:rPr>
          <w:rFonts w:ascii="Times New Roman" w:hAnsi="Times New Roman" w:cs="Times New Roman"/>
          <w:sz w:val="24"/>
          <w:szCs w:val="24"/>
          <w:lang w:val="en-US"/>
        </w:rPr>
        <w:t>across</w:t>
      </w:r>
      <w:r w:rsidRPr="00793B66">
        <w:rPr>
          <w:rFonts w:ascii="Times New Roman" w:hAnsi="Times New Roman" w:cs="Times New Roman"/>
          <w:sz w:val="24"/>
          <w:szCs w:val="24"/>
          <w:lang w:val="en-US"/>
        </w:rPr>
        <w:t xml:space="preserve"> the fund’s portfolio. </w:t>
      </w:r>
      <w:r w:rsidR="00FA26B0" w:rsidRPr="00793B66">
        <w:rPr>
          <w:rFonts w:ascii="Times New Roman" w:hAnsi="Times New Roman" w:cs="Times New Roman"/>
          <w:sz w:val="24"/>
          <w:szCs w:val="24"/>
          <w:lang w:val="en-US"/>
        </w:rPr>
        <w:t>However, r</w:t>
      </w:r>
      <w:r w:rsidRPr="00793B66">
        <w:rPr>
          <w:rFonts w:ascii="Times New Roman" w:hAnsi="Times New Roman" w:cs="Times New Roman"/>
          <w:sz w:val="24"/>
          <w:szCs w:val="24"/>
          <w:lang w:val="en-US"/>
        </w:rPr>
        <w:t xml:space="preserve">egarding new positions, we remained aligned with our recently identified megatrend of smart infrastructure by initiating an investment in Prysmian S.p.A., a leading global manufacturer of power transmission cables. The entry point was particularly attractive, supported by the company’s solid fundamentals and strategic positioning. Prysmian is </w:t>
      </w:r>
      <w:r w:rsidR="00FA26B0" w:rsidRPr="00793B66">
        <w:rPr>
          <w:rFonts w:ascii="Times New Roman" w:hAnsi="Times New Roman" w:cs="Times New Roman"/>
          <w:sz w:val="24"/>
          <w:szCs w:val="24"/>
          <w:lang w:val="en-US"/>
        </w:rPr>
        <w:t>ideally</w:t>
      </w:r>
      <w:r w:rsidRPr="00793B66">
        <w:rPr>
          <w:rFonts w:ascii="Times New Roman" w:hAnsi="Times New Roman" w:cs="Times New Roman"/>
          <w:sz w:val="24"/>
          <w:szCs w:val="24"/>
          <w:lang w:val="en-US"/>
        </w:rPr>
        <w:t xml:space="preserve"> </w:t>
      </w:r>
      <w:r w:rsidR="00FA26B0" w:rsidRPr="00793B66">
        <w:rPr>
          <w:rFonts w:ascii="Times New Roman" w:hAnsi="Times New Roman" w:cs="Times New Roman"/>
          <w:sz w:val="24"/>
          <w:szCs w:val="24"/>
          <w:lang w:val="en-US"/>
        </w:rPr>
        <w:t>placed</w:t>
      </w:r>
      <w:r w:rsidRPr="00793B66">
        <w:rPr>
          <w:rFonts w:ascii="Times New Roman" w:hAnsi="Times New Roman" w:cs="Times New Roman"/>
          <w:sz w:val="24"/>
          <w:szCs w:val="24"/>
          <w:lang w:val="en-US"/>
        </w:rPr>
        <w:t xml:space="preserve"> to benefit from Europe’s ambitious infrastructure spending plans, which are increasingly focused on electrification and digitalization. According to Goldman Sachs, Europe’s power system will require approximately €2 trillion in investment over the next decade, driven by the energy transition, rising electrification demands, and the rapid expansion of data centers. </w:t>
      </w:r>
      <w:r w:rsidR="00320E1B" w:rsidRPr="00793B66">
        <w:rPr>
          <w:rFonts w:ascii="Times New Roman" w:hAnsi="Times New Roman" w:cs="Times New Roman"/>
          <w:sz w:val="24"/>
          <w:szCs w:val="24"/>
          <w:lang w:val="en-US"/>
        </w:rPr>
        <w:t>Furthermore, Prysmian’s exposure to the U.S. market, bolstered by its recent acquisition of Encore, enhances its ability to capture cross-Atlantic demand, while its U.S.-based production footprint also reduces sensitivity to potential tariff risks</w:t>
      </w:r>
      <w:r w:rsidRPr="00793B66">
        <w:rPr>
          <w:rFonts w:ascii="Times New Roman" w:hAnsi="Times New Roman" w:cs="Times New Roman"/>
          <w:sz w:val="24"/>
          <w:szCs w:val="24"/>
          <w:lang w:val="en-US"/>
        </w:rPr>
        <w:t xml:space="preserve">. </w:t>
      </w:r>
      <w:r w:rsidR="00FA26B0" w:rsidRPr="00793B66">
        <w:rPr>
          <w:rFonts w:ascii="Times New Roman" w:hAnsi="Times New Roman" w:cs="Times New Roman"/>
          <w:sz w:val="24"/>
          <w:szCs w:val="24"/>
          <w:lang w:val="en-US"/>
        </w:rPr>
        <w:t>Moreover</w:t>
      </w:r>
      <w:r w:rsidRPr="00793B66">
        <w:rPr>
          <w:rFonts w:ascii="Times New Roman" w:hAnsi="Times New Roman" w:cs="Times New Roman"/>
          <w:sz w:val="24"/>
          <w:szCs w:val="24"/>
          <w:lang w:val="en-US"/>
        </w:rPr>
        <w:t xml:space="preserve">, </w:t>
      </w:r>
      <w:r w:rsidR="00FA26B0" w:rsidRPr="00793B66">
        <w:rPr>
          <w:rFonts w:ascii="Times New Roman" w:hAnsi="Times New Roman" w:cs="Times New Roman"/>
          <w:sz w:val="24"/>
          <w:szCs w:val="24"/>
          <w:lang w:val="en-US"/>
        </w:rPr>
        <w:t>initiatives</w:t>
      </w:r>
      <w:r w:rsidRPr="00793B66">
        <w:rPr>
          <w:rFonts w:ascii="Times New Roman" w:hAnsi="Times New Roman" w:cs="Times New Roman"/>
          <w:sz w:val="24"/>
          <w:szCs w:val="24"/>
          <w:lang w:val="en-US"/>
        </w:rPr>
        <w:t xml:space="preserve"> in both Europe and the U</w:t>
      </w:r>
      <w:r w:rsidR="00D81333" w:rsidRPr="00793B66">
        <w:rPr>
          <w:rFonts w:ascii="Times New Roman" w:hAnsi="Times New Roman" w:cs="Times New Roman"/>
          <w:sz w:val="24"/>
          <w:szCs w:val="24"/>
          <w:lang w:val="en-US"/>
        </w:rPr>
        <w:t>.S.</w:t>
      </w:r>
      <w:r w:rsidRPr="00793B66">
        <w:rPr>
          <w:rFonts w:ascii="Times New Roman" w:hAnsi="Times New Roman" w:cs="Times New Roman"/>
          <w:sz w:val="24"/>
          <w:szCs w:val="24"/>
          <w:lang w:val="en-US"/>
        </w:rPr>
        <w:t xml:space="preserve"> </w:t>
      </w:r>
      <w:r w:rsidR="00D81333" w:rsidRPr="00793B66">
        <w:rPr>
          <w:rFonts w:ascii="Times New Roman" w:hAnsi="Times New Roman" w:cs="Times New Roman"/>
          <w:sz w:val="24"/>
          <w:szCs w:val="24"/>
          <w:lang w:val="en-US"/>
        </w:rPr>
        <w:t>targeting</w:t>
      </w:r>
      <w:r w:rsidRPr="00793B66">
        <w:rPr>
          <w:rFonts w:ascii="Times New Roman" w:hAnsi="Times New Roman" w:cs="Times New Roman"/>
          <w:sz w:val="24"/>
          <w:szCs w:val="24"/>
          <w:lang w:val="en-US"/>
        </w:rPr>
        <w:t xml:space="preserve"> infrastructure and clean energy initiatives, further </w:t>
      </w:r>
      <w:r w:rsidR="00D81333" w:rsidRPr="00793B66">
        <w:rPr>
          <w:rFonts w:ascii="Times New Roman" w:hAnsi="Times New Roman" w:cs="Times New Roman"/>
          <w:sz w:val="24"/>
          <w:szCs w:val="24"/>
          <w:lang w:val="en-US"/>
        </w:rPr>
        <w:t>reinforce the</w:t>
      </w:r>
      <w:r w:rsidRPr="00793B66">
        <w:rPr>
          <w:rFonts w:ascii="Times New Roman" w:hAnsi="Times New Roman" w:cs="Times New Roman"/>
          <w:sz w:val="24"/>
          <w:szCs w:val="24"/>
          <w:lang w:val="en-US"/>
        </w:rPr>
        <w:t xml:space="preserve"> company’s long term growth prospects</w:t>
      </w:r>
      <w:r w:rsidR="0059107D" w:rsidRPr="00793B66">
        <w:rPr>
          <w:rFonts w:ascii="Times New Roman" w:hAnsi="Times New Roman" w:cs="Times New Roman"/>
          <w:sz w:val="24"/>
          <w:szCs w:val="24"/>
          <w:lang w:val="en-US"/>
        </w:rPr>
        <w:t xml:space="preserve">. </w:t>
      </w:r>
      <w:r w:rsidR="00D81333" w:rsidRPr="00793B66">
        <w:rPr>
          <w:rFonts w:ascii="Times New Roman" w:hAnsi="Times New Roman" w:cs="Times New Roman"/>
          <w:sz w:val="24"/>
          <w:szCs w:val="24"/>
          <w:lang w:val="en-US"/>
        </w:rPr>
        <w:t>In parallel</w:t>
      </w:r>
      <w:r w:rsidR="0059107D" w:rsidRPr="00793B66">
        <w:rPr>
          <w:rFonts w:ascii="Times New Roman" w:hAnsi="Times New Roman" w:cs="Times New Roman"/>
          <w:sz w:val="24"/>
          <w:szCs w:val="24"/>
          <w:lang w:val="en-US"/>
        </w:rPr>
        <w:t xml:space="preserve">, we increased our position </w:t>
      </w:r>
      <w:r w:rsidR="00D81333" w:rsidRPr="00793B66">
        <w:rPr>
          <w:rFonts w:ascii="Times New Roman" w:hAnsi="Times New Roman" w:cs="Times New Roman"/>
          <w:sz w:val="24"/>
          <w:szCs w:val="24"/>
          <w:lang w:val="en-US"/>
        </w:rPr>
        <w:t xml:space="preserve">in </w:t>
      </w:r>
      <w:r w:rsidR="0059107D" w:rsidRPr="00793B66">
        <w:rPr>
          <w:rFonts w:ascii="Times New Roman" w:hAnsi="Times New Roman" w:cs="Times New Roman"/>
          <w:sz w:val="24"/>
          <w:szCs w:val="24"/>
          <w:lang w:val="en-US"/>
        </w:rPr>
        <w:t>Itron, Inc.,</w:t>
      </w:r>
      <w:r w:rsidR="00D81333" w:rsidRPr="00793B66">
        <w:rPr>
          <w:rFonts w:ascii="Times New Roman" w:hAnsi="Times New Roman" w:cs="Times New Roman"/>
          <w:sz w:val="24"/>
          <w:szCs w:val="24"/>
          <w:lang w:val="en-US"/>
        </w:rPr>
        <w:t xml:space="preserve"> a recent addition and</w:t>
      </w:r>
      <w:r w:rsidR="0059107D" w:rsidRPr="00793B66">
        <w:rPr>
          <w:rFonts w:ascii="Times New Roman" w:hAnsi="Times New Roman" w:cs="Times New Roman"/>
          <w:sz w:val="24"/>
          <w:szCs w:val="24"/>
          <w:lang w:val="en-US"/>
        </w:rPr>
        <w:t xml:space="preserve"> a </w:t>
      </w:r>
      <w:r w:rsidR="00D81333" w:rsidRPr="00793B66">
        <w:rPr>
          <w:rFonts w:ascii="Times New Roman" w:hAnsi="Times New Roman" w:cs="Times New Roman"/>
          <w:sz w:val="24"/>
          <w:szCs w:val="24"/>
          <w:lang w:val="en-US"/>
        </w:rPr>
        <w:t>key player</w:t>
      </w:r>
      <w:r w:rsidR="0059107D" w:rsidRPr="00793B66">
        <w:rPr>
          <w:rFonts w:ascii="Times New Roman" w:hAnsi="Times New Roman" w:cs="Times New Roman"/>
          <w:sz w:val="24"/>
          <w:szCs w:val="24"/>
          <w:lang w:val="en-US"/>
        </w:rPr>
        <w:t xml:space="preserve"> </w:t>
      </w:r>
      <w:r w:rsidR="00D81333" w:rsidRPr="00793B66">
        <w:rPr>
          <w:rFonts w:ascii="Times New Roman" w:hAnsi="Times New Roman" w:cs="Times New Roman"/>
          <w:sz w:val="24"/>
          <w:szCs w:val="24"/>
          <w:lang w:val="en-US"/>
        </w:rPr>
        <w:t xml:space="preserve">in </w:t>
      </w:r>
      <w:r w:rsidR="0059107D" w:rsidRPr="00793B66">
        <w:rPr>
          <w:rFonts w:ascii="Times New Roman" w:hAnsi="Times New Roman" w:cs="Times New Roman"/>
          <w:sz w:val="24"/>
          <w:szCs w:val="24"/>
          <w:lang w:val="en-US"/>
        </w:rPr>
        <w:t xml:space="preserve">smart city infrastructure solutions. By digitizing data across energy, water, and gas networks, Itron </w:t>
      </w:r>
      <w:r w:rsidR="00D81333" w:rsidRPr="00793B66">
        <w:rPr>
          <w:rFonts w:ascii="Times New Roman" w:hAnsi="Times New Roman" w:cs="Times New Roman"/>
          <w:sz w:val="24"/>
          <w:szCs w:val="24"/>
          <w:lang w:val="en-US"/>
        </w:rPr>
        <w:t xml:space="preserve">enables </w:t>
      </w:r>
      <w:r w:rsidR="0059107D" w:rsidRPr="00793B66">
        <w:rPr>
          <w:rFonts w:ascii="Times New Roman" w:hAnsi="Times New Roman" w:cs="Times New Roman"/>
          <w:sz w:val="24"/>
          <w:szCs w:val="24"/>
          <w:lang w:val="en-US"/>
        </w:rPr>
        <w:t xml:space="preserve">efficiency and greater resilience. The company </w:t>
      </w:r>
      <w:r w:rsidR="00D81333" w:rsidRPr="00793B66">
        <w:rPr>
          <w:rFonts w:ascii="Times New Roman" w:hAnsi="Times New Roman" w:cs="Times New Roman"/>
          <w:sz w:val="24"/>
          <w:szCs w:val="24"/>
          <w:lang w:val="en-US"/>
        </w:rPr>
        <w:t>offers a compelling way to gain</w:t>
      </w:r>
      <w:r w:rsidR="0059107D" w:rsidRPr="00793B66">
        <w:rPr>
          <w:rFonts w:ascii="Times New Roman" w:hAnsi="Times New Roman" w:cs="Times New Roman"/>
          <w:sz w:val="24"/>
          <w:szCs w:val="24"/>
          <w:lang w:val="en-US"/>
        </w:rPr>
        <w:t xml:space="preserve"> exposure to the smart infrastructure megatrend and the rapid adoption of AI powered technologies at the grid edge. </w:t>
      </w:r>
      <w:r w:rsidR="00D81333" w:rsidRPr="00793B66">
        <w:rPr>
          <w:rFonts w:ascii="Times New Roman" w:hAnsi="Times New Roman" w:cs="Times New Roman"/>
          <w:sz w:val="24"/>
          <w:szCs w:val="24"/>
          <w:lang w:val="en-US"/>
        </w:rPr>
        <w:t>On the divestment side</w:t>
      </w:r>
      <w:r w:rsidR="00AC541E" w:rsidRPr="00793B66">
        <w:rPr>
          <w:rFonts w:ascii="Times New Roman" w:hAnsi="Times New Roman" w:cs="Times New Roman"/>
          <w:sz w:val="24"/>
          <w:szCs w:val="24"/>
          <w:lang w:val="en-US"/>
        </w:rPr>
        <w:t>, we executed a partial profit-takin</w:t>
      </w:r>
      <w:r w:rsidR="00D81333" w:rsidRPr="00793B66">
        <w:rPr>
          <w:rFonts w:ascii="Times New Roman" w:hAnsi="Times New Roman" w:cs="Times New Roman"/>
          <w:sz w:val="24"/>
          <w:szCs w:val="24"/>
          <w:lang w:val="en-US"/>
        </w:rPr>
        <w:t>g</w:t>
      </w:r>
      <w:r w:rsidR="00AC541E" w:rsidRPr="00793B66">
        <w:rPr>
          <w:rFonts w:ascii="Times New Roman" w:hAnsi="Times New Roman" w:cs="Times New Roman"/>
          <w:sz w:val="24"/>
          <w:szCs w:val="24"/>
          <w:lang w:val="en-US"/>
        </w:rPr>
        <w:t xml:space="preserve"> in Galderma Group AG. The </w:t>
      </w:r>
      <w:r w:rsidR="00D81333" w:rsidRPr="00793B66">
        <w:rPr>
          <w:rFonts w:ascii="Times New Roman" w:hAnsi="Times New Roman" w:cs="Times New Roman"/>
          <w:sz w:val="24"/>
          <w:szCs w:val="24"/>
          <w:lang w:val="en-US"/>
        </w:rPr>
        <w:t xml:space="preserve">notable </w:t>
      </w:r>
      <w:r w:rsidR="00AC541E" w:rsidRPr="00793B66">
        <w:rPr>
          <w:rFonts w:ascii="Times New Roman" w:hAnsi="Times New Roman" w:cs="Times New Roman"/>
          <w:sz w:val="24"/>
          <w:szCs w:val="24"/>
          <w:lang w:val="en-US"/>
        </w:rPr>
        <w:t xml:space="preserve">appreciation in the stock price has tempered the upside potential, </w:t>
      </w:r>
      <w:r w:rsidR="00D81333" w:rsidRPr="00793B66">
        <w:rPr>
          <w:rFonts w:ascii="Times New Roman" w:hAnsi="Times New Roman" w:cs="Times New Roman"/>
          <w:sz w:val="24"/>
          <w:szCs w:val="24"/>
          <w:lang w:val="en-US"/>
        </w:rPr>
        <w:t xml:space="preserve">particularly in the </w:t>
      </w:r>
      <w:r w:rsidR="00AC541E" w:rsidRPr="00793B66">
        <w:rPr>
          <w:rFonts w:ascii="Times New Roman" w:hAnsi="Times New Roman" w:cs="Times New Roman"/>
          <w:sz w:val="24"/>
          <w:szCs w:val="24"/>
          <w:lang w:val="en-US"/>
        </w:rPr>
        <w:t xml:space="preserve">outlook for fillers and biostimulators, </w:t>
      </w:r>
      <w:r w:rsidR="00D81333" w:rsidRPr="00793B66">
        <w:rPr>
          <w:rFonts w:ascii="Times New Roman" w:hAnsi="Times New Roman" w:cs="Times New Roman"/>
          <w:sz w:val="24"/>
          <w:szCs w:val="24"/>
          <w:lang w:val="en-US"/>
        </w:rPr>
        <w:t>although</w:t>
      </w:r>
      <w:r w:rsidR="00AC541E" w:rsidRPr="00793B66">
        <w:rPr>
          <w:rFonts w:ascii="Times New Roman" w:hAnsi="Times New Roman" w:cs="Times New Roman"/>
          <w:sz w:val="24"/>
          <w:szCs w:val="24"/>
          <w:lang w:val="en-US"/>
        </w:rPr>
        <w:t xml:space="preserve"> the trend for neuromodulators remains robust. </w:t>
      </w:r>
    </w:p>
    <w:p w14:paraId="32E56F94" w14:textId="50809CCB" w:rsidR="00320E1B" w:rsidRPr="00793B66" w:rsidRDefault="00F86734"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As previously mentioned, the U.S. dollar has declined by 10.7 percent against a basket of global peers through June, marking its worst six</w:t>
      </w:r>
      <w:r w:rsidR="00136853" w:rsidRPr="00793B66">
        <w:rPr>
          <w:rFonts w:ascii="Times New Roman" w:hAnsi="Times New Roman" w:cs="Times New Roman"/>
          <w:sz w:val="24"/>
          <w:szCs w:val="24"/>
          <w:lang w:val="en-US"/>
        </w:rPr>
        <w:t>-</w:t>
      </w:r>
      <w:r w:rsidRPr="00793B66">
        <w:rPr>
          <w:rFonts w:ascii="Times New Roman" w:hAnsi="Times New Roman" w:cs="Times New Roman"/>
          <w:sz w:val="24"/>
          <w:szCs w:val="24"/>
          <w:lang w:val="en-US"/>
        </w:rPr>
        <w:t>month performance since President Nixon dismantled the Bretton Woods gold standard. While</w:t>
      </w:r>
      <w:r w:rsidR="00D81333" w:rsidRPr="00793B66">
        <w:rPr>
          <w:rFonts w:ascii="Times New Roman" w:hAnsi="Times New Roman" w:cs="Times New Roman"/>
          <w:sz w:val="24"/>
          <w:szCs w:val="24"/>
          <w:lang w:val="en-US"/>
        </w:rPr>
        <w:t xml:space="preserve"> we believe</w:t>
      </w:r>
      <w:r w:rsidRPr="00793B66">
        <w:rPr>
          <w:rFonts w:ascii="Times New Roman" w:hAnsi="Times New Roman" w:cs="Times New Roman"/>
          <w:sz w:val="24"/>
          <w:szCs w:val="24"/>
          <w:lang w:val="en-US"/>
        </w:rPr>
        <w:t xml:space="preserve"> peak dollar bearishness may have passed, a more aggressive and deeper easing cycle by the Federal Reserve than currently expected could serve as an additional catalyst for further depreciation, particularly against the Swiss franc. The </w:t>
      </w:r>
      <w:r w:rsidR="00D81333" w:rsidRPr="00793B66">
        <w:rPr>
          <w:rFonts w:ascii="Times New Roman" w:hAnsi="Times New Roman" w:cs="Times New Roman"/>
          <w:sz w:val="24"/>
          <w:szCs w:val="24"/>
          <w:lang w:val="en-US"/>
        </w:rPr>
        <w:t xml:space="preserve">monetary policy </w:t>
      </w:r>
      <w:r w:rsidRPr="00793B66">
        <w:rPr>
          <w:rFonts w:ascii="Times New Roman" w:hAnsi="Times New Roman" w:cs="Times New Roman"/>
          <w:sz w:val="24"/>
          <w:szCs w:val="24"/>
          <w:lang w:val="en-US"/>
        </w:rPr>
        <w:t>divergence between the respective central banks has become increasingly pronounced. In June, the Swiss National Bank (SNB) cut interest rates to zero, while the Federal Reserve held rates steady. This divergence, combined with the safe</w:t>
      </w:r>
      <w:r w:rsidR="00136853" w:rsidRPr="00793B66">
        <w:rPr>
          <w:rFonts w:ascii="Times New Roman" w:hAnsi="Times New Roman" w:cs="Times New Roman"/>
          <w:sz w:val="24"/>
          <w:szCs w:val="24"/>
          <w:lang w:val="en-US"/>
        </w:rPr>
        <w:t>-</w:t>
      </w:r>
      <w:r w:rsidRPr="00793B66">
        <w:rPr>
          <w:rFonts w:ascii="Times New Roman" w:hAnsi="Times New Roman" w:cs="Times New Roman"/>
          <w:sz w:val="24"/>
          <w:szCs w:val="24"/>
          <w:lang w:val="en-US"/>
        </w:rPr>
        <w:t xml:space="preserve">haven appeal of the franc, has driven the currency to its strongest level against the U.S. dollar since 2015. Although the pace of dollar weakness may moderate in the coming months, the broader </w:t>
      </w:r>
      <w:r w:rsidRPr="006E43FC">
        <w:rPr>
          <w:rFonts w:ascii="Times New Roman" w:hAnsi="Times New Roman" w:cs="Times New Roman"/>
          <w:sz w:val="24"/>
          <w:szCs w:val="24"/>
          <w:lang w:val="en-US"/>
        </w:rPr>
        <w:t>de-dollarization trend</w:t>
      </w:r>
      <w:r w:rsidRPr="00793B66">
        <w:rPr>
          <w:rFonts w:ascii="Times New Roman" w:hAnsi="Times New Roman" w:cs="Times New Roman"/>
          <w:sz w:val="24"/>
          <w:szCs w:val="24"/>
          <w:lang w:val="en-US"/>
        </w:rPr>
        <w:t xml:space="preserve"> remains underway, pointing to continued downside risk over time. In this </w:t>
      </w:r>
      <w:r w:rsidRPr="00793B66">
        <w:rPr>
          <w:rFonts w:ascii="Times New Roman" w:hAnsi="Times New Roman" w:cs="Times New Roman"/>
          <w:sz w:val="24"/>
          <w:szCs w:val="24"/>
          <w:lang w:val="en-US"/>
        </w:rPr>
        <w:lastRenderedPageBreak/>
        <w:t xml:space="preserve">context, the IMP Global Megatrend Umbrella Fund CHF hedged share class </w:t>
      </w:r>
      <w:r w:rsidR="006F0A6F">
        <w:rPr>
          <w:rFonts w:ascii="Times New Roman" w:hAnsi="Times New Roman" w:cs="Times New Roman"/>
          <w:sz w:val="24"/>
          <w:szCs w:val="24"/>
          <w:lang w:val="en-US"/>
        </w:rPr>
        <w:t>was</w:t>
      </w:r>
      <w:r w:rsidR="005B50D0">
        <w:rPr>
          <w:rFonts w:ascii="Times New Roman" w:hAnsi="Times New Roman" w:cs="Times New Roman"/>
          <w:sz w:val="24"/>
          <w:szCs w:val="24"/>
          <w:lang w:val="en-US"/>
        </w:rPr>
        <w:t xml:space="preserve"> </w:t>
      </w:r>
      <w:r w:rsidR="005B50D0" w:rsidRPr="00B716EC">
        <w:rPr>
          <w:rFonts w:ascii="Times New Roman" w:hAnsi="Times New Roman" w:cs="Times New Roman"/>
          <w:sz w:val="24"/>
          <w:szCs w:val="24"/>
          <w:lang w:val="en-US"/>
        </w:rPr>
        <w:t>launched</w:t>
      </w:r>
      <w:r w:rsidRPr="00B716EC">
        <w:rPr>
          <w:rFonts w:ascii="Times New Roman" w:hAnsi="Times New Roman" w:cs="Times New Roman"/>
          <w:sz w:val="24"/>
          <w:szCs w:val="24"/>
          <w:lang w:val="en-US"/>
        </w:rPr>
        <w:t>,</w:t>
      </w:r>
      <w:r w:rsidRPr="00793B66">
        <w:rPr>
          <w:rFonts w:ascii="Times New Roman" w:hAnsi="Times New Roman" w:cs="Times New Roman"/>
          <w:sz w:val="24"/>
          <w:szCs w:val="24"/>
          <w:lang w:val="en-US"/>
        </w:rPr>
        <w:t xml:space="preserve"> enabling both new and existing shareholders to access the fund with currency risk mitigated against further depreciation of the U.S. dollar.</w:t>
      </w:r>
      <w:r w:rsidR="00136853" w:rsidRPr="00793B66">
        <w:rPr>
          <w:rFonts w:ascii="Times New Roman" w:hAnsi="Times New Roman" w:cs="Times New Roman"/>
          <w:sz w:val="24"/>
          <w:szCs w:val="24"/>
          <w:lang w:val="en-US"/>
        </w:rPr>
        <w:t xml:space="preserve"> </w:t>
      </w:r>
      <w:r w:rsidR="00320E1B" w:rsidRPr="00793B66">
        <w:rPr>
          <w:rFonts w:ascii="Times New Roman" w:hAnsi="Times New Roman" w:cs="Times New Roman"/>
          <w:sz w:val="24"/>
          <w:szCs w:val="24"/>
          <w:lang w:val="en-US"/>
        </w:rPr>
        <w:t>Designed to provide enhanced access for investors with a Swiss franc home bias, the CHF-hedged share class aims to attract a broad range of institutional and private investors seeking to manage currency risk and strengthen portfolio resilience amid rising foreign exchange volatility.</w:t>
      </w:r>
    </w:p>
    <w:p w14:paraId="5D45AE15" w14:textId="710BEA9D" w:rsidR="002A72A2" w:rsidRPr="00793B66" w:rsidRDefault="00D81333"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Looking</w:t>
      </w:r>
      <w:r w:rsidR="003A64F7">
        <w:rPr>
          <w:rFonts w:ascii="Times New Roman" w:hAnsi="Times New Roman" w:cs="Times New Roman"/>
          <w:sz w:val="24"/>
          <w:szCs w:val="24"/>
          <w:lang w:val="en-US"/>
        </w:rPr>
        <w:t xml:space="preserve"> </w:t>
      </w:r>
      <w:r w:rsidR="003A64F7" w:rsidRPr="00B716EC">
        <w:rPr>
          <w:rFonts w:ascii="Times New Roman" w:hAnsi="Times New Roman" w:cs="Times New Roman"/>
          <w:sz w:val="24"/>
          <w:szCs w:val="24"/>
          <w:lang w:val="en-US"/>
        </w:rPr>
        <w:t>forward</w:t>
      </w:r>
      <w:r w:rsidR="002A72A2" w:rsidRPr="00B716EC">
        <w:rPr>
          <w:rFonts w:ascii="Times New Roman" w:hAnsi="Times New Roman" w:cs="Times New Roman"/>
          <w:sz w:val="24"/>
          <w:szCs w:val="24"/>
          <w:lang w:val="en-US"/>
        </w:rPr>
        <w:t>,</w:t>
      </w:r>
      <w:r w:rsidR="002A72A2" w:rsidRPr="00793B66">
        <w:rPr>
          <w:rFonts w:ascii="Times New Roman" w:hAnsi="Times New Roman" w:cs="Times New Roman"/>
          <w:sz w:val="24"/>
          <w:szCs w:val="24"/>
          <w:lang w:val="en-US"/>
        </w:rPr>
        <w:t xml:space="preserve"> five transformative forces are set to shape the investment landscape in the second half of the year: the evolving trajectory of U.S. trade and fiscal policies, persistent geopolitical risks, a continued decline in global interest rates, ongoing weakness in the U.S. dollar, and powerful, long-term structural growth trends. </w:t>
      </w:r>
      <w:r w:rsidR="008B6538" w:rsidRPr="00793B66">
        <w:rPr>
          <w:rFonts w:ascii="Times New Roman" w:hAnsi="Times New Roman" w:cs="Times New Roman"/>
          <w:sz w:val="24"/>
          <w:szCs w:val="24"/>
          <w:lang w:val="en-US"/>
        </w:rPr>
        <w:t>These trends are profoundly shaped by groundbreaking technological disruptions in ar</w:t>
      </w:r>
      <w:r w:rsidR="00EB1FB1">
        <w:rPr>
          <w:rFonts w:ascii="Times New Roman" w:hAnsi="Times New Roman" w:cs="Times New Roman"/>
          <w:sz w:val="24"/>
          <w:szCs w:val="24"/>
          <w:lang w:val="en-US"/>
        </w:rPr>
        <w:t>t</w:t>
      </w:r>
      <w:r w:rsidR="008B6538" w:rsidRPr="00793B66">
        <w:rPr>
          <w:rFonts w:ascii="Times New Roman" w:hAnsi="Times New Roman" w:cs="Times New Roman"/>
          <w:sz w:val="24"/>
          <w:szCs w:val="24"/>
          <w:lang w:val="en-US"/>
        </w:rPr>
        <w:t>i</w:t>
      </w:r>
      <w:r w:rsidR="00EB1FB1">
        <w:rPr>
          <w:rFonts w:ascii="Times New Roman" w:hAnsi="Times New Roman" w:cs="Times New Roman"/>
          <w:sz w:val="24"/>
          <w:szCs w:val="24"/>
          <w:lang w:val="en-US"/>
        </w:rPr>
        <w:t xml:space="preserve">ficial </w:t>
      </w:r>
      <w:r w:rsidR="008B6538" w:rsidRPr="00793B66">
        <w:rPr>
          <w:rFonts w:ascii="Times New Roman" w:hAnsi="Times New Roman" w:cs="Times New Roman"/>
          <w:sz w:val="24"/>
          <w:szCs w:val="24"/>
          <w:lang w:val="en-US"/>
        </w:rPr>
        <w:t xml:space="preserve">intelligence, the evolving landscape of mobility and transportation, the realignment of global economic power, </w:t>
      </w:r>
      <w:r w:rsidR="005227FD" w:rsidRPr="00B716EC">
        <w:rPr>
          <w:rFonts w:ascii="Times New Roman" w:hAnsi="Times New Roman" w:cs="Times New Roman"/>
          <w:sz w:val="24"/>
          <w:szCs w:val="24"/>
          <w:lang w:val="en-US"/>
        </w:rPr>
        <w:t>overarching</w:t>
      </w:r>
      <w:r w:rsidR="005227FD">
        <w:rPr>
          <w:rFonts w:ascii="Times New Roman" w:hAnsi="Times New Roman" w:cs="Times New Roman"/>
          <w:sz w:val="24"/>
          <w:szCs w:val="24"/>
          <w:lang w:val="en-US"/>
        </w:rPr>
        <w:t xml:space="preserve"> </w:t>
      </w:r>
      <w:r w:rsidR="008B6538" w:rsidRPr="00793B66">
        <w:rPr>
          <w:rFonts w:ascii="Times New Roman" w:hAnsi="Times New Roman" w:cs="Times New Roman"/>
          <w:sz w:val="24"/>
          <w:szCs w:val="24"/>
          <w:lang w:val="en-US"/>
        </w:rPr>
        <w:t>transformative shifts in consumer behavior, remarkable advancements in human longevity, and the swift progression of smart infrastructure.</w:t>
      </w:r>
      <w:r w:rsidR="00427DCF">
        <w:rPr>
          <w:rFonts w:ascii="Times New Roman" w:hAnsi="Times New Roman" w:cs="Times New Roman"/>
          <w:sz w:val="24"/>
          <w:szCs w:val="24"/>
          <w:lang w:val="en-US"/>
        </w:rPr>
        <w:t xml:space="preserve"> </w:t>
      </w:r>
      <w:r w:rsidR="002A72A2" w:rsidRPr="00793B66">
        <w:rPr>
          <w:rFonts w:ascii="Times New Roman" w:hAnsi="Times New Roman" w:cs="Times New Roman"/>
          <w:sz w:val="24"/>
          <w:szCs w:val="24"/>
          <w:lang w:val="en-US"/>
        </w:rPr>
        <w:t xml:space="preserve">While the road ahead is undoubtedly fraught with challenges, particularly in navigating the complex geopolitical landscape and ongoing tensions between the U.S. and China, we anticipate that market volatility will remain a persistent feature as these dynamics unfold. </w:t>
      </w:r>
      <w:r w:rsidR="005E69BC">
        <w:rPr>
          <w:rFonts w:ascii="Times New Roman" w:hAnsi="Times New Roman" w:cs="Times New Roman"/>
          <w:sz w:val="24"/>
          <w:szCs w:val="24"/>
          <w:lang w:val="en-US"/>
        </w:rPr>
        <w:t>Additionally,</w:t>
      </w:r>
      <w:r w:rsidR="002A72A2" w:rsidRPr="00793B66">
        <w:rPr>
          <w:rFonts w:ascii="Times New Roman" w:hAnsi="Times New Roman" w:cs="Times New Roman"/>
          <w:sz w:val="24"/>
          <w:szCs w:val="24"/>
          <w:lang w:val="en-US"/>
        </w:rPr>
        <w:t xml:space="preserve"> </w:t>
      </w:r>
      <w:r w:rsidR="00B716EC">
        <w:rPr>
          <w:rFonts w:ascii="Times New Roman" w:hAnsi="Times New Roman" w:cs="Times New Roman"/>
          <w:sz w:val="24"/>
          <w:szCs w:val="24"/>
          <w:lang w:val="en-US"/>
        </w:rPr>
        <w:t xml:space="preserve">global </w:t>
      </w:r>
      <w:r w:rsidR="005E69BC">
        <w:rPr>
          <w:rFonts w:ascii="Times New Roman" w:hAnsi="Times New Roman" w:cs="Times New Roman"/>
          <w:sz w:val="24"/>
          <w:szCs w:val="24"/>
          <w:lang w:val="en-US"/>
        </w:rPr>
        <w:t>headwinds</w:t>
      </w:r>
      <w:r w:rsidR="002A72A2" w:rsidRPr="00793B66">
        <w:rPr>
          <w:rFonts w:ascii="Times New Roman" w:hAnsi="Times New Roman" w:cs="Times New Roman"/>
          <w:sz w:val="24"/>
          <w:szCs w:val="24"/>
          <w:lang w:val="en-US"/>
        </w:rPr>
        <w:t xml:space="preserve"> including mixed economic data and </w:t>
      </w:r>
      <w:r w:rsidR="00793B66" w:rsidRPr="00793B66">
        <w:rPr>
          <w:rFonts w:ascii="Times New Roman" w:hAnsi="Times New Roman" w:cs="Times New Roman"/>
          <w:sz w:val="24"/>
          <w:szCs w:val="24"/>
          <w:lang w:val="en-US"/>
        </w:rPr>
        <w:t>fiscal policy discrepancies</w:t>
      </w:r>
      <w:r w:rsidR="002A72A2" w:rsidRPr="00793B66">
        <w:rPr>
          <w:rFonts w:ascii="Times New Roman" w:hAnsi="Times New Roman" w:cs="Times New Roman"/>
          <w:sz w:val="24"/>
          <w:szCs w:val="24"/>
          <w:lang w:val="en-US"/>
        </w:rPr>
        <w:t>, may further amplify short-term market fluctuations. Nonetheless, we remain resolute in our conviction that such volatility presents opportunities, not obstacles. For investors with the patience and foresight to look beyond short-term noise, these periods of dislocation can present compelling entry points for long-term, sustainable growth.</w:t>
      </w:r>
    </w:p>
    <w:p w14:paraId="5ADF2CA8" w14:textId="537EB574" w:rsidR="00F93E15" w:rsidRPr="00793B66" w:rsidRDefault="00CC7490"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Thank you for your continued trust and support.</w:t>
      </w:r>
      <w:r w:rsidR="00B15E56" w:rsidRPr="00793B66">
        <w:rPr>
          <w:rFonts w:ascii="Times New Roman" w:hAnsi="Times New Roman" w:cs="Times New Roman"/>
          <w:sz w:val="24"/>
          <w:szCs w:val="24"/>
          <w:lang w:val="en-US"/>
        </w:rPr>
        <w:t xml:space="preserve"> </w:t>
      </w:r>
    </w:p>
    <w:p w14:paraId="098320F4" w14:textId="442CFDD2" w:rsidR="006F06BC" w:rsidRPr="00793B66" w:rsidRDefault="00CC7490"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Stefan Wiederkehr &amp; Karin Wiederkehr</w:t>
      </w:r>
    </w:p>
    <w:p w14:paraId="0A239243" w14:textId="77777777" w:rsidR="00D517FB" w:rsidRPr="00793B66" w:rsidRDefault="00D517FB" w:rsidP="00793B66">
      <w:pPr>
        <w:jc w:val="both"/>
        <w:rPr>
          <w:rFonts w:ascii="Times New Roman" w:hAnsi="Times New Roman" w:cs="Times New Roman"/>
          <w:sz w:val="24"/>
          <w:szCs w:val="24"/>
          <w:lang w:val="en-US"/>
        </w:rPr>
      </w:pPr>
    </w:p>
    <w:p w14:paraId="78799700" w14:textId="77777777" w:rsidR="00D517FB" w:rsidRPr="00793B66" w:rsidRDefault="00D517FB" w:rsidP="00793B66">
      <w:pPr>
        <w:jc w:val="both"/>
        <w:rPr>
          <w:rFonts w:ascii="Times New Roman" w:hAnsi="Times New Roman" w:cs="Times New Roman"/>
          <w:sz w:val="24"/>
          <w:szCs w:val="24"/>
          <w:lang w:val="en-US"/>
        </w:rPr>
      </w:pPr>
    </w:p>
    <w:p w14:paraId="61950D80" w14:textId="77777777" w:rsidR="00D517FB" w:rsidRPr="00793B66" w:rsidRDefault="00D517FB" w:rsidP="00793B66">
      <w:pPr>
        <w:jc w:val="both"/>
        <w:rPr>
          <w:rFonts w:ascii="Times New Roman" w:hAnsi="Times New Roman" w:cs="Times New Roman"/>
          <w:sz w:val="24"/>
          <w:szCs w:val="24"/>
          <w:lang w:val="en-US"/>
        </w:rPr>
      </w:pPr>
    </w:p>
    <w:p w14:paraId="16025073" w14:textId="77777777" w:rsidR="00D517FB" w:rsidRPr="00793B66" w:rsidRDefault="00D517FB" w:rsidP="00793B66">
      <w:pPr>
        <w:jc w:val="both"/>
        <w:rPr>
          <w:rFonts w:ascii="Times New Roman" w:hAnsi="Times New Roman" w:cs="Times New Roman"/>
          <w:sz w:val="24"/>
          <w:szCs w:val="24"/>
          <w:lang w:val="en-US"/>
        </w:rPr>
      </w:pPr>
    </w:p>
    <w:p w14:paraId="12C178C1" w14:textId="77777777" w:rsidR="00D517FB" w:rsidRDefault="00D517FB" w:rsidP="00793B66">
      <w:pPr>
        <w:jc w:val="both"/>
        <w:rPr>
          <w:rFonts w:ascii="Times New Roman" w:hAnsi="Times New Roman" w:cs="Times New Roman"/>
          <w:sz w:val="24"/>
          <w:szCs w:val="24"/>
          <w:lang w:val="en-US"/>
        </w:rPr>
      </w:pPr>
    </w:p>
    <w:p w14:paraId="273F0A84" w14:textId="77777777" w:rsidR="00B716EC" w:rsidRPr="00793B66" w:rsidRDefault="00B716EC" w:rsidP="00793B66">
      <w:pPr>
        <w:jc w:val="both"/>
        <w:rPr>
          <w:rFonts w:ascii="Times New Roman" w:hAnsi="Times New Roman" w:cs="Times New Roman"/>
          <w:sz w:val="24"/>
          <w:szCs w:val="24"/>
          <w:lang w:val="en-US"/>
        </w:rPr>
      </w:pPr>
    </w:p>
    <w:p w14:paraId="406C55BB" w14:textId="77777777" w:rsidR="00D517FB" w:rsidRPr="00793B66" w:rsidRDefault="00D517FB" w:rsidP="00793B66">
      <w:pPr>
        <w:jc w:val="both"/>
        <w:rPr>
          <w:rFonts w:ascii="Times New Roman" w:hAnsi="Times New Roman" w:cs="Times New Roman"/>
          <w:sz w:val="24"/>
          <w:szCs w:val="24"/>
          <w:lang w:val="en-US"/>
        </w:rPr>
      </w:pPr>
    </w:p>
    <w:p w14:paraId="0634EEDD" w14:textId="77777777" w:rsidR="00D517FB" w:rsidRPr="00793B66" w:rsidRDefault="00D517FB" w:rsidP="00793B66">
      <w:pPr>
        <w:jc w:val="both"/>
        <w:rPr>
          <w:rFonts w:ascii="Times New Roman" w:hAnsi="Times New Roman" w:cs="Times New Roman"/>
          <w:sz w:val="24"/>
          <w:szCs w:val="24"/>
          <w:lang w:val="en-US"/>
        </w:rPr>
      </w:pPr>
    </w:p>
    <w:p w14:paraId="4B9E6695" w14:textId="77777777" w:rsidR="00D517FB" w:rsidRDefault="00D517FB" w:rsidP="00793B66">
      <w:pPr>
        <w:jc w:val="both"/>
        <w:rPr>
          <w:rFonts w:ascii="Times New Roman" w:hAnsi="Times New Roman" w:cs="Times New Roman"/>
          <w:sz w:val="24"/>
          <w:szCs w:val="24"/>
          <w:lang w:val="en-US"/>
        </w:rPr>
      </w:pPr>
    </w:p>
    <w:p w14:paraId="49637F05" w14:textId="77777777" w:rsidR="00530A36" w:rsidRPr="00793B66" w:rsidRDefault="00530A36" w:rsidP="00793B66">
      <w:pPr>
        <w:jc w:val="both"/>
        <w:rPr>
          <w:rFonts w:ascii="Times New Roman" w:hAnsi="Times New Roman" w:cs="Times New Roman"/>
          <w:sz w:val="24"/>
          <w:szCs w:val="24"/>
          <w:lang w:val="en-US"/>
        </w:rPr>
      </w:pPr>
    </w:p>
    <w:p w14:paraId="1B4A9FA5" w14:textId="77777777" w:rsidR="00D517FB" w:rsidRPr="00793B66" w:rsidRDefault="00D517FB" w:rsidP="00793B66">
      <w:pPr>
        <w:jc w:val="both"/>
        <w:rPr>
          <w:rFonts w:ascii="Times New Roman" w:hAnsi="Times New Roman" w:cs="Times New Roman"/>
          <w:sz w:val="24"/>
          <w:szCs w:val="24"/>
          <w:lang w:val="en-US"/>
        </w:rPr>
      </w:pPr>
    </w:p>
    <w:p w14:paraId="302D18E2" w14:textId="77777777" w:rsidR="00D517FB" w:rsidRPr="00793B66" w:rsidRDefault="00D517FB" w:rsidP="00793B66">
      <w:pPr>
        <w:jc w:val="both"/>
        <w:rPr>
          <w:rFonts w:ascii="Times New Roman" w:hAnsi="Times New Roman" w:cs="Times New Roman"/>
          <w:sz w:val="24"/>
          <w:szCs w:val="24"/>
          <w:lang w:val="en-US"/>
        </w:rPr>
      </w:pPr>
    </w:p>
    <w:p w14:paraId="6ADA7694" w14:textId="4521CE28" w:rsidR="00CA5B9D" w:rsidRPr="00793B66" w:rsidRDefault="00CA5B9D"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lastRenderedPageBreak/>
        <w:t xml:space="preserve">This document is a marketing advertisement and has been prepared by MRB Fund Partners AG for information and marketing purposes only. All information and contents of this fund commentary are based on carefully selected sources that have been deemed reliable. Nevertheless, despite careful compilation of the information and content, MRB Fund Partners AG cannot assume any liability or guarantee for its correctness, completeness, accuracy, timeliness or availability. Furthermore, this fund commentary has neither been reviewed nor approved by a supervisory authority. The information and content legally constitute advertising messages that do not fulfil all legal requirements. This fund commentary is aimed at retail clients within the meaning of the European Financial Markets Directive and presents this investment opportunity as an entrepreneurial investment which, in addition to opportunities for returns, also involves risks up to and including the total loss of the invested capital. An investment decision may only be made on the basis of the information provided to investors as required by law. Please read the constituent documents, the prospectus and the key information documents before making a final investment decision. This fund commentary must be read in conjunction with the constituent documents or the prospectus and the key information documents for packaged investment products and insurance-based investment products (PRIIPs), if available under the relevant fund law, as these documents alone are authoritative. It is therefore necessary to read these documents carefully and in full before purchasing units in this fund. A subscription for units will only be accepted on the basis of the constituent documents, the prospectus and the key information documents for packaged investment products and insurance-based investment products (PRIIPs). No one should act on the basis of the information contained in this fund commentary without thoroughly analyzing the situation in question and obtaining appropriate professional advice from competent third parties. If available under the relevant fund law, the constitutive documents, the prospectus and the key information documents for packaged investment products and insurance-based investment products (PRIIPs) as well as the current annual and semi-annual reports can be obtained free of charge from the management company, the depositary and all authorized distributors in Switzerland and abroad. The information in this fund commentary is for information purposes only and does not contain any contractual or other obligations. It should not be construed as an offer or an advertisement soliciting the purchase of shares in this fund. Furthermore, this fund commentary does not constitute investment advice. The information and contents of this fund commentary may also be unsuitable or inapplicable for certain investors. It is intended solely for the purpose of providing information on your own responsibility and cannot replace individual advice. This fund commentary does not take into account specific or future investment objectives, financial or tax circumstances or other special needs of an investor. The value and income of the fund described in this fund commentary may go down as well as up. It is possible that an investor may not get back the amount originally invested or may not get it back in full. Past performance is not a reliable indicator of future results and the performance shown does not take into account the commissions and costs incurred on the subscription and redemption of fund units. Furthermore, the fund currency is subject to exchange rate fluctuations if the reference currency of a unit class is not the same as the fund currency. This fund commentary may contain forward-looking statements, in particular statements about future market developments. Future performance is neither expressly nor implicitly guaranteed or promised. Although all forward-looking statements contained in this fund commentary are </w:t>
      </w:r>
      <w:r w:rsidRPr="00793B66">
        <w:rPr>
          <w:rFonts w:ascii="Times New Roman" w:hAnsi="Times New Roman" w:cs="Times New Roman"/>
          <w:sz w:val="24"/>
          <w:szCs w:val="24"/>
          <w:lang w:val="en-US"/>
        </w:rPr>
        <w:lastRenderedPageBreak/>
        <w:t>based on our carefully reasoned judgements and expectations, uncertainties and various risk factors could cause actual developments and results to differ materially from our statements. Further information on public distribution in the individual countries can be found in the constituent documents, the prospectus and the key information documents for packaged investment products and insurance-based investment products (PRIIPs), if available under the respective fund law. Due to different authorization procedures, no guarantee can be given that the fund or any of its sub-funds are or will be authorized for distribution in every country at the same time. In countries in which the fund is not authorized for public distribution, it can only be distributed - in accordance with local regulations - as a "private placement" or to institutional investors. Fund units are not offered for sale in countries in which such a sale is not permitted by law. This fund is not registered under the United States Securities Act of 1933. Fund units may therefore not be offered or distributed in the USA for or on behalf of a US person (in accordance with the definitions in US federal laws relating to securities, commodities and taxes, including "Regulation S" under the United States Securities Act of 1993). Subsequent transfers of fund units to the United States and/or to US persons are not permitted. Any documents relating to this fund may not be circulated in the United States.</w:t>
      </w:r>
    </w:p>
    <w:p w14:paraId="4436EFB9" w14:textId="0F5AF4B8" w:rsidR="001A4FF7" w:rsidRPr="00793B66" w:rsidRDefault="00CA5B9D" w:rsidP="00793B66">
      <w:pPr>
        <w:jc w:val="both"/>
        <w:rPr>
          <w:rFonts w:ascii="Times New Roman" w:hAnsi="Times New Roman" w:cs="Times New Roman"/>
          <w:sz w:val="24"/>
          <w:szCs w:val="24"/>
          <w:lang w:val="en-US"/>
        </w:rPr>
      </w:pPr>
      <w:r w:rsidRPr="00793B66">
        <w:rPr>
          <w:rFonts w:ascii="Times New Roman" w:hAnsi="Times New Roman" w:cs="Times New Roman"/>
          <w:sz w:val="24"/>
          <w:szCs w:val="24"/>
          <w:lang w:val="en-US"/>
        </w:rPr>
        <w:t>@MRB FUND PARTNERS AG. All rights reserved.</w:t>
      </w:r>
    </w:p>
    <w:sectPr w:rsidR="001A4FF7" w:rsidRPr="00793B66" w:rsidSect="00085731">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ADFA" w14:textId="77777777" w:rsidR="00514329" w:rsidRDefault="00514329" w:rsidP="00EE0533">
      <w:pPr>
        <w:spacing w:after="0" w:line="240" w:lineRule="auto"/>
      </w:pPr>
      <w:r>
        <w:separator/>
      </w:r>
    </w:p>
  </w:endnote>
  <w:endnote w:type="continuationSeparator" w:id="0">
    <w:p w14:paraId="58286E97" w14:textId="77777777" w:rsidR="00514329" w:rsidRDefault="00514329" w:rsidP="00EE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080747"/>
      <w:docPartObj>
        <w:docPartGallery w:val="Page Numbers (Bottom of Page)"/>
        <w:docPartUnique/>
      </w:docPartObj>
    </w:sdtPr>
    <w:sdtEndPr>
      <w:rPr>
        <w:rFonts w:ascii="Times New Roman" w:hAnsi="Times New Roman" w:cs="Times New Roman"/>
      </w:rPr>
    </w:sdtEndPr>
    <w:sdtContent>
      <w:p w14:paraId="50E7A5C0" w14:textId="4FD23CE5" w:rsidR="00085731" w:rsidRPr="00085731" w:rsidRDefault="00085731">
        <w:pPr>
          <w:pStyle w:val="Footer"/>
          <w:jc w:val="right"/>
          <w:rPr>
            <w:rFonts w:ascii="Times New Roman" w:hAnsi="Times New Roman" w:cs="Times New Roman"/>
          </w:rPr>
        </w:pPr>
        <w:r w:rsidRPr="00085731">
          <w:rPr>
            <w:rFonts w:ascii="Times New Roman" w:hAnsi="Times New Roman" w:cs="Times New Roman"/>
          </w:rPr>
          <w:fldChar w:fldCharType="begin"/>
        </w:r>
        <w:r w:rsidRPr="00085731">
          <w:rPr>
            <w:rFonts w:ascii="Times New Roman" w:hAnsi="Times New Roman" w:cs="Times New Roman"/>
          </w:rPr>
          <w:instrText>PAGE   \* MERGEFORMAT</w:instrText>
        </w:r>
        <w:r w:rsidRPr="00085731">
          <w:rPr>
            <w:rFonts w:ascii="Times New Roman" w:hAnsi="Times New Roman" w:cs="Times New Roman"/>
          </w:rPr>
          <w:fldChar w:fldCharType="separate"/>
        </w:r>
        <w:r w:rsidRPr="00085731">
          <w:rPr>
            <w:rFonts w:ascii="Times New Roman" w:hAnsi="Times New Roman" w:cs="Times New Roman"/>
            <w:lang w:val="de-DE"/>
          </w:rPr>
          <w:t>2</w:t>
        </w:r>
        <w:r w:rsidRPr="00085731">
          <w:rPr>
            <w:rFonts w:ascii="Times New Roman" w:hAnsi="Times New Roman" w:cs="Times New Roman"/>
          </w:rPr>
          <w:fldChar w:fldCharType="end"/>
        </w:r>
      </w:p>
    </w:sdtContent>
  </w:sdt>
  <w:p w14:paraId="0C75DA16" w14:textId="77777777" w:rsidR="00EE0533" w:rsidRDefault="00EE0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BAC60" w14:textId="77777777" w:rsidR="00514329" w:rsidRDefault="00514329" w:rsidP="00EE0533">
      <w:pPr>
        <w:spacing w:after="0" w:line="240" w:lineRule="auto"/>
      </w:pPr>
      <w:r>
        <w:separator/>
      </w:r>
    </w:p>
  </w:footnote>
  <w:footnote w:type="continuationSeparator" w:id="0">
    <w:p w14:paraId="4E7CECB6" w14:textId="77777777" w:rsidR="00514329" w:rsidRDefault="00514329" w:rsidP="00EE0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A4317" w14:textId="76DD34D4" w:rsidR="00EE0533" w:rsidRPr="00B5274F" w:rsidRDefault="00EE0533" w:rsidP="00EE0533">
    <w:pPr>
      <w:spacing w:after="0"/>
      <w:jc w:val="center"/>
      <w:rPr>
        <w:rFonts w:ascii="Times New Roman" w:hAnsi="Times New Roman" w:cs="Times New Roman"/>
        <w:sz w:val="20"/>
        <w:szCs w:val="20"/>
        <w:lang w:val="en-US"/>
      </w:rPr>
    </w:pPr>
    <w:r w:rsidRPr="00B5274F">
      <w:rPr>
        <w:rFonts w:ascii="Times New Roman" w:hAnsi="Times New Roman" w:cs="Times New Roman"/>
        <w:sz w:val="20"/>
        <w:szCs w:val="20"/>
        <w:lang w:val="en-US"/>
      </w:rPr>
      <w:t xml:space="preserve">Data as of </w:t>
    </w:r>
    <w:r w:rsidR="00927094">
      <w:rPr>
        <w:rFonts w:ascii="Times New Roman" w:hAnsi="Times New Roman" w:cs="Times New Roman"/>
        <w:sz w:val="20"/>
        <w:szCs w:val="20"/>
        <w:lang w:val="en-US"/>
      </w:rPr>
      <w:t>3</w:t>
    </w:r>
    <w:r w:rsidR="00EC7C68">
      <w:rPr>
        <w:rFonts w:ascii="Times New Roman" w:hAnsi="Times New Roman" w:cs="Times New Roman"/>
        <w:sz w:val="20"/>
        <w:szCs w:val="20"/>
        <w:lang w:val="en-US"/>
      </w:rPr>
      <w:t>0</w:t>
    </w:r>
    <w:r w:rsidR="00927094">
      <w:rPr>
        <w:rFonts w:ascii="Times New Roman" w:hAnsi="Times New Roman" w:cs="Times New Roman"/>
        <w:sz w:val="20"/>
        <w:szCs w:val="20"/>
        <w:lang w:val="en-US"/>
      </w:rPr>
      <w:t>.0</w:t>
    </w:r>
    <w:r w:rsidR="00EC7C68">
      <w:rPr>
        <w:rFonts w:ascii="Times New Roman" w:hAnsi="Times New Roman" w:cs="Times New Roman"/>
        <w:sz w:val="20"/>
        <w:szCs w:val="20"/>
        <w:lang w:val="en-US"/>
      </w:rPr>
      <w:t>6</w:t>
    </w:r>
    <w:r w:rsidRPr="00B5274F">
      <w:rPr>
        <w:rFonts w:ascii="Times New Roman" w:hAnsi="Times New Roman" w:cs="Times New Roman"/>
        <w:sz w:val="20"/>
        <w:szCs w:val="20"/>
        <w:lang w:val="en-US"/>
      </w:rPr>
      <w:t>.2025 - Marketing Communication</w:t>
    </w:r>
  </w:p>
  <w:p w14:paraId="189CB0FC" w14:textId="77777777" w:rsidR="00EE0533" w:rsidRPr="00B5274F" w:rsidRDefault="00EE0533" w:rsidP="00EE0533">
    <w:pPr>
      <w:spacing w:after="0"/>
      <w:jc w:val="center"/>
      <w:rPr>
        <w:rFonts w:ascii="Times New Roman" w:hAnsi="Times New Roman" w:cs="Times New Roman"/>
        <w:sz w:val="20"/>
        <w:szCs w:val="20"/>
        <w:lang w:val="en-US"/>
      </w:rPr>
    </w:pPr>
  </w:p>
  <w:p w14:paraId="4E3E6F0A" w14:textId="77777777" w:rsidR="00EE0533" w:rsidRPr="00B5274F" w:rsidRDefault="00EE0533" w:rsidP="00EE0533">
    <w:pPr>
      <w:tabs>
        <w:tab w:val="center" w:pos="4513"/>
        <w:tab w:val="right" w:pos="9026"/>
      </w:tabs>
      <w:spacing w:after="0" w:line="240" w:lineRule="auto"/>
      <w:jc w:val="center"/>
    </w:pPr>
    <w:r>
      <w:rPr>
        <w:noProof/>
      </w:rPr>
      <w:drawing>
        <wp:inline distT="0" distB="0" distL="0" distR="0" wp14:anchorId="4C36B503" wp14:editId="69CB20E2">
          <wp:extent cx="1609725" cy="349885"/>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9725" cy="349885"/>
                  </a:xfrm>
                  <a:prstGeom prst="rect">
                    <a:avLst/>
                  </a:prstGeom>
                  <a:noFill/>
                  <a:ln>
                    <a:noFill/>
                  </a:ln>
                </pic:spPr>
              </pic:pic>
            </a:graphicData>
          </a:graphic>
        </wp:inline>
      </w:drawing>
    </w:r>
  </w:p>
  <w:p w14:paraId="648ED7D3" w14:textId="77777777" w:rsidR="00EE0533" w:rsidRDefault="00EE0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623B"/>
    <w:multiLevelType w:val="hybridMultilevel"/>
    <w:tmpl w:val="34A615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357036B"/>
    <w:multiLevelType w:val="hybridMultilevel"/>
    <w:tmpl w:val="0D70DF5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673803075">
    <w:abstractNumId w:val="0"/>
  </w:num>
  <w:num w:numId="2" w16cid:durableId="68328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33"/>
    <w:rsid w:val="00001C33"/>
    <w:rsid w:val="00005D66"/>
    <w:rsid w:val="00020887"/>
    <w:rsid w:val="00023516"/>
    <w:rsid w:val="00034935"/>
    <w:rsid w:val="0004341E"/>
    <w:rsid w:val="00044BF8"/>
    <w:rsid w:val="00053C47"/>
    <w:rsid w:val="00055976"/>
    <w:rsid w:val="000566DC"/>
    <w:rsid w:val="00060D24"/>
    <w:rsid w:val="00062B4A"/>
    <w:rsid w:val="00077770"/>
    <w:rsid w:val="00082294"/>
    <w:rsid w:val="00084460"/>
    <w:rsid w:val="0008448B"/>
    <w:rsid w:val="00085731"/>
    <w:rsid w:val="0009336E"/>
    <w:rsid w:val="00095815"/>
    <w:rsid w:val="000A17CD"/>
    <w:rsid w:val="000B06C4"/>
    <w:rsid w:val="000B6957"/>
    <w:rsid w:val="000C3221"/>
    <w:rsid w:val="000E7E4E"/>
    <w:rsid w:val="000F05C9"/>
    <w:rsid w:val="000F1EA9"/>
    <w:rsid w:val="001015C4"/>
    <w:rsid w:val="00104788"/>
    <w:rsid w:val="0011367C"/>
    <w:rsid w:val="001237DF"/>
    <w:rsid w:val="001335DB"/>
    <w:rsid w:val="00136853"/>
    <w:rsid w:val="00136976"/>
    <w:rsid w:val="0015036A"/>
    <w:rsid w:val="00155B4A"/>
    <w:rsid w:val="00156A41"/>
    <w:rsid w:val="001738DD"/>
    <w:rsid w:val="00194016"/>
    <w:rsid w:val="00195FF2"/>
    <w:rsid w:val="001A4FF7"/>
    <w:rsid w:val="001B4867"/>
    <w:rsid w:val="001B57AC"/>
    <w:rsid w:val="001B5895"/>
    <w:rsid w:val="001C2894"/>
    <w:rsid w:val="001C6E11"/>
    <w:rsid w:val="001D0922"/>
    <w:rsid w:val="001D0AA1"/>
    <w:rsid w:val="001D13DB"/>
    <w:rsid w:val="001D26FE"/>
    <w:rsid w:val="001D4679"/>
    <w:rsid w:val="001E2A0F"/>
    <w:rsid w:val="001E4B17"/>
    <w:rsid w:val="00204DFD"/>
    <w:rsid w:val="00206EA2"/>
    <w:rsid w:val="002100C4"/>
    <w:rsid w:val="00222F6F"/>
    <w:rsid w:val="00227326"/>
    <w:rsid w:val="00230085"/>
    <w:rsid w:val="00241FF9"/>
    <w:rsid w:val="002464B3"/>
    <w:rsid w:val="00246F89"/>
    <w:rsid w:val="00251BB8"/>
    <w:rsid w:val="00253EC8"/>
    <w:rsid w:val="00271BED"/>
    <w:rsid w:val="002763B6"/>
    <w:rsid w:val="00282430"/>
    <w:rsid w:val="002862B0"/>
    <w:rsid w:val="00286A92"/>
    <w:rsid w:val="002938D5"/>
    <w:rsid w:val="002A72A2"/>
    <w:rsid w:val="002B1120"/>
    <w:rsid w:val="002B6FA2"/>
    <w:rsid w:val="002B7BB5"/>
    <w:rsid w:val="002E1D42"/>
    <w:rsid w:val="002E6063"/>
    <w:rsid w:val="002F2E30"/>
    <w:rsid w:val="00306631"/>
    <w:rsid w:val="00320E1B"/>
    <w:rsid w:val="003461C3"/>
    <w:rsid w:val="0035226E"/>
    <w:rsid w:val="003528D1"/>
    <w:rsid w:val="00353981"/>
    <w:rsid w:val="003560BD"/>
    <w:rsid w:val="003566C4"/>
    <w:rsid w:val="003606C0"/>
    <w:rsid w:val="0036287B"/>
    <w:rsid w:val="00365CE3"/>
    <w:rsid w:val="00366315"/>
    <w:rsid w:val="00366774"/>
    <w:rsid w:val="0037552E"/>
    <w:rsid w:val="003824DF"/>
    <w:rsid w:val="003A0F12"/>
    <w:rsid w:val="003A2D88"/>
    <w:rsid w:val="003A64F7"/>
    <w:rsid w:val="003B2A78"/>
    <w:rsid w:val="003E26F7"/>
    <w:rsid w:val="003E352B"/>
    <w:rsid w:val="003E40B5"/>
    <w:rsid w:val="003E51F5"/>
    <w:rsid w:val="003E74F5"/>
    <w:rsid w:val="003F147E"/>
    <w:rsid w:val="003F473C"/>
    <w:rsid w:val="00417224"/>
    <w:rsid w:val="00427DCF"/>
    <w:rsid w:val="00434386"/>
    <w:rsid w:val="004378A6"/>
    <w:rsid w:val="00445112"/>
    <w:rsid w:val="00446DB4"/>
    <w:rsid w:val="00456B80"/>
    <w:rsid w:val="00461D22"/>
    <w:rsid w:val="004629E8"/>
    <w:rsid w:val="004635BC"/>
    <w:rsid w:val="004666DA"/>
    <w:rsid w:val="00467665"/>
    <w:rsid w:val="00480836"/>
    <w:rsid w:val="00494C7A"/>
    <w:rsid w:val="004964B7"/>
    <w:rsid w:val="004B6815"/>
    <w:rsid w:val="004C619E"/>
    <w:rsid w:val="004D00B6"/>
    <w:rsid w:val="004D6C18"/>
    <w:rsid w:val="004E3230"/>
    <w:rsid w:val="004E5E46"/>
    <w:rsid w:val="00500899"/>
    <w:rsid w:val="00506A65"/>
    <w:rsid w:val="00514329"/>
    <w:rsid w:val="005170BE"/>
    <w:rsid w:val="00521DB3"/>
    <w:rsid w:val="005227FD"/>
    <w:rsid w:val="00530A36"/>
    <w:rsid w:val="00530D7B"/>
    <w:rsid w:val="00531756"/>
    <w:rsid w:val="00536145"/>
    <w:rsid w:val="00540D91"/>
    <w:rsid w:val="005418FA"/>
    <w:rsid w:val="00542654"/>
    <w:rsid w:val="005547FF"/>
    <w:rsid w:val="005667A9"/>
    <w:rsid w:val="005674A2"/>
    <w:rsid w:val="00570757"/>
    <w:rsid w:val="0057439C"/>
    <w:rsid w:val="00574AE3"/>
    <w:rsid w:val="00583B2B"/>
    <w:rsid w:val="005846E2"/>
    <w:rsid w:val="00590269"/>
    <w:rsid w:val="0059107D"/>
    <w:rsid w:val="0059664D"/>
    <w:rsid w:val="005B50D0"/>
    <w:rsid w:val="005B686C"/>
    <w:rsid w:val="005D1DDA"/>
    <w:rsid w:val="005E09A6"/>
    <w:rsid w:val="005E3C6A"/>
    <w:rsid w:val="005E69BC"/>
    <w:rsid w:val="00603748"/>
    <w:rsid w:val="00616D20"/>
    <w:rsid w:val="00617EAF"/>
    <w:rsid w:val="006202F5"/>
    <w:rsid w:val="00622A66"/>
    <w:rsid w:val="00640FA9"/>
    <w:rsid w:val="00661E30"/>
    <w:rsid w:val="00671455"/>
    <w:rsid w:val="0067293F"/>
    <w:rsid w:val="0068001F"/>
    <w:rsid w:val="00680BA6"/>
    <w:rsid w:val="006812FE"/>
    <w:rsid w:val="006870FD"/>
    <w:rsid w:val="00691ABB"/>
    <w:rsid w:val="006A0CA4"/>
    <w:rsid w:val="006A733E"/>
    <w:rsid w:val="006B04AA"/>
    <w:rsid w:val="006B167A"/>
    <w:rsid w:val="006C16F1"/>
    <w:rsid w:val="006D203A"/>
    <w:rsid w:val="006D46BC"/>
    <w:rsid w:val="006D6AC5"/>
    <w:rsid w:val="006E1605"/>
    <w:rsid w:val="006E43FC"/>
    <w:rsid w:val="006F06BC"/>
    <w:rsid w:val="006F0A6F"/>
    <w:rsid w:val="0070198E"/>
    <w:rsid w:val="00702A74"/>
    <w:rsid w:val="00703F65"/>
    <w:rsid w:val="00704DF9"/>
    <w:rsid w:val="00710905"/>
    <w:rsid w:val="0071163C"/>
    <w:rsid w:val="00711F07"/>
    <w:rsid w:val="00712C37"/>
    <w:rsid w:val="00715C9C"/>
    <w:rsid w:val="00720A38"/>
    <w:rsid w:val="00733407"/>
    <w:rsid w:val="00733A82"/>
    <w:rsid w:val="0074351F"/>
    <w:rsid w:val="00745514"/>
    <w:rsid w:val="007660D1"/>
    <w:rsid w:val="00767B75"/>
    <w:rsid w:val="0077632D"/>
    <w:rsid w:val="007904E2"/>
    <w:rsid w:val="00793B66"/>
    <w:rsid w:val="007A5776"/>
    <w:rsid w:val="007C3E64"/>
    <w:rsid w:val="007C6278"/>
    <w:rsid w:val="007C6440"/>
    <w:rsid w:val="007D67A0"/>
    <w:rsid w:val="007E3426"/>
    <w:rsid w:val="007E74CF"/>
    <w:rsid w:val="007F13B5"/>
    <w:rsid w:val="008013D1"/>
    <w:rsid w:val="00805ED1"/>
    <w:rsid w:val="008227B6"/>
    <w:rsid w:val="008227E1"/>
    <w:rsid w:val="008240D2"/>
    <w:rsid w:val="00832465"/>
    <w:rsid w:val="008327BA"/>
    <w:rsid w:val="00840858"/>
    <w:rsid w:val="0085310E"/>
    <w:rsid w:val="00861E30"/>
    <w:rsid w:val="00866A71"/>
    <w:rsid w:val="00873FE5"/>
    <w:rsid w:val="00890049"/>
    <w:rsid w:val="00891395"/>
    <w:rsid w:val="008919C3"/>
    <w:rsid w:val="008946B7"/>
    <w:rsid w:val="00896658"/>
    <w:rsid w:val="008A307F"/>
    <w:rsid w:val="008A69C7"/>
    <w:rsid w:val="008B6538"/>
    <w:rsid w:val="008C1B4E"/>
    <w:rsid w:val="008C3E9F"/>
    <w:rsid w:val="008C4240"/>
    <w:rsid w:val="008C7399"/>
    <w:rsid w:val="008D29D0"/>
    <w:rsid w:val="008D7B73"/>
    <w:rsid w:val="008E7B33"/>
    <w:rsid w:val="008F14F3"/>
    <w:rsid w:val="00917BB0"/>
    <w:rsid w:val="00922872"/>
    <w:rsid w:val="00927094"/>
    <w:rsid w:val="009365EE"/>
    <w:rsid w:val="00936647"/>
    <w:rsid w:val="00940A15"/>
    <w:rsid w:val="00944DD2"/>
    <w:rsid w:val="009502B5"/>
    <w:rsid w:val="009533EB"/>
    <w:rsid w:val="00961568"/>
    <w:rsid w:val="00962BDB"/>
    <w:rsid w:val="00966FDE"/>
    <w:rsid w:val="0097367D"/>
    <w:rsid w:val="00982674"/>
    <w:rsid w:val="009A132D"/>
    <w:rsid w:val="009A2A5F"/>
    <w:rsid w:val="009A7528"/>
    <w:rsid w:val="009B6C7D"/>
    <w:rsid w:val="009C01B4"/>
    <w:rsid w:val="009C49C9"/>
    <w:rsid w:val="009C71CD"/>
    <w:rsid w:val="009E206E"/>
    <w:rsid w:val="009F5CF1"/>
    <w:rsid w:val="00A01356"/>
    <w:rsid w:val="00A0333B"/>
    <w:rsid w:val="00A075F9"/>
    <w:rsid w:val="00A10D80"/>
    <w:rsid w:val="00A14157"/>
    <w:rsid w:val="00A16A14"/>
    <w:rsid w:val="00A26CDC"/>
    <w:rsid w:val="00A34475"/>
    <w:rsid w:val="00A469B2"/>
    <w:rsid w:val="00A474AF"/>
    <w:rsid w:val="00A47535"/>
    <w:rsid w:val="00A52379"/>
    <w:rsid w:val="00A55C76"/>
    <w:rsid w:val="00A6157B"/>
    <w:rsid w:val="00A62184"/>
    <w:rsid w:val="00A7213B"/>
    <w:rsid w:val="00A73E5D"/>
    <w:rsid w:val="00A74B76"/>
    <w:rsid w:val="00A80C92"/>
    <w:rsid w:val="00A9069B"/>
    <w:rsid w:val="00A94FE0"/>
    <w:rsid w:val="00A95A53"/>
    <w:rsid w:val="00AB42CD"/>
    <w:rsid w:val="00AC0B4A"/>
    <w:rsid w:val="00AC24C7"/>
    <w:rsid w:val="00AC4792"/>
    <w:rsid w:val="00AC541E"/>
    <w:rsid w:val="00AD10D4"/>
    <w:rsid w:val="00AD1B40"/>
    <w:rsid w:val="00AE684C"/>
    <w:rsid w:val="00B00C75"/>
    <w:rsid w:val="00B03FA9"/>
    <w:rsid w:val="00B0678B"/>
    <w:rsid w:val="00B15737"/>
    <w:rsid w:val="00B15E56"/>
    <w:rsid w:val="00B21AF9"/>
    <w:rsid w:val="00B22689"/>
    <w:rsid w:val="00B23F23"/>
    <w:rsid w:val="00B34AC2"/>
    <w:rsid w:val="00B4764E"/>
    <w:rsid w:val="00B50D79"/>
    <w:rsid w:val="00B54B96"/>
    <w:rsid w:val="00B64DB9"/>
    <w:rsid w:val="00B716EC"/>
    <w:rsid w:val="00B76301"/>
    <w:rsid w:val="00B77481"/>
    <w:rsid w:val="00B80A27"/>
    <w:rsid w:val="00B93313"/>
    <w:rsid w:val="00B958A4"/>
    <w:rsid w:val="00B96BCD"/>
    <w:rsid w:val="00BA1E60"/>
    <w:rsid w:val="00BA5433"/>
    <w:rsid w:val="00BB1D1D"/>
    <w:rsid w:val="00BC0A7A"/>
    <w:rsid w:val="00BC30D8"/>
    <w:rsid w:val="00BC4CE2"/>
    <w:rsid w:val="00BC79A9"/>
    <w:rsid w:val="00BD468B"/>
    <w:rsid w:val="00BD5FAE"/>
    <w:rsid w:val="00BF4B8B"/>
    <w:rsid w:val="00C1032A"/>
    <w:rsid w:val="00C10C08"/>
    <w:rsid w:val="00C14D82"/>
    <w:rsid w:val="00C1566A"/>
    <w:rsid w:val="00C31F72"/>
    <w:rsid w:val="00C35EF4"/>
    <w:rsid w:val="00C37252"/>
    <w:rsid w:val="00C509FF"/>
    <w:rsid w:val="00C56BA3"/>
    <w:rsid w:val="00C610A3"/>
    <w:rsid w:val="00C61131"/>
    <w:rsid w:val="00C615B8"/>
    <w:rsid w:val="00C747C9"/>
    <w:rsid w:val="00C845FA"/>
    <w:rsid w:val="00C874F7"/>
    <w:rsid w:val="00C94B34"/>
    <w:rsid w:val="00C97B94"/>
    <w:rsid w:val="00CA346D"/>
    <w:rsid w:val="00CA5B9D"/>
    <w:rsid w:val="00CB6F1C"/>
    <w:rsid w:val="00CB7401"/>
    <w:rsid w:val="00CC0CAD"/>
    <w:rsid w:val="00CC27B8"/>
    <w:rsid w:val="00CC2E70"/>
    <w:rsid w:val="00CC6F3A"/>
    <w:rsid w:val="00CC7490"/>
    <w:rsid w:val="00CD5989"/>
    <w:rsid w:val="00CF33BE"/>
    <w:rsid w:val="00CF3BFD"/>
    <w:rsid w:val="00CF5E83"/>
    <w:rsid w:val="00D01E34"/>
    <w:rsid w:val="00D0271B"/>
    <w:rsid w:val="00D02C31"/>
    <w:rsid w:val="00D1557F"/>
    <w:rsid w:val="00D22564"/>
    <w:rsid w:val="00D33B5A"/>
    <w:rsid w:val="00D34436"/>
    <w:rsid w:val="00D34AF8"/>
    <w:rsid w:val="00D3546C"/>
    <w:rsid w:val="00D517FB"/>
    <w:rsid w:val="00D55219"/>
    <w:rsid w:val="00D60EE1"/>
    <w:rsid w:val="00D612AB"/>
    <w:rsid w:val="00D63DDD"/>
    <w:rsid w:val="00D643F1"/>
    <w:rsid w:val="00D81333"/>
    <w:rsid w:val="00D8513E"/>
    <w:rsid w:val="00D8655F"/>
    <w:rsid w:val="00D87721"/>
    <w:rsid w:val="00D912FF"/>
    <w:rsid w:val="00DA6A48"/>
    <w:rsid w:val="00DB1D65"/>
    <w:rsid w:val="00DB76FB"/>
    <w:rsid w:val="00DB7746"/>
    <w:rsid w:val="00DC7A56"/>
    <w:rsid w:val="00DD057B"/>
    <w:rsid w:val="00DE0526"/>
    <w:rsid w:val="00DE35D1"/>
    <w:rsid w:val="00DF017F"/>
    <w:rsid w:val="00DF0522"/>
    <w:rsid w:val="00DF6E13"/>
    <w:rsid w:val="00E12004"/>
    <w:rsid w:val="00E13366"/>
    <w:rsid w:val="00E20DA1"/>
    <w:rsid w:val="00E25A62"/>
    <w:rsid w:val="00E30F9F"/>
    <w:rsid w:val="00E3363A"/>
    <w:rsid w:val="00E34CE0"/>
    <w:rsid w:val="00E34E87"/>
    <w:rsid w:val="00E41758"/>
    <w:rsid w:val="00E45CFF"/>
    <w:rsid w:val="00E45EC7"/>
    <w:rsid w:val="00E50DDF"/>
    <w:rsid w:val="00E547F5"/>
    <w:rsid w:val="00E61709"/>
    <w:rsid w:val="00E75452"/>
    <w:rsid w:val="00E76510"/>
    <w:rsid w:val="00E82B40"/>
    <w:rsid w:val="00E84164"/>
    <w:rsid w:val="00E867FE"/>
    <w:rsid w:val="00E9546C"/>
    <w:rsid w:val="00EA2DF9"/>
    <w:rsid w:val="00EA6B72"/>
    <w:rsid w:val="00EB1FB1"/>
    <w:rsid w:val="00EB60FD"/>
    <w:rsid w:val="00EC7C68"/>
    <w:rsid w:val="00EE0533"/>
    <w:rsid w:val="00EE1A6F"/>
    <w:rsid w:val="00EF27DE"/>
    <w:rsid w:val="00EF3611"/>
    <w:rsid w:val="00F0317C"/>
    <w:rsid w:val="00F100AC"/>
    <w:rsid w:val="00F16F09"/>
    <w:rsid w:val="00F17E6D"/>
    <w:rsid w:val="00F24AF7"/>
    <w:rsid w:val="00F30D22"/>
    <w:rsid w:val="00F32678"/>
    <w:rsid w:val="00F36D0A"/>
    <w:rsid w:val="00F45DE2"/>
    <w:rsid w:val="00F52795"/>
    <w:rsid w:val="00F709D2"/>
    <w:rsid w:val="00F80231"/>
    <w:rsid w:val="00F8170A"/>
    <w:rsid w:val="00F86734"/>
    <w:rsid w:val="00F906AA"/>
    <w:rsid w:val="00F93E15"/>
    <w:rsid w:val="00FA26B0"/>
    <w:rsid w:val="00FA3E08"/>
    <w:rsid w:val="00FA413A"/>
    <w:rsid w:val="00FB3ABB"/>
    <w:rsid w:val="00FC2DB0"/>
    <w:rsid w:val="00FC34B6"/>
    <w:rsid w:val="00FE02D2"/>
    <w:rsid w:val="00FE7392"/>
    <w:rsid w:val="00FE7A24"/>
    <w:rsid w:val="00FF38CA"/>
    <w:rsid w:val="00FF652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AA54D"/>
  <w15:chartTrackingRefBased/>
  <w15:docId w15:val="{0BBC7B13-E6D0-4569-B654-DCD55C64E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533"/>
  </w:style>
  <w:style w:type="paragraph" w:styleId="Heading1">
    <w:name w:val="heading 1"/>
    <w:basedOn w:val="Normal"/>
    <w:next w:val="Normal"/>
    <w:link w:val="Heading1Char"/>
    <w:uiPriority w:val="9"/>
    <w:qFormat/>
    <w:rsid w:val="00EE0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0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0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33"/>
    <w:rPr>
      <w:rFonts w:eastAsiaTheme="majorEastAsia" w:cstheme="majorBidi"/>
      <w:color w:val="272727" w:themeColor="text1" w:themeTint="D8"/>
    </w:rPr>
  </w:style>
  <w:style w:type="paragraph" w:styleId="Title">
    <w:name w:val="Title"/>
    <w:basedOn w:val="Normal"/>
    <w:next w:val="Normal"/>
    <w:link w:val="TitleChar"/>
    <w:uiPriority w:val="10"/>
    <w:qFormat/>
    <w:rsid w:val="00EE0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33"/>
    <w:pPr>
      <w:spacing w:before="160"/>
      <w:jc w:val="center"/>
    </w:pPr>
    <w:rPr>
      <w:i/>
      <w:iCs/>
      <w:color w:val="404040" w:themeColor="text1" w:themeTint="BF"/>
    </w:rPr>
  </w:style>
  <w:style w:type="character" w:customStyle="1" w:styleId="QuoteChar">
    <w:name w:val="Quote Char"/>
    <w:basedOn w:val="DefaultParagraphFont"/>
    <w:link w:val="Quote"/>
    <w:uiPriority w:val="29"/>
    <w:rsid w:val="00EE0533"/>
    <w:rPr>
      <w:i/>
      <w:iCs/>
      <w:color w:val="404040" w:themeColor="text1" w:themeTint="BF"/>
    </w:rPr>
  </w:style>
  <w:style w:type="paragraph" w:styleId="ListParagraph">
    <w:name w:val="List Paragraph"/>
    <w:basedOn w:val="Normal"/>
    <w:uiPriority w:val="34"/>
    <w:qFormat/>
    <w:rsid w:val="00EE0533"/>
    <w:pPr>
      <w:ind w:left="720"/>
      <w:contextualSpacing/>
    </w:pPr>
  </w:style>
  <w:style w:type="character" w:styleId="IntenseEmphasis">
    <w:name w:val="Intense Emphasis"/>
    <w:basedOn w:val="DefaultParagraphFont"/>
    <w:uiPriority w:val="21"/>
    <w:qFormat/>
    <w:rsid w:val="00EE0533"/>
    <w:rPr>
      <w:i/>
      <w:iCs/>
      <w:color w:val="0F4761" w:themeColor="accent1" w:themeShade="BF"/>
    </w:rPr>
  </w:style>
  <w:style w:type="paragraph" w:styleId="IntenseQuote">
    <w:name w:val="Intense Quote"/>
    <w:basedOn w:val="Normal"/>
    <w:next w:val="Normal"/>
    <w:link w:val="IntenseQuoteChar"/>
    <w:uiPriority w:val="30"/>
    <w:qFormat/>
    <w:rsid w:val="00EE0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33"/>
    <w:rPr>
      <w:i/>
      <w:iCs/>
      <w:color w:val="0F4761" w:themeColor="accent1" w:themeShade="BF"/>
    </w:rPr>
  </w:style>
  <w:style w:type="character" w:styleId="IntenseReference">
    <w:name w:val="Intense Reference"/>
    <w:basedOn w:val="DefaultParagraphFont"/>
    <w:uiPriority w:val="32"/>
    <w:qFormat/>
    <w:rsid w:val="00EE0533"/>
    <w:rPr>
      <w:b/>
      <w:bCs/>
      <w:smallCaps/>
      <w:color w:val="0F4761" w:themeColor="accent1" w:themeShade="BF"/>
      <w:spacing w:val="5"/>
    </w:rPr>
  </w:style>
  <w:style w:type="paragraph" w:styleId="Header">
    <w:name w:val="header"/>
    <w:basedOn w:val="Normal"/>
    <w:link w:val="HeaderChar"/>
    <w:uiPriority w:val="99"/>
    <w:unhideWhenUsed/>
    <w:rsid w:val="00EE0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533"/>
    <w:rPr>
      <w:lang w:val="de-CH"/>
    </w:rPr>
  </w:style>
  <w:style w:type="paragraph" w:styleId="Footer">
    <w:name w:val="footer"/>
    <w:basedOn w:val="Normal"/>
    <w:link w:val="FooterChar"/>
    <w:uiPriority w:val="99"/>
    <w:unhideWhenUsed/>
    <w:rsid w:val="00EE0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533"/>
    <w:rPr>
      <w:lang w:val="de-CH"/>
    </w:rPr>
  </w:style>
  <w:style w:type="paragraph" w:styleId="BalloonText">
    <w:name w:val="Balloon Text"/>
    <w:basedOn w:val="Normal"/>
    <w:link w:val="BalloonTextChar"/>
    <w:uiPriority w:val="99"/>
    <w:semiHidden/>
    <w:unhideWhenUsed/>
    <w:rsid w:val="001D46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679"/>
    <w:rPr>
      <w:rFonts w:ascii="Segoe UI" w:hAnsi="Segoe UI" w:cs="Segoe UI"/>
      <w:sz w:val="18"/>
      <w:szCs w:val="18"/>
    </w:rPr>
  </w:style>
  <w:style w:type="character" w:styleId="Strong">
    <w:name w:val="Strong"/>
    <w:basedOn w:val="DefaultParagraphFont"/>
    <w:uiPriority w:val="22"/>
    <w:qFormat/>
    <w:rsid w:val="001D0AA1"/>
    <w:rPr>
      <w:b/>
      <w:bCs/>
    </w:rPr>
  </w:style>
  <w:style w:type="paragraph" w:styleId="NormalWeb">
    <w:name w:val="Normal (Web)"/>
    <w:basedOn w:val="Normal"/>
    <w:uiPriority w:val="99"/>
    <w:semiHidden/>
    <w:unhideWhenUsed/>
    <w:rsid w:val="001335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322">
      <w:bodyDiv w:val="1"/>
      <w:marLeft w:val="0"/>
      <w:marRight w:val="0"/>
      <w:marTop w:val="0"/>
      <w:marBottom w:val="0"/>
      <w:divBdr>
        <w:top w:val="none" w:sz="0" w:space="0" w:color="auto"/>
        <w:left w:val="none" w:sz="0" w:space="0" w:color="auto"/>
        <w:bottom w:val="none" w:sz="0" w:space="0" w:color="auto"/>
        <w:right w:val="none" w:sz="0" w:space="0" w:color="auto"/>
      </w:divBdr>
    </w:div>
    <w:div w:id="57829869">
      <w:bodyDiv w:val="1"/>
      <w:marLeft w:val="0"/>
      <w:marRight w:val="0"/>
      <w:marTop w:val="0"/>
      <w:marBottom w:val="0"/>
      <w:divBdr>
        <w:top w:val="none" w:sz="0" w:space="0" w:color="auto"/>
        <w:left w:val="none" w:sz="0" w:space="0" w:color="auto"/>
        <w:bottom w:val="none" w:sz="0" w:space="0" w:color="auto"/>
        <w:right w:val="none" w:sz="0" w:space="0" w:color="auto"/>
      </w:divBdr>
    </w:div>
    <w:div w:id="97720526">
      <w:bodyDiv w:val="1"/>
      <w:marLeft w:val="0"/>
      <w:marRight w:val="0"/>
      <w:marTop w:val="0"/>
      <w:marBottom w:val="0"/>
      <w:divBdr>
        <w:top w:val="none" w:sz="0" w:space="0" w:color="auto"/>
        <w:left w:val="none" w:sz="0" w:space="0" w:color="auto"/>
        <w:bottom w:val="none" w:sz="0" w:space="0" w:color="auto"/>
        <w:right w:val="none" w:sz="0" w:space="0" w:color="auto"/>
      </w:divBdr>
    </w:div>
    <w:div w:id="98066640">
      <w:bodyDiv w:val="1"/>
      <w:marLeft w:val="0"/>
      <w:marRight w:val="0"/>
      <w:marTop w:val="0"/>
      <w:marBottom w:val="0"/>
      <w:divBdr>
        <w:top w:val="none" w:sz="0" w:space="0" w:color="auto"/>
        <w:left w:val="none" w:sz="0" w:space="0" w:color="auto"/>
        <w:bottom w:val="none" w:sz="0" w:space="0" w:color="auto"/>
        <w:right w:val="none" w:sz="0" w:space="0" w:color="auto"/>
      </w:divBdr>
    </w:div>
    <w:div w:id="109014356">
      <w:bodyDiv w:val="1"/>
      <w:marLeft w:val="0"/>
      <w:marRight w:val="0"/>
      <w:marTop w:val="0"/>
      <w:marBottom w:val="0"/>
      <w:divBdr>
        <w:top w:val="none" w:sz="0" w:space="0" w:color="auto"/>
        <w:left w:val="none" w:sz="0" w:space="0" w:color="auto"/>
        <w:bottom w:val="none" w:sz="0" w:space="0" w:color="auto"/>
        <w:right w:val="none" w:sz="0" w:space="0" w:color="auto"/>
      </w:divBdr>
    </w:div>
    <w:div w:id="142965488">
      <w:bodyDiv w:val="1"/>
      <w:marLeft w:val="0"/>
      <w:marRight w:val="0"/>
      <w:marTop w:val="0"/>
      <w:marBottom w:val="0"/>
      <w:divBdr>
        <w:top w:val="none" w:sz="0" w:space="0" w:color="auto"/>
        <w:left w:val="none" w:sz="0" w:space="0" w:color="auto"/>
        <w:bottom w:val="none" w:sz="0" w:space="0" w:color="auto"/>
        <w:right w:val="none" w:sz="0" w:space="0" w:color="auto"/>
      </w:divBdr>
    </w:div>
    <w:div w:id="206992111">
      <w:bodyDiv w:val="1"/>
      <w:marLeft w:val="0"/>
      <w:marRight w:val="0"/>
      <w:marTop w:val="0"/>
      <w:marBottom w:val="0"/>
      <w:divBdr>
        <w:top w:val="none" w:sz="0" w:space="0" w:color="auto"/>
        <w:left w:val="none" w:sz="0" w:space="0" w:color="auto"/>
        <w:bottom w:val="none" w:sz="0" w:space="0" w:color="auto"/>
        <w:right w:val="none" w:sz="0" w:space="0" w:color="auto"/>
      </w:divBdr>
    </w:div>
    <w:div w:id="217978344">
      <w:bodyDiv w:val="1"/>
      <w:marLeft w:val="0"/>
      <w:marRight w:val="0"/>
      <w:marTop w:val="0"/>
      <w:marBottom w:val="0"/>
      <w:divBdr>
        <w:top w:val="none" w:sz="0" w:space="0" w:color="auto"/>
        <w:left w:val="none" w:sz="0" w:space="0" w:color="auto"/>
        <w:bottom w:val="none" w:sz="0" w:space="0" w:color="auto"/>
        <w:right w:val="none" w:sz="0" w:space="0" w:color="auto"/>
      </w:divBdr>
    </w:div>
    <w:div w:id="230121535">
      <w:bodyDiv w:val="1"/>
      <w:marLeft w:val="0"/>
      <w:marRight w:val="0"/>
      <w:marTop w:val="0"/>
      <w:marBottom w:val="0"/>
      <w:divBdr>
        <w:top w:val="none" w:sz="0" w:space="0" w:color="auto"/>
        <w:left w:val="none" w:sz="0" w:space="0" w:color="auto"/>
        <w:bottom w:val="none" w:sz="0" w:space="0" w:color="auto"/>
        <w:right w:val="none" w:sz="0" w:space="0" w:color="auto"/>
      </w:divBdr>
    </w:div>
    <w:div w:id="274408001">
      <w:bodyDiv w:val="1"/>
      <w:marLeft w:val="0"/>
      <w:marRight w:val="0"/>
      <w:marTop w:val="0"/>
      <w:marBottom w:val="0"/>
      <w:divBdr>
        <w:top w:val="none" w:sz="0" w:space="0" w:color="auto"/>
        <w:left w:val="none" w:sz="0" w:space="0" w:color="auto"/>
        <w:bottom w:val="none" w:sz="0" w:space="0" w:color="auto"/>
        <w:right w:val="none" w:sz="0" w:space="0" w:color="auto"/>
      </w:divBdr>
    </w:div>
    <w:div w:id="363094432">
      <w:bodyDiv w:val="1"/>
      <w:marLeft w:val="0"/>
      <w:marRight w:val="0"/>
      <w:marTop w:val="0"/>
      <w:marBottom w:val="0"/>
      <w:divBdr>
        <w:top w:val="none" w:sz="0" w:space="0" w:color="auto"/>
        <w:left w:val="none" w:sz="0" w:space="0" w:color="auto"/>
        <w:bottom w:val="none" w:sz="0" w:space="0" w:color="auto"/>
        <w:right w:val="none" w:sz="0" w:space="0" w:color="auto"/>
      </w:divBdr>
    </w:div>
    <w:div w:id="371198776">
      <w:bodyDiv w:val="1"/>
      <w:marLeft w:val="0"/>
      <w:marRight w:val="0"/>
      <w:marTop w:val="0"/>
      <w:marBottom w:val="0"/>
      <w:divBdr>
        <w:top w:val="none" w:sz="0" w:space="0" w:color="auto"/>
        <w:left w:val="none" w:sz="0" w:space="0" w:color="auto"/>
        <w:bottom w:val="none" w:sz="0" w:space="0" w:color="auto"/>
        <w:right w:val="none" w:sz="0" w:space="0" w:color="auto"/>
      </w:divBdr>
    </w:div>
    <w:div w:id="384835786">
      <w:bodyDiv w:val="1"/>
      <w:marLeft w:val="0"/>
      <w:marRight w:val="0"/>
      <w:marTop w:val="0"/>
      <w:marBottom w:val="0"/>
      <w:divBdr>
        <w:top w:val="none" w:sz="0" w:space="0" w:color="auto"/>
        <w:left w:val="none" w:sz="0" w:space="0" w:color="auto"/>
        <w:bottom w:val="none" w:sz="0" w:space="0" w:color="auto"/>
        <w:right w:val="none" w:sz="0" w:space="0" w:color="auto"/>
      </w:divBdr>
    </w:div>
    <w:div w:id="392239598">
      <w:bodyDiv w:val="1"/>
      <w:marLeft w:val="0"/>
      <w:marRight w:val="0"/>
      <w:marTop w:val="0"/>
      <w:marBottom w:val="0"/>
      <w:divBdr>
        <w:top w:val="none" w:sz="0" w:space="0" w:color="auto"/>
        <w:left w:val="none" w:sz="0" w:space="0" w:color="auto"/>
        <w:bottom w:val="none" w:sz="0" w:space="0" w:color="auto"/>
        <w:right w:val="none" w:sz="0" w:space="0" w:color="auto"/>
      </w:divBdr>
    </w:div>
    <w:div w:id="400642038">
      <w:bodyDiv w:val="1"/>
      <w:marLeft w:val="0"/>
      <w:marRight w:val="0"/>
      <w:marTop w:val="0"/>
      <w:marBottom w:val="0"/>
      <w:divBdr>
        <w:top w:val="none" w:sz="0" w:space="0" w:color="auto"/>
        <w:left w:val="none" w:sz="0" w:space="0" w:color="auto"/>
        <w:bottom w:val="none" w:sz="0" w:space="0" w:color="auto"/>
        <w:right w:val="none" w:sz="0" w:space="0" w:color="auto"/>
      </w:divBdr>
    </w:div>
    <w:div w:id="451021752">
      <w:bodyDiv w:val="1"/>
      <w:marLeft w:val="0"/>
      <w:marRight w:val="0"/>
      <w:marTop w:val="0"/>
      <w:marBottom w:val="0"/>
      <w:divBdr>
        <w:top w:val="none" w:sz="0" w:space="0" w:color="auto"/>
        <w:left w:val="none" w:sz="0" w:space="0" w:color="auto"/>
        <w:bottom w:val="none" w:sz="0" w:space="0" w:color="auto"/>
        <w:right w:val="none" w:sz="0" w:space="0" w:color="auto"/>
      </w:divBdr>
    </w:div>
    <w:div w:id="457187188">
      <w:bodyDiv w:val="1"/>
      <w:marLeft w:val="0"/>
      <w:marRight w:val="0"/>
      <w:marTop w:val="0"/>
      <w:marBottom w:val="0"/>
      <w:divBdr>
        <w:top w:val="none" w:sz="0" w:space="0" w:color="auto"/>
        <w:left w:val="none" w:sz="0" w:space="0" w:color="auto"/>
        <w:bottom w:val="none" w:sz="0" w:space="0" w:color="auto"/>
        <w:right w:val="none" w:sz="0" w:space="0" w:color="auto"/>
      </w:divBdr>
    </w:div>
    <w:div w:id="458884786">
      <w:bodyDiv w:val="1"/>
      <w:marLeft w:val="0"/>
      <w:marRight w:val="0"/>
      <w:marTop w:val="0"/>
      <w:marBottom w:val="0"/>
      <w:divBdr>
        <w:top w:val="none" w:sz="0" w:space="0" w:color="auto"/>
        <w:left w:val="none" w:sz="0" w:space="0" w:color="auto"/>
        <w:bottom w:val="none" w:sz="0" w:space="0" w:color="auto"/>
        <w:right w:val="none" w:sz="0" w:space="0" w:color="auto"/>
      </w:divBdr>
    </w:div>
    <w:div w:id="475487911">
      <w:bodyDiv w:val="1"/>
      <w:marLeft w:val="0"/>
      <w:marRight w:val="0"/>
      <w:marTop w:val="0"/>
      <w:marBottom w:val="0"/>
      <w:divBdr>
        <w:top w:val="none" w:sz="0" w:space="0" w:color="auto"/>
        <w:left w:val="none" w:sz="0" w:space="0" w:color="auto"/>
        <w:bottom w:val="none" w:sz="0" w:space="0" w:color="auto"/>
        <w:right w:val="none" w:sz="0" w:space="0" w:color="auto"/>
      </w:divBdr>
    </w:div>
    <w:div w:id="479931063">
      <w:bodyDiv w:val="1"/>
      <w:marLeft w:val="0"/>
      <w:marRight w:val="0"/>
      <w:marTop w:val="0"/>
      <w:marBottom w:val="0"/>
      <w:divBdr>
        <w:top w:val="none" w:sz="0" w:space="0" w:color="auto"/>
        <w:left w:val="none" w:sz="0" w:space="0" w:color="auto"/>
        <w:bottom w:val="none" w:sz="0" w:space="0" w:color="auto"/>
        <w:right w:val="none" w:sz="0" w:space="0" w:color="auto"/>
      </w:divBdr>
    </w:div>
    <w:div w:id="568001940">
      <w:bodyDiv w:val="1"/>
      <w:marLeft w:val="0"/>
      <w:marRight w:val="0"/>
      <w:marTop w:val="0"/>
      <w:marBottom w:val="0"/>
      <w:divBdr>
        <w:top w:val="none" w:sz="0" w:space="0" w:color="auto"/>
        <w:left w:val="none" w:sz="0" w:space="0" w:color="auto"/>
        <w:bottom w:val="none" w:sz="0" w:space="0" w:color="auto"/>
        <w:right w:val="none" w:sz="0" w:space="0" w:color="auto"/>
      </w:divBdr>
    </w:div>
    <w:div w:id="651716038">
      <w:bodyDiv w:val="1"/>
      <w:marLeft w:val="0"/>
      <w:marRight w:val="0"/>
      <w:marTop w:val="0"/>
      <w:marBottom w:val="0"/>
      <w:divBdr>
        <w:top w:val="none" w:sz="0" w:space="0" w:color="auto"/>
        <w:left w:val="none" w:sz="0" w:space="0" w:color="auto"/>
        <w:bottom w:val="none" w:sz="0" w:space="0" w:color="auto"/>
        <w:right w:val="none" w:sz="0" w:space="0" w:color="auto"/>
      </w:divBdr>
    </w:div>
    <w:div w:id="652224491">
      <w:bodyDiv w:val="1"/>
      <w:marLeft w:val="0"/>
      <w:marRight w:val="0"/>
      <w:marTop w:val="0"/>
      <w:marBottom w:val="0"/>
      <w:divBdr>
        <w:top w:val="none" w:sz="0" w:space="0" w:color="auto"/>
        <w:left w:val="none" w:sz="0" w:space="0" w:color="auto"/>
        <w:bottom w:val="none" w:sz="0" w:space="0" w:color="auto"/>
        <w:right w:val="none" w:sz="0" w:space="0" w:color="auto"/>
      </w:divBdr>
    </w:div>
    <w:div w:id="658273721">
      <w:bodyDiv w:val="1"/>
      <w:marLeft w:val="0"/>
      <w:marRight w:val="0"/>
      <w:marTop w:val="0"/>
      <w:marBottom w:val="0"/>
      <w:divBdr>
        <w:top w:val="none" w:sz="0" w:space="0" w:color="auto"/>
        <w:left w:val="none" w:sz="0" w:space="0" w:color="auto"/>
        <w:bottom w:val="none" w:sz="0" w:space="0" w:color="auto"/>
        <w:right w:val="none" w:sz="0" w:space="0" w:color="auto"/>
      </w:divBdr>
    </w:div>
    <w:div w:id="670108553">
      <w:bodyDiv w:val="1"/>
      <w:marLeft w:val="0"/>
      <w:marRight w:val="0"/>
      <w:marTop w:val="0"/>
      <w:marBottom w:val="0"/>
      <w:divBdr>
        <w:top w:val="none" w:sz="0" w:space="0" w:color="auto"/>
        <w:left w:val="none" w:sz="0" w:space="0" w:color="auto"/>
        <w:bottom w:val="none" w:sz="0" w:space="0" w:color="auto"/>
        <w:right w:val="none" w:sz="0" w:space="0" w:color="auto"/>
      </w:divBdr>
    </w:div>
    <w:div w:id="858543598">
      <w:bodyDiv w:val="1"/>
      <w:marLeft w:val="0"/>
      <w:marRight w:val="0"/>
      <w:marTop w:val="0"/>
      <w:marBottom w:val="0"/>
      <w:divBdr>
        <w:top w:val="none" w:sz="0" w:space="0" w:color="auto"/>
        <w:left w:val="none" w:sz="0" w:space="0" w:color="auto"/>
        <w:bottom w:val="none" w:sz="0" w:space="0" w:color="auto"/>
        <w:right w:val="none" w:sz="0" w:space="0" w:color="auto"/>
      </w:divBdr>
      <w:divsChild>
        <w:div w:id="1943948441">
          <w:marLeft w:val="0"/>
          <w:marRight w:val="0"/>
          <w:marTop w:val="0"/>
          <w:marBottom w:val="0"/>
          <w:divBdr>
            <w:top w:val="none" w:sz="0" w:space="0" w:color="auto"/>
            <w:left w:val="none" w:sz="0" w:space="0" w:color="auto"/>
            <w:bottom w:val="none" w:sz="0" w:space="0" w:color="auto"/>
            <w:right w:val="none" w:sz="0" w:space="0" w:color="auto"/>
          </w:divBdr>
          <w:divsChild>
            <w:div w:id="72902212">
              <w:marLeft w:val="0"/>
              <w:marRight w:val="0"/>
              <w:marTop w:val="0"/>
              <w:marBottom w:val="0"/>
              <w:divBdr>
                <w:top w:val="none" w:sz="0" w:space="0" w:color="auto"/>
                <w:left w:val="none" w:sz="0" w:space="0" w:color="auto"/>
                <w:bottom w:val="none" w:sz="0" w:space="0" w:color="auto"/>
                <w:right w:val="none" w:sz="0" w:space="0" w:color="auto"/>
              </w:divBdr>
              <w:divsChild>
                <w:div w:id="1824852442">
                  <w:marLeft w:val="0"/>
                  <w:marRight w:val="0"/>
                  <w:marTop w:val="0"/>
                  <w:marBottom w:val="0"/>
                  <w:divBdr>
                    <w:top w:val="none" w:sz="0" w:space="0" w:color="auto"/>
                    <w:left w:val="none" w:sz="0" w:space="0" w:color="auto"/>
                    <w:bottom w:val="none" w:sz="0" w:space="0" w:color="auto"/>
                    <w:right w:val="none" w:sz="0" w:space="0" w:color="auto"/>
                  </w:divBdr>
                  <w:divsChild>
                    <w:div w:id="186786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096898">
      <w:bodyDiv w:val="1"/>
      <w:marLeft w:val="0"/>
      <w:marRight w:val="0"/>
      <w:marTop w:val="0"/>
      <w:marBottom w:val="0"/>
      <w:divBdr>
        <w:top w:val="none" w:sz="0" w:space="0" w:color="auto"/>
        <w:left w:val="none" w:sz="0" w:space="0" w:color="auto"/>
        <w:bottom w:val="none" w:sz="0" w:space="0" w:color="auto"/>
        <w:right w:val="none" w:sz="0" w:space="0" w:color="auto"/>
      </w:divBdr>
    </w:div>
    <w:div w:id="889610104">
      <w:bodyDiv w:val="1"/>
      <w:marLeft w:val="0"/>
      <w:marRight w:val="0"/>
      <w:marTop w:val="0"/>
      <w:marBottom w:val="0"/>
      <w:divBdr>
        <w:top w:val="none" w:sz="0" w:space="0" w:color="auto"/>
        <w:left w:val="none" w:sz="0" w:space="0" w:color="auto"/>
        <w:bottom w:val="none" w:sz="0" w:space="0" w:color="auto"/>
        <w:right w:val="none" w:sz="0" w:space="0" w:color="auto"/>
      </w:divBdr>
    </w:div>
    <w:div w:id="898201399">
      <w:bodyDiv w:val="1"/>
      <w:marLeft w:val="0"/>
      <w:marRight w:val="0"/>
      <w:marTop w:val="0"/>
      <w:marBottom w:val="0"/>
      <w:divBdr>
        <w:top w:val="none" w:sz="0" w:space="0" w:color="auto"/>
        <w:left w:val="none" w:sz="0" w:space="0" w:color="auto"/>
        <w:bottom w:val="none" w:sz="0" w:space="0" w:color="auto"/>
        <w:right w:val="none" w:sz="0" w:space="0" w:color="auto"/>
      </w:divBdr>
    </w:div>
    <w:div w:id="1075468423">
      <w:bodyDiv w:val="1"/>
      <w:marLeft w:val="0"/>
      <w:marRight w:val="0"/>
      <w:marTop w:val="0"/>
      <w:marBottom w:val="0"/>
      <w:divBdr>
        <w:top w:val="none" w:sz="0" w:space="0" w:color="auto"/>
        <w:left w:val="none" w:sz="0" w:space="0" w:color="auto"/>
        <w:bottom w:val="none" w:sz="0" w:space="0" w:color="auto"/>
        <w:right w:val="none" w:sz="0" w:space="0" w:color="auto"/>
      </w:divBdr>
    </w:div>
    <w:div w:id="1117065289">
      <w:bodyDiv w:val="1"/>
      <w:marLeft w:val="0"/>
      <w:marRight w:val="0"/>
      <w:marTop w:val="0"/>
      <w:marBottom w:val="0"/>
      <w:divBdr>
        <w:top w:val="none" w:sz="0" w:space="0" w:color="auto"/>
        <w:left w:val="none" w:sz="0" w:space="0" w:color="auto"/>
        <w:bottom w:val="none" w:sz="0" w:space="0" w:color="auto"/>
        <w:right w:val="none" w:sz="0" w:space="0" w:color="auto"/>
      </w:divBdr>
    </w:div>
    <w:div w:id="1150907236">
      <w:bodyDiv w:val="1"/>
      <w:marLeft w:val="0"/>
      <w:marRight w:val="0"/>
      <w:marTop w:val="0"/>
      <w:marBottom w:val="0"/>
      <w:divBdr>
        <w:top w:val="none" w:sz="0" w:space="0" w:color="auto"/>
        <w:left w:val="none" w:sz="0" w:space="0" w:color="auto"/>
        <w:bottom w:val="none" w:sz="0" w:space="0" w:color="auto"/>
        <w:right w:val="none" w:sz="0" w:space="0" w:color="auto"/>
      </w:divBdr>
    </w:div>
    <w:div w:id="1231190516">
      <w:bodyDiv w:val="1"/>
      <w:marLeft w:val="0"/>
      <w:marRight w:val="0"/>
      <w:marTop w:val="0"/>
      <w:marBottom w:val="0"/>
      <w:divBdr>
        <w:top w:val="none" w:sz="0" w:space="0" w:color="auto"/>
        <w:left w:val="none" w:sz="0" w:space="0" w:color="auto"/>
        <w:bottom w:val="none" w:sz="0" w:space="0" w:color="auto"/>
        <w:right w:val="none" w:sz="0" w:space="0" w:color="auto"/>
      </w:divBdr>
    </w:div>
    <w:div w:id="1237595387">
      <w:bodyDiv w:val="1"/>
      <w:marLeft w:val="0"/>
      <w:marRight w:val="0"/>
      <w:marTop w:val="0"/>
      <w:marBottom w:val="0"/>
      <w:divBdr>
        <w:top w:val="none" w:sz="0" w:space="0" w:color="auto"/>
        <w:left w:val="none" w:sz="0" w:space="0" w:color="auto"/>
        <w:bottom w:val="none" w:sz="0" w:space="0" w:color="auto"/>
        <w:right w:val="none" w:sz="0" w:space="0" w:color="auto"/>
      </w:divBdr>
    </w:div>
    <w:div w:id="1308629709">
      <w:bodyDiv w:val="1"/>
      <w:marLeft w:val="0"/>
      <w:marRight w:val="0"/>
      <w:marTop w:val="0"/>
      <w:marBottom w:val="0"/>
      <w:divBdr>
        <w:top w:val="none" w:sz="0" w:space="0" w:color="auto"/>
        <w:left w:val="none" w:sz="0" w:space="0" w:color="auto"/>
        <w:bottom w:val="none" w:sz="0" w:space="0" w:color="auto"/>
        <w:right w:val="none" w:sz="0" w:space="0" w:color="auto"/>
      </w:divBdr>
    </w:div>
    <w:div w:id="1379427820">
      <w:bodyDiv w:val="1"/>
      <w:marLeft w:val="0"/>
      <w:marRight w:val="0"/>
      <w:marTop w:val="0"/>
      <w:marBottom w:val="0"/>
      <w:divBdr>
        <w:top w:val="none" w:sz="0" w:space="0" w:color="auto"/>
        <w:left w:val="none" w:sz="0" w:space="0" w:color="auto"/>
        <w:bottom w:val="none" w:sz="0" w:space="0" w:color="auto"/>
        <w:right w:val="none" w:sz="0" w:space="0" w:color="auto"/>
      </w:divBdr>
    </w:div>
    <w:div w:id="1537425339">
      <w:bodyDiv w:val="1"/>
      <w:marLeft w:val="0"/>
      <w:marRight w:val="0"/>
      <w:marTop w:val="0"/>
      <w:marBottom w:val="0"/>
      <w:divBdr>
        <w:top w:val="none" w:sz="0" w:space="0" w:color="auto"/>
        <w:left w:val="none" w:sz="0" w:space="0" w:color="auto"/>
        <w:bottom w:val="none" w:sz="0" w:space="0" w:color="auto"/>
        <w:right w:val="none" w:sz="0" w:space="0" w:color="auto"/>
      </w:divBdr>
    </w:div>
    <w:div w:id="1540819077">
      <w:bodyDiv w:val="1"/>
      <w:marLeft w:val="0"/>
      <w:marRight w:val="0"/>
      <w:marTop w:val="0"/>
      <w:marBottom w:val="0"/>
      <w:divBdr>
        <w:top w:val="none" w:sz="0" w:space="0" w:color="auto"/>
        <w:left w:val="none" w:sz="0" w:space="0" w:color="auto"/>
        <w:bottom w:val="none" w:sz="0" w:space="0" w:color="auto"/>
        <w:right w:val="none" w:sz="0" w:space="0" w:color="auto"/>
      </w:divBdr>
    </w:div>
    <w:div w:id="1556700119">
      <w:bodyDiv w:val="1"/>
      <w:marLeft w:val="0"/>
      <w:marRight w:val="0"/>
      <w:marTop w:val="0"/>
      <w:marBottom w:val="0"/>
      <w:divBdr>
        <w:top w:val="none" w:sz="0" w:space="0" w:color="auto"/>
        <w:left w:val="none" w:sz="0" w:space="0" w:color="auto"/>
        <w:bottom w:val="none" w:sz="0" w:space="0" w:color="auto"/>
        <w:right w:val="none" w:sz="0" w:space="0" w:color="auto"/>
      </w:divBdr>
    </w:div>
    <w:div w:id="1680231468">
      <w:bodyDiv w:val="1"/>
      <w:marLeft w:val="0"/>
      <w:marRight w:val="0"/>
      <w:marTop w:val="0"/>
      <w:marBottom w:val="0"/>
      <w:divBdr>
        <w:top w:val="none" w:sz="0" w:space="0" w:color="auto"/>
        <w:left w:val="none" w:sz="0" w:space="0" w:color="auto"/>
        <w:bottom w:val="none" w:sz="0" w:space="0" w:color="auto"/>
        <w:right w:val="none" w:sz="0" w:space="0" w:color="auto"/>
      </w:divBdr>
    </w:div>
    <w:div w:id="1687369253">
      <w:bodyDiv w:val="1"/>
      <w:marLeft w:val="0"/>
      <w:marRight w:val="0"/>
      <w:marTop w:val="0"/>
      <w:marBottom w:val="0"/>
      <w:divBdr>
        <w:top w:val="none" w:sz="0" w:space="0" w:color="auto"/>
        <w:left w:val="none" w:sz="0" w:space="0" w:color="auto"/>
        <w:bottom w:val="none" w:sz="0" w:space="0" w:color="auto"/>
        <w:right w:val="none" w:sz="0" w:space="0" w:color="auto"/>
      </w:divBdr>
    </w:div>
    <w:div w:id="1740396062">
      <w:bodyDiv w:val="1"/>
      <w:marLeft w:val="0"/>
      <w:marRight w:val="0"/>
      <w:marTop w:val="0"/>
      <w:marBottom w:val="0"/>
      <w:divBdr>
        <w:top w:val="none" w:sz="0" w:space="0" w:color="auto"/>
        <w:left w:val="none" w:sz="0" w:space="0" w:color="auto"/>
        <w:bottom w:val="none" w:sz="0" w:space="0" w:color="auto"/>
        <w:right w:val="none" w:sz="0" w:space="0" w:color="auto"/>
      </w:divBdr>
    </w:div>
    <w:div w:id="1784879541">
      <w:bodyDiv w:val="1"/>
      <w:marLeft w:val="0"/>
      <w:marRight w:val="0"/>
      <w:marTop w:val="0"/>
      <w:marBottom w:val="0"/>
      <w:divBdr>
        <w:top w:val="none" w:sz="0" w:space="0" w:color="auto"/>
        <w:left w:val="none" w:sz="0" w:space="0" w:color="auto"/>
        <w:bottom w:val="none" w:sz="0" w:space="0" w:color="auto"/>
        <w:right w:val="none" w:sz="0" w:space="0" w:color="auto"/>
      </w:divBdr>
    </w:div>
    <w:div w:id="1801994656">
      <w:bodyDiv w:val="1"/>
      <w:marLeft w:val="0"/>
      <w:marRight w:val="0"/>
      <w:marTop w:val="0"/>
      <w:marBottom w:val="0"/>
      <w:divBdr>
        <w:top w:val="none" w:sz="0" w:space="0" w:color="auto"/>
        <w:left w:val="none" w:sz="0" w:space="0" w:color="auto"/>
        <w:bottom w:val="none" w:sz="0" w:space="0" w:color="auto"/>
        <w:right w:val="none" w:sz="0" w:space="0" w:color="auto"/>
      </w:divBdr>
      <w:divsChild>
        <w:div w:id="935015340">
          <w:marLeft w:val="0"/>
          <w:marRight w:val="0"/>
          <w:marTop w:val="0"/>
          <w:marBottom w:val="0"/>
          <w:divBdr>
            <w:top w:val="none" w:sz="0" w:space="0" w:color="auto"/>
            <w:left w:val="none" w:sz="0" w:space="0" w:color="auto"/>
            <w:bottom w:val="none" w:sz="0" w:space="0" w:color="auto"/>
            <w:right w:val="none" w:sz="0" w:space="0" w:color="auto"/>
          </w:divBdr>
          <w:divsChild>
            <w:div w:id="1297836791">
              <w:marLeft w:val="0"/>
              <w:marRight w:val="0"/>
              <w:marTop w:val="0"/>
              <w:marBottom w:val="0"/>
              <w:divBdr>
                <w:top w:val="none" w:sz="0" w:space="0" w:color="auto"/>
                <w:left w:val="none" w:sz="0" w:space="0" w:color="auto"/>
                <w:bottom w:val="none" w:sz="0" w:space="0" w:color="auto"/>
                <w:right w:val="none" w:sz="0" w:space="0" w:color="auto"/>
              </w:divBdr>
              <w:divsChild>
                <w:div w:id="406533439">
                  <w:marLeft w:val="0"/>
                  <w:marRight w:val="0"/>
                  <w:marTop w:val="0"/>
                  <w:marBottom w:val="0"/>
                  <w:divBdr>
                    <w:top w:val="none" w:sz="0" w:space="0" w:color="auto"/>
                    <w:left w:val="none" w:sz="0" w:space="0" w:color="auto"/>
                    <w:bottom w:val="none" w:sz="0" w:space="0" w:color="auto"/>
                    <w:right w:val="none" w:sz="0" w:space="0" w:color="auto"/>
                  </w:divBdr>
                  <w:divsChild>
                    <w:div w:id="8815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49881">
      <w:bodyDiv w:val="1"/>
      <w:marLeft w:val="0"/>
      <w:marRight w:val="0"/>
      <w:marTop w:val="0"/>
      <w:marBottom w:val="0"/>
      <w:divBdr>
        <w:top w:val="none" w:sz="0" w:space="0" w:color="auto"/>
        <w:left w:val="none" w:sz="0" w:space="0" w:color="auto"/>
        <w:bottom w:val="none" w:sz="0" w:space="0" w:color="auto"/>
        <w:right w:val="none" w:sz="0" w:space="0" w:color="auto"/>
      </w:divBdr>
    </w:div>
    <w:div w:id="1832793658">
      <w:bodyDiv w:val="1"/>
      <w:marLeft w:val="0"/>
      <w:marRight w:val="0"/>
      <w:marTop w:val="0"/>
      <w:marBottom w:val="0"/>
      <w:divBdr>
        <w:top w:val="none" w:sz="0" w:space="0" w:color="auto"/>
        <w:left w:val="none" w:sz="0" w:space="0" w:color="auto"/>
        <w:bottom w:val="none" w:sz="0" w:space="0" w:color="auto"/>
        <w:right w:val="none" w:sz="0" w:space="0" w:color="auto"/>
      </w:divBdr>
    </w:div>
    <w:div w:id="1836608471">
      <w:bodyDiv w:val="1"/>
      <w:marLeft w:val="0"/>
      <w:marRight w:val="0"/>
      <w:marTop w:val="0"/>
      <w:marBottom w:val="0"/>
      <w:divBdr>
        <w:top w:val="none" w:sz="0" w:space="0" w:color="auto"/>
        <w:left w:val="none" w:sz="0" w:space="0" w:color="auto"/>
        <w:bottom w:val="none" w:sz="0" w:space="0" w:color="auto"/>
        <w:right w:val="none" w:sz="0" w:space="0" w:color="auto"/>
      </w:divBdr>
    </w:div>
    <w:div w:id="1843664638">
      <w:bodyDiv w:val="1"/>
      <w:marLeft w:val="0"/>
      <w:marRight w:val="0"/>
      <w:marTop w:val="0"/>
      <w:marBottom w:val="0"/>
      <w:divBdr>
        <w:top w:val="none" w:sz="0" w:space="0" w:color="auto"/>
        <w:left w:val="none" w:sz="0" w:space="0" w:color="auto"/>
        <w:bottom w:val="none" w:sz="0" w:space="0" w:color="auto"/>
        <w:right w:val="none" w:sz="0" w:space="0" w:color="auto"/>
      </w:divBdr>
    </w:div>
    <w:div w:id="1849514509">
      <w:bodyDiv w:val="1"/>
      <w:marLeft w:val="0"/>
      <w:marRight w:val="0"/>
      <w:marTop w:val="0"/>
      <w:marBottom w:val="0"/>
      <w:divBdr>
        <w:top w:val="none" w:sz="0" w:space="0" w:color="auto"/>
        <w:left w:val="none" w:sz="0" w:space="0" w:color="auto"/>
        <w:bottom w:val="none" w:sz="0" w:space="0" w:color="auto"/>
        <w:right w:val="none" w:sz="0" w:space="0" w:color="auto"/>
      </w:divBdr>
    </w:div>
    <w:div w:id="1868831489">
      <w:bodyDiv w:val="1"/>
      <w:marLeft w:val="0"/>
      <w:marRight w:val="0"/>
      <w:marTop w:val="0"/>
      <w:marBottom w:val="0"/>
      <w:divBdr>
        <w:top w:val="none" w:sz="0" w:space="0" w:color="auto"/>
        <w:left w:val="none" w:sz="0" w:space="0" w:color="auto"/>
        <w:bottom w:val="none" w:sz="0" w:space="0" w:color="auto"/>
        <w:right w:val="none" w:sz="0" w:space="0" w:color="auto"/>
      </w:divBdr>
    </w:div>
    <w:div w:id="1893809814">
      <w:bodyDiv w:val="1"/>
      <w:marLeft w:val="0"/>
      <w:marRight w:val="0"/>
      <w:marTop w:val="0"/>
      <w:marBottom w:val="0"/>
      <w:divBdr>
        <w:top w:val="none" w:sz="0" w:space="0" w:color="auto"/>
        <w:left w:val="none" w:sz="0" w:space="0" w:color="auto"/>
        <w:bottom w:val="none" w:sz="0" w:space="0" w:color="auto"/>
        <w:right w:val="none" w:sz="0" w:space="0" w:color="auto"/>
      </w:divBdr>
    </w:div>
    <w:div w:id="1902249817">
      <w:bodyDiv w:val="1"/>
      <w:marLeft w:val="0"/>
      <w:marRight w:val="0"/>
      <w:marTop w:val="0"/>
      <w:marBottom w:val="0"/>
      <w:divBdr>
        <w:top w:val="none" w:sz="0" w:space="0" w:color="auto"/>
        <w:left w:val="none" w:sz="0" w:space="0" w:color="auto"/>
        <w:bottom w:val="none" w:sz="0" w:space="0" w:color="auto"/>
        <w:right w:val="none" w:sz="0" w:space="0" w:color="auto"/>
      </w:divBdr>
    </w:div>
    <w:div w:id="1985773534">
      <w:bodyDiv w:val="1"/>
      <w:marLeft w:val="0"/>
      <w:marRight w:val="0"/>
      <w:marTop w:val="0"/>
      <w:marBottom w:val="0"/>
      <w:divBdr>
        <w:top w:val="none" w:sz="0" w:space="0" w:color="auto"/>
        <w:left w:val="none" w:sz="0" w:space="0" w:color="auto"/>
        <w:bottom w:val="none" w:sz="0" w:space="0" w:color="auto"/>
        <w:right w:val="none" w:sz="0" w:space="0" w:color="auto"/>
      </w:divBdr>
    </w:div>
    <w:div w:id="2012099688">
      <w:bodyDiv w:val="1"/>
      <w:marLeft w:val="0"/>
      <w:marRight w:val="0"/>
      <w:marTop w:val="0"/>
      <w:marBottom w:val="0"/>
      <w:divBdr>
        <w:top w:val="none" w:sz="0" w:space="0" w:color="auto"/>
        <w:left w:val="none" w:sz="0" w:space="0" w:color="auto"/>
        <w:bottom w:val="none" w:sz="0" w:space="0" w:color="auto"/>
        <w:right w:val="none" w:sz="0" w:space="0" w:color="auto"/>
      </w:divBdr>
    </w:div>
    <w:div w:id="2051757692">
      <w:bodyDiv w:val="1"/>
      <w:marLeft w:val="0"/>
      <w:marRight w:val="0"/>
      <w:marTop w:val="0"/>
      <w:marBottom w:val="0"/>
      <w:divBdr>
        <w:top w:val="none" w:sz="0" w:space="0" w:color="auto"/>
        <w:left w:val="none" w:sz="0" w:space="0" w:color="auto"/>
        <w:bottom w:val="none" w:sz="0" w:space="0" w:color="auto"/>
        <w:right w:val="none" w:sz="0" w:space="0" w:color="auto"/>
      </w:divBdr>
    </w:div>
    <w:div w:id="2085295804">
      <w:bodyDiv w:val="1"/>
      <w:marLeft w:val="0"/>
      <w:marRight w:val="0"/>
      <w:marTop w:val="0"/>
      <w:marBottom w:val="0"/>
      <w:divBdr>
        <w:top w:val="none" w:sz="0" w:space="0" w:color="auto"/>
        <w:left w:val="none" w:sz="0" w:space="0" w:color="auto"/>
        <w:bottom w:val="none" w:sz="0" w:space="0" w:color="auto"/>
        <w:right w:val="none" w:sz="0" w:space="0" w:color="auto"/>
      </w:divBdr>
    </w:div>
    <w:div w:id="211578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44293-7A54-4C3D-A2F5-8F9A0EFF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2303</Words>
  <Characters>13130</Characters>
  <Application>Microsoft Office Word</Application>
  <DocSecurity>0</DocSecurity>
  <Lines>109</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W</dc:creator>
  <cp:keywords/>
  <dc:description/>
  <cp:lastModifiedBy>Karin Wiederkehr</cp:lastModifiedBy>
  <cp:revision>31</cp:revision>
  <cp:lastPrinted>2025-07-16T09:25:00Z</cp:lastPrinted>
  <dcterms:created xsi:type="dcterms:W3CDTF">2025-07-16T08:47:00Z</dcterms:created>
  <dcterms:modified xsi:type="dcterms:W3CDTF">2025-07-16T09:45:00Z</dcterms:modified>
</cp:coreProperties>
</file>