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930226" w14:textId="597AFCD0" w:rsidR="00B86B0D" w:rsidRPr="0039359A" w:rsidRDefault="00691ABB" w:rsidP="00FB348B">
      <w:pPr>
        <w:jc w:val="both"/>
        <w:rPr>
          <w:rFonts w:ascii="Times New Roman" w:hAnsi="Times New Roman" w:cs="Times New Roman"/>
          <w:sz w:val="24"/>
          <w:szCs w:val="24"/>
          <w:lang w:val="en-US"/>
        </w:rPr>
      </w:pPr>
      <w:r w:rsidRPr="00793B66">
        <w:rPr>
          <w:rFonts w:ascii="Times New Roman" w:eastAsia="Times New Roman" w:hAnsi="Times New Roman" w:cs="Times New Roman"/>
          <w:b/>
          <w:bCs/>
          <w:color w:val="002060"/>
          <w:sz w:val="24"/>
          <w:szCs w:val="24"/>
          <w:lang w:val="en-US"/>
        </w:rPr>
        <w:t xml:space="preserve"> </w:t>
      </w:r>
      <w:r w:rsidR="00BD5FAE" w:rsidRPr="0039359A">
        <w:rPr>
          <w:rFonts w:ascii="Times New Roman" w:eastAsia="Times New Roman" w:hAnsi="Times New Roman" w:cs="Times New Roman"/>
          <w:b/>
          <w:bCs/>
          <w:color w:val="002060"/>
          <w:sz w:val="24"/>
          <w:szCs w:val="24"/>
          <w:lang w:val="en-US"/>
        </w:rPr>
        <w:t>IMP Global Megatrend Umbrella Fund Commentary</w:t>
      </w:r>
    </w:p>
    <w:p w14:paraId="0E72BE74" w14:textId="1CCBF096" w:rsidR="00625665" w:rsidRPr="00E20AE6" w:rsidRDefault="00625665" w:rsidP="00625665">
      <w:pPr>
        <w:jc w:val="both"/>
        <w:rPr>
          <w:rFonts w:ascii="Times New Roman" w:hAnsi="Times New Roman" w:cs="Times New Roman"/>
          <w:sz w:val="24"/>
          <w:szCs w:val="24"/>
          <w:lang w:val="en-US"/>
        </w:rPr>
      </w:pPr>
      <w:r w:rsidRPr="00E20AE6">
        <w:rPr>
          <w:rFonts w:ascii="Times New Roman" w:hAnsi="Times New Roman" w:cs="Times New Roman"/>
          <w:sz w:val="24"/>
          <w:szCs w:val="24"/>
          <w:lang w:val="en-US"/>
        </w:rPr>
        <w:t xml:space="preserve">Global markets advanced in September, supported by solid corporate earnings, moderating inflation, and a shift in monetary policy. The Federal Reserve cut rates by 25 basis points, its first reduction since 2024, and signaled further easing ahead. Although U.S. equity valuations remain elevated, improving earnings, resilient growth, and a more accommodative policy outlook continue to support risk assets. The global economy remains in a phase of steady expansion, with the U.S. showing signs of healthy cooling rather than contraction. Strong investment in intellectual property and software continues to drive activity, while the September decline of 32,000 private payrolls, the largest since March 2023, points to a gradual labor market rebalancing that provides the Fed greater flexibility. Bloomberg projects an additional 75 basis points of rate cuts by the first quarter of 2026, reinforcing a growth-supportive policy stance. Against this backdrop, the IMP Global Megatrend Umbrella Fund delivered a robust 5.89 </w:t>
      </w:r>
      <w:r w:rsidR="00BB6192" w:rsidRPr="00BB6192">
        <w:rPr>
          <w:rFonts w:ascii="Times New Roman" w:hAnsi="Times New Roman" w:cs="Times New Roman"/>
          <w:sz w:val="24"/>
          <w:szCs w:val="24"/>
          <w:lang w:val="en-US"/>
        </w:rPr>
        <w:t>%</w:t>
      </w:r>
      <w:r w:rsidRPr="00E20AE6">
        <w:rPr>
          <w:rFonts w:ascii="Times New Roman" w:hAnsi="Times New Roman" w:cs="Times New Roman"/>
          <w:sz w:val="24"/>
          <w:szCs w:val="24"/>
          <w:lang w:val="en-US"/>
        </w:rPr>
        <w:t xml:space="preserve"> return for the month, bringing its year-to-date gain to 12.38 </w:t>
      </w:r>
      <w:r w:rsidR="00BB6192" w:rsidRPr="00BB6192">
        <w:rPr>
          <w:rFonts w:ascii="Times New Roman" w:hAnsi="Times New Roman" w:cs="Times New Roman"/>
          <w:sz w:val="24"/>
          <w:szCs w:val="24"/>
          <w:lang w:val="en-US"/>
        </w:rPr>
        <w:t xml:space="preserve">% </w:t>
      </w:r>
      <w:r w:rsidRPr="00E20AE6">
        <w:rPr>
          <w:rFonts w:ascii="Times New Roman" w:hAnsi="Times New Roman" w:cs="Times New Roman"/>
          <w:sz w:val="24"/>
          <w:szCs w:val="24"/>
          <w:lang w:val="en-US"/>
        </w:rPr>
        <w:t>as of September 30, 2025, net of fees.</w:t>
      </w:r>
    </w:p>
    <w:p w14:paraId="63012CFF" w14:textId="117A7E63" w:rsidR="00625665" w:rsidRPr="00E20AE6" w:rsidRDefault="00625665" w:rsidP="00625665">
      <w:pPr>
        <w:jc w:val="both"/>
        <w:rPr>
          <w:rFonts w:ascii="Times New Roman" w:hAnsi="Times New Roman" w:cs="Times New Roman"/>
          <w:sz w:val="24"/>
          <w:szCs w:val="24"/>
          <w:lang w:val="en-US"/>
        </w:rPr>
      </w:pPr>
      <w:r w:rsidRPr="00E20AE6">
        <w:rPr>
          <w:rFonts w:ascii="Times New Roman" w:hAnsi="Times New Roman" w:cs="Times New Roman"/>
          <w:sz w:val="24"/>
          <w:szCs w:val="24"/>
          <w:lang w:val="en-US"/>
        </w:rPr>
        <w:t xml:space="preserve">U.S. equities reached new highs </w:t>
      </w:r>
      <w:r w:rsidR="00E20AE6">
        <w:rPr>
          <w:rFonts w:ascii="Times New Roman" w:hAnsi="Times New Roman" w:cs="Times New Roman"/>
          <w:sz w:val="24"/>
          <w:szCs w:val="24"/>
          <w:lang w:val="en-US"/>
        </w:rPr>
        <w:t>during the month</w:t>
      </w:r>
      <w:r w:rsidRPr="00E20AE6">
        <w:rPr>
          <w:rFonts w:ascii="Times New Roman" w:hAnsi="Times New Roman" w:cs="Times New Roman"/>
          <w:sz w:val="24"/>
          <w:szCs w:val="24"/>
          <w:lang w:val="en-US"/>
        </w:rPr>
        <w:t>, with the S&amp;P 500 rising 3.64%. The market remains supported by improving earnings momentum in technology, healthcare, and industrials, alongside cautious optimism about monetary easing. Market leadership has begun to broaden beyond the narrow group of stocks that dominated much of the past year, suggesting a more balanced performance and greater participation from cyclical sectors. Valuations remain elevated relative to historical norms, while investor sentiment stays measured and institutional positioning cautious. Although the market environment largely reflects improving fundamentals rather than speculative excess, some segments appear frothy, as analysts continue to highlight ongoing margin pressures and the importance of cost discipline, particularly in sectors linked to digitalization, healthcare innovation, and infrastructure investment.</w:t>
      </w:r>
    </w:p>
    <w:p w14:paraId="1A43D093" w14:textId="7DCEF010" w:rsidR="00625665" w:rsidRPr="00625665" w:rsidRDefault="00625665" w:rsidP="00625665">
      <w:pPr>
        <w:jc w:val="both"/>
        <w:rPr>
          <w:rFonts w:ascii="Times New Roman" w:hAnsi="Times New Roman" w:cs="Times New Roman"/>
          <w:sz w:val="24"/>
          <w:szCs w:val="24"/>
          <w:lang w:val="en-US"/>
        </w:rPr>
      </w:pPr>
      <w:r w:rsidRPr="00625665">
        <w:rPr>
          <w:rFonts w:ascii="Times New Roman" w:hAnsi="Times New Roman" w:cs="Times New Roman"/>
          <w:sz w:val="24"/>
          <w:szCs w:val="24"/>
          <w:lang w:val="en-US"/>
        </w:rPr>
        <w:t>As monetary policy and liquidity dynamics continue to influence equity risk appetite, capital is increasingly flowing into sectors that offer structural growth and earnings resilience. Central bank rate cuts are easing borrowing costs, improving corporate financing conditions, and enabling companies to expand capital expenditure and refinance on more favorable terms. This easing, coupled with broader market participation, suggests that the current rally may be built on stronger foundations compared to previous cycles. U.S. real yields have begun trending downward, easing valuation pressure on equities and allowing earnings growth to drive gains, rather than relying solely on multiple expansion. However, risks remain, including potential inflation surprises, policy missteps, or broader macroeconomic shocks that could trigger volatility. Despite these risks, the current environment, marked by ample liquidity, resilient growth, and expectations of further rate relief, remains supportive of continued equity upside, particularly in sectors linked to artificial intelligence, healthcare innovation, and energy transition.</w:t>
      </w:r>
    </w:p>
    <w:p w14:paraId="03C8D891" w14:textId="17618DF6" w:rsidR="00625665" w:rsidRPr="00E20AE6" w:rsidRDefault="00625665" w:rsidP="00625665">
      <w:pPr>
        <w:jc w:val="both"/>
        <w:rPr>
          <w:rFonts w:ascii="Times New Roman" w:hAnsi="Times New Roman" w:cs="Times New Roman"/>
          <w:sz w:val="24"/>
          <w:szCs w:val="24"/>
          <w:lang w:val="en-US"/>
        </w:rPr>
      </w:pPr>
      <w:r w:rsidRPr="00E20AE6">
        <w:rPr>
          <w:rFonts w:ascii="Times New Roman" w:hAnsi="Times New Roman" w:cs="Times New Roman"/>
          <w:sz w:val="24"/>
          <w:szCs w:val="24"/>
          <w:lang w:val="en-US"/>
        </w:rPr>
        <w:t xml:space="preserve">The U.S. dollar traded modestly lower, following the Federal Reserve’s rate cut and softer labor data, reinforcing expectations of further easing into 2026. The dollar index declined by approximately 0.7%, </w:t>
      </w:r>
      <w:proofErr w:type="gramStart"/>
      <w:r w:rsidRPr="00E20AE6">
        <w:rPr>
          <w:rFonts w:ascii="Times New Roman" w:hAnsi="Times New Roman" w:cs="Times New Roman"/>
          <w:sz w:val="24"/>
          <w:szCs w:val="24"/>
          <w:lang w:val="en-US"/>
        </w:rPr>
        <w:t>extending</w:t>
      </w:r>
      <w:proofErr w:type="gramEnd"/>
      <w:r w:rsidRPr="00E20AE6">
        <w:rPr>
          <w:rFonts w:ascii="Times New Roman" w:hAnsi="Times New Roman" w:cs="Times New Roman"/>
          <w:sz w:val="24"/>
          <w:szCs w:val="24"/>
          <w:lang w:val="en-US"/>
        </w:rPr>
        <w:t xml:space="preserve"> a gradual weakening trend that began earlier in the summer. While safe-haven flows and inflation uncertainty provided occasional support, the broader trend remains one of measured depreciation amid narrowing yield differentials and persistent </w:t>
      </w:r>
      <w:r w:rsidRPr="00E20AE6">
        <w:rPr>
          <w:rFonts w:ascii="Times New Roman" w:hAnsi="Times New Roman" w:cs="Times New Roman"/>
          <w:sz w:val="24"/>
          <w:szCs w:val="24"/>
          <w:lang w:val="en-US"/>
        </w:rPr>
        <w:lastRenderedPageBreak/>
        <w:t xml:space="preserve">fiscal imbalances. Looking ahead, we maintain a cautiously negative outlook on the dollar through year-end, as the Fed’s more aggressive easing compared to other major central banks, coupled with ongoing fiscal and current account deficits, is likely to keep the currency on a moderate downward path with intermittent volatility. In contrast, the Swiss franc remained resilient, buoyed by its safe-haven status and a persistent current account surplus, though inflation below the Swiss National Bank’s target and tariffs weighing on export competitiveness have heightened expectations for further policy easing. The SNB’s measured interventions to temper excessive currency strength aim to preserve financial stability and support domestic growth. Over the medium term, we expect the franc to remain firm but range-bound, balancing external demand for safety with the central bank’s preference for </w:t>
      </w:r>
      <w:proofErr w:type="gramStart"/>
      <w:r w:rsidRPr="00E20AE6">
        <w:rPr>
          <w:rFonts w:ascii="Times New Roman" w:hAnsi="Times New Roman" w:cs="Times New Roman"/>
          <w:sz w:val="24"/>
          <w:szCs w:val="24"/>
          <w:lang w:val="en-US"/>
        </w:rPr>
        <w:t>accommodative</w:t>
      </w:r>
      <w:proofErr w:type="gramEnd"/>
      <w:r w:rsidRPr="00E20AE6">
        <w:rPr>
          <w:rFonts w:ascii="Times New Roman" w:hAnsi="Times New Roman" w:cs="Times New Roman"/>
          <w:sz w:val="24"/>
          <w:szCs w:val="24"/>
          <w:lang w:val="en-US"/>
        </w:rPr>
        <w:t xml:space="preserve"> financial conditions.</w:t>
      </w:r>
    </w:p>
    <w:p w14:paraId="4B28E4BA" w14:textId="08337094" w:rsidR="00625665" w:rsidRPr="00220466" w:rsidRDefault="00625665" w:rsidP="00625665">
      <w:pPr>
        <w:jc w:val="both"/>
        <w:rPr>
          <w:rFonts w:ascii="Times New Roman" w:hAnsi="Times New Roman" w:cs="Times New Roman"/>
          <w:sz w:val="24"/>
          <w:szCs w:val="24"/>
          <w:lang w:val="en-US"/>
        </w:rPr>
      </w:pPr>
      <w:r w:rsidRPr="00E20AE6">
        <w:rPr>
          <w:rFonts w:ascii="Times New Roman" w:hAnsi="Times New Roman" w:cs="Times New Roman"/>
          <w:sz w:val="24"/>
          <w:szCs w:val="24"/>
          <w:lang w:val="en-US"/>
        </w:rPr>
        <w:t xml:space="preserve">Turning to portfolio management, we maintained a disciplined and strategic approach in September, leveraging market strength to realize gains from select holdings while reinvesting in high-conviction opportunities aligned with our long-term megatrend themes: Shifts in Economic Power and Smart Infrastructure/Smart Cities. Notably, we executed a partial divestment in </w:t>
      </w:r>
      <w:proofErr w:type="spellStart"/>
      <w:r w:rsidRPr="00E20AE6">
        <w:rPr>
          <w:rFonts w:ascii="Times New Roman" w:hAnsi="Times New Roman" w:cs="Times New Roman"/>
          <w:sz w:val="24"/>
          <w:szCs w:val="24"/>
          <w:lang w:val="en-US"/>
        </w:rPr>
        <w:t>Nebius</w:t>
      </w:r>
      <w:proofErr w:type="spellEnd"/>
      <w:r w:rsidRPr="00E20AE6">
        <w:rPr>
          <w:rFonts w:ascii="Times New Roman" w:hAnsi="Times New Roman" w:cs="Times New Roman"/>
          <w:sz w:val="24"/>
          <w:szCs w:val="24"/>
          <w:lang w:val="en-US"/>
        </w:rPr>
        <w:t xml:space="preserve"> Group NV following a sharp rally driven by the announcement of a transformational AI Cloud partnership with Microsoft, valued at up to $19.4 billion. The deal led to a 50</w:t>
      </w:r>
      <w:r w:rsidR="00220466" w:rsidRPr="00220466">
        <w:rPr>
          <w:rFonts w:ascii="Times New Roman" w:hAnsi="Times New Roman" w:cs="Times New Roman"/>
          <w:sz w:val="24"/>
          <w:szCs w:val="24"/>
          <w:lang w:val="en-US"/>
        </w:rPr>
        <w:t>%</w:t>
      </w:r>
      <w:r w:rsidRPr="00E20AE6">
        <w:rPr>
          <w:rFonts w:ascii="Times New Roman" w:hAnsi="Times New Roman" w:cs="Times New Roman"/>
          <w:sz w:val="24"/>
          <w:szCs w:val="24"/>
          <w:lang w:val="en-US"/>
        </w:rPr>
        <w:t xml:space="preserve"> surge in the company’s share price and a year-to-date gain exceeding 250</w:t>
      </w:r>
      <w:r w:rsidR="00220466" w:rsidRPr="00220466">
        <w:rPr>
          <w:rFonts w:ascii="Times New Roman" w:hAnsi="Times New Roman" w:cs="Times New Roman"/>
          <w:sz w:val="24"/>
          <w:szCs w:val="24"/>
          <w:lang w:val="en-US"/>
        </w:rPr>
        <w:t>%</w:t>
      </w:r>
      <w:r w:rsidRPr="00E20AE6">
        <w:rPr>
          <w:rFonts w:ascii="Times New Roman" w:hAnsi="Times New Roman" w:cs="Times New Roman"/>
          <w:sz w:val="24"/>
          <w:szCs w:val="24"/>
          <w:lang w:val="en-US"/>
        </w:rPr>
        <w:t xml:space="preserve">. We saw this as an ideal opportunity to lock in profits while maintaining our strategic allocation. In a similar vein, and in line with our risk management strategy, we partially sold Alphabet Inc. after the stock hit a 52-week high, securing recent gains while retaining our exposure. </w:t>
      </w:r>
      <w:r w:rsidR="00220466" w:rsidRPr="00220466">
        <w:rPr>
          <w:rFonts w:ascii="Times New Roman" w:hAnsi="Times New Roman" w:cs="Times New Roman"/>
          <w:sz w:val="24"/>
          <w:szCs w:val="24"/>
          <w:lang w:val="en-US"/>
        </w:rPr>
        <w:t>We also trimmed our positions in Tesla Inc. and Constellation Energy Corporation, realizing gains after strong rallies and redeploying the proceeds into new opportunities. In addition, we fully exited our position in Marvell Technology, Inc. following the announcement of a $5 billion accelerated share repurchase program, which propelled the stock to its highest close since July. This allowed us to reallocate capital toward higher-conviction investments.</w:t>
      </w:r>
    </w:p>
    <w:p w14:paraId="7ADB9A4B" w14:textId="1027586F" w:rsidR="00625665" w:rsidRPr="00F90728" w:rsidRDefault="00625665" w:rsidP="00625665">
      <w:pPr>
        <w:jc w:val="both"/>
        <w:rPr>
          <w:rFonts w:ascii="Times New Roman" w:hAnsi="Times New Roman" w:cs="Times New Roman"/>
          <w:sz w:val="24"/>
          <w:szCs w:val="24"/>
          <w:lang w:val="en-US"/>
        </w:rPr>
      </w:pPr>
      <w:r w:rsidRPr="00E20AE6">
        <w:rPr>
          <w:rFonts w:ascii="Times New Roman" w:hAnsi="Times New Roman" w:cs="Times New Roman"/>
          <w:sz w:val="24"/>
          <w:szCs w:val="24"/>
          <w:lang w:val="en-US"/>
        </w:rPr>
        <w:t xml:space="preserve">As part of our Shifts in Economic Power theme, we deployed proceeds from the </w:t>
      </w:r>
      <w:proofErr w:type="gramStart"/>
      <w:r w:rsidRPr="00E20AE6">
        <w:rPr>
          <w:rFonts w:ascii="Times New Roman" w:hAnsi="Times New Roman" w:cs="Times New Roman"/>
          <w:sz w:val="24"/>
          <w:szCs w:val="24"/>
          <w:lang w:val="en-US"/>
        </w:rPr>
        <w:t>aforementioned divestments</w:t>
      </w:r>
      <w:proofErr w:type="gramEnd"/>
      <w:r w:rsidRPr="00E20AE6">
        <w:rPr>
          <w:rFonts w:ascii="Times New Roman" w:hAnsi="Times New Roman" w:cs="Times New Roman"/>
          <w:sz w:val="24"/>
          <w:szCs w:val="24"/>
          <w:lang w:val="en-US"/>
        </w:rPr>
        <w:t xml:space="preserve"> into Klarna Group PLC, a leading fintech company at the forefront of AI-powered global payments </w:t>
      </w:r>
      <w:proofErr w:type="gramStart"/>
      <w:r w:rsidRPr="00E20AE6">
        <w:rPr>
          <w:rFonts w:ascii="Times New Roman" w:hAnsi="Times New Roman" w:cs="Times New Roman"/>
          <w:sz w:val="24"/>
          <w:szCs w:val="24"/>
          <w:lang w:val="en-US"/>
        </w:rPr>
        <w:t>and buy</w:t>
      </w:r>
      <w:proofErr w:type="gramEnd"/>
      <w:r w:rsidRPr="00E20AE6">
        <w:rPr>
          <w:rFonts w:ascii="Times New Roman" w:hAnsi="Times New Roman" w:cs="Times New Roman"/>
          <w:sz w:val="24"/>
          <w:szCs w:val="24"/>
          <w:lang w:val="en-US"/>
        </w:rPr>
        <w:t xml:space="preserve"> now, pay later (BNPL) solutions. The company’s trading debut presented a tactical entry point at an attractive valuation, with the IPO being more than 20 times oversubscribed. Klarna, with 111 million active users and annual gross merchandise volume of approximately $112 billion, operates at a revenue scale </w:t>
      </w:r>
      <w:proofErr w:type="gramStart"/>
      <w:r w:rsidRPr="00E20AE6">
        <w:rPr>
          <w:rFonts w:ascii="Times New Roman" w:hAnsi="Times New Roman" w:cs="Times New Roman"/>
          <w:sz w:val="24"/>
          <w:szCs w:val="24"/>
          <w:lang w:val="en-US"/>
        </w:rPr>
        <w:t>similar to</w:t>
      </w:r>
      <w:proofErr w:type="gramEnd"/>
      <w:r w:rsidRPr="00E20AE6">
        <w:rPr>
          <w:rFonts w:ascii="Times New Roman" w:hAnsi="Times New Roman" w:cs="Times New Roman"/>
          <w:sz w:val="24"/>
          <w:szCs w:val="24"/>
          <w:lang w:val="en-US"/>
        </w:rPr>
        <w:t xml:space="preserve"> its main competitor, Affirm, yet trades at roughly a 40% discount. Given the estimated $1 trillion total addressable market in BNPL and strong support from cornerstone investors, we see significant long-term potential. </w:t>
      </w:r>
      <w:r w:rsidR="00F90728" w:rsidRPr="00F90728">
        <w:rPr>
          <w:rFonts w:ascii="Times New Roman" w:hAnsi="Times New Roman" w:cs="Times New Roman"/>
          <w:sz w:val="24"/>
          <w:szCs w:val="24"/>
          <w:lang w:val="en-US"/>
        </w:rPr>
        <w:t>Following our initial investment, we added to our position later in the month, underscoring our continued conviction.</w:t>
      </w:r>
    </w:p>
    <w:p w14:paraId="55BB3092" w14:textId="2DC7B450" w:rsidR="00625665" w:rsidRPr="00E20AE6" w:rsidRDefault="00625665" w:rsidP="00625665">
      <w:pPr>
        <w:jc w:val="both"/>
        <w:rPr>
          <w:rFonts w:ascii="Times New Roman" w:hAnsi="Times New Roman" w:cs="Times New Roman"/>
          <w:sz w:val="24"/>
          <w:szCs w:val="24"/>
          <w:lang w:val="en-US"/>
        </w:rPr>
      </w:pPr>
      <w:r w:rsidRPr="00E20AE6">
        <w:rPr>
          <w:rFonts w:ascii="Times New Roman" w:hAnsi="Times New Roman" w:cs="Times New Roman"/>
          <w:sz w:val="24"/>
          <w:szCs w:val="24"/>
          <w:lang w:val="en-US"/>
        </w:rPr>
        <w:t xml:space="preserve">Within the Smart Infrastructure/Smart City </w:t>
      </w:r>
      <w:proofErr w:type="gramStart"/>
      <w:r w:rsidRPr="00E20AE6">
        <w:rPr>
          <w:rFonts w:ascii="Times New Roman" w:hAnsi="Times New Roman" w:cs="Times New Roman"/>
          <w:sz w:val="24"/>
          <w:szCs w:val="24"/>
          <w:lang w:val="en-US"/>
        </w:rPr>
        <w:t>megatrend</w:t>
      </w:r>
      <w:proofErr w:type="gramEnd"/>
      <w:r w:rsidRPr="00E20AE6">
        <w:rPr>
          <w:rFonts w:ascii="Times New Roman" w:hAnsi="Times New Roman" w:cs="Times New Roman"/>
          <w:sz w:val="24"/>
          <w:szCs w:val="24"/>
          <w:lang w:val="en-US"/>
        </w:rPr>
        <w:t xml:space="preserve">, we initiated a new position in </w:t>
      </w:r>
      <w:proofErr w:type="spellStart"/>
      <w:r w:rsidRPr="00E20AE6">
        <w:rPr>
          <w:rFonts w:ascii="Times New Roman" w:hAnsi="Times New Roman" w:cs="Times New Roman"/>
          <w:sz w:val="24"/>
          <w:szCs w:val="24"/>
          <w:lang w:val="en-US"/>
        </w:rPr>
        <w:t>NuScale</w:t>
      </w:r>
      <w:proofErr w:type="spellEnd"/>
      <w:r w:rsidRPr="00E20AE6">
        <w:rPr>
          <w:rFonts w:ascii="Times New Roman" w:hAnsi="Times New Roman" w:cs="Times New Roman"/>
          <w:sz w:val="24"/>
          <w:szCs w:val="24"/>
          <w:lang w:val="en-US"/>
        </w:rPr>
        <w:t xml:space="preserve"> Power Corporation, the first mover and technological leader in small modular reactor (SMR) technology. With electricity demand accelerating on the back of artificial intelligence infrastructure expansion, </w:t>
      </w:r>
      <w:proofErr w:type="spellStart"/>
      <w:r w:rsidRPr="00E20AE6">
        <w:rPr>
          <w:rFonts w:ascii="Times New Roman" w:hAnsi="Times New Roman" w:cs="Times New Roman"/>
          <w:sz w:val="24"/>
          <w:szCs w:val="24"/>
          <w:lang w:val="en-US"/>
        </w:rPr>
        <w:t>NuScale</w:t>
      </w:r>
      <w:proofErr w:type="spellEnd"/>
      <w:r w:rsidRPr="00E20AE6">
        <w:rPr>
          <w:rFonts w:ascii="Times New Roman" w:hAnsi="Times New Roman" w:cs="Times New Roman"/>
          <w:sz w:val="24"/>
          <w:szCs w:val="24"/>
          <w:lang w:val="en-US"/>
        </w:rPr>
        <w:t xml:space="preserve"> is well positioned to play a central role in next-generation power solutions. The company’s Nuclear Regulatory Commission approval and progress toward its first binding contract by year-end mark important milestones, with operations expected to commence by 2031. Growing government support, including recent executive </w:t>
      </w:r>
      <w:r w:rsidRPr="00E20AE6">
        <w:rPr>
          <w:rFonts w:ascii="Times New Roman" w:hAnsi="Times New Roman" w:cs="Times New Roman"/>
          <w:sz w:val="24"/>
          <w:szCs w:val="24"/>
          <w:lang w:val="en-US"/>
        </w:rPr>
        <w:lastRenderedPageBreak/>
        <w:t>orders from the Trump Administration mandating new reactor construction, further strengthens the long-term investment case. We subsequently increased our allocation following favorable price action.</w:t>
      </w:r>
    </w:p>
    <w:p w14:paraId="09433EAA" w14:textId="26A80547" w:rsidR="00625665" w:rsidRPr="00E20AE6" w:rsidRDefault="00625665" w:rsidP="00625665">
      <w:pPr>
        <w:jc w:val="both"/>
        <w:rPr>
          <w:rFonts w:ascii="Times New Roman" w:hAnsi="Times New Roman" w:cs="Times New Roman"/>
          <w:sz w:val="24"/>
          <w:szCs w:val="24"/>
          <w:lang w:val="en-US"/>
        </w:rPr>
      </w:pPr>
      <w:r w:rsidRPr="00E20AE6">
        <w:rPr>
          <w:rFonts w:ascii="Times New Roman" w:hAnsi="Times New Roman" w:cs="Times New Roman"/>
          <w:sz w:val="24"/>
          <w:szCs w:val="24"/>
          <w:lang w:val="en-US"/>
        </w:rPr>
        <w:t>From a broader perspective, the interplay between monetary easing, resilient corporate fundamentals, and improving market breadth suggests that risk assets are likely to remain supported into the final quarter of the year. While elevated valuations warrant continued vigilance, the normalization of monetary policy and renewed investment in productivity-enhancing technologies provide a constructive backdrop for equities. We expect this late-cycle environment to favor quality companies with strong balance sheets, pricing power, and exposure to long-term structural themes.</w:t>
      </w:r>
      <w:r w:rsidR="00D57271" w:rsidRPr="00E20AE6">
        <w:rPr>
          <w:rFonts w:ascii="Times New Roman" w:hAnsi="Times New Roman" w:cs="Times New Roman"/>
          <w:sz w:val="24"/>
          <w:szCs w:val="24"/>
          <w:lang w:val="en-US"/>
        </w:rPr>
        <w:t xml:space="preserve"> </w:t>
      </w:r>
      <w:r w:rsidRPr="00E20AE6">
        <w:rPr>
          <w:rFonts w:ascii="Times New Roman" w:hAnsi="Times New Roman" w:cs="Times New Roman"/>
          <w:sz w:val="24"/>
          <w:szCs w:val="24"/>
          <w:lang w:val="en-US"/>
        </w:rPr>
        <w:t>From a geopolitical standpoint, markets have remained notably composed despite renewed tensions in the Middle East and the ongoing conflict between Russia and Ukraine. Historically, such events have tended to generate only temporary volatility in financial markets. We continue to believe that the greatest risk to investors in these environments lies in overreacting to short-term developments rather than maintaining disciplined exposure to enduring structural trends. At the same time, we continue to monitor developments in global supply chains, market dislocations, and investments in resilience and critical infrastructure, which may present new opportunities within the fund’s broader thematic framework.</w:t>
      </w:r>
    </w:p>
    <w:p w14:paraId="62B44303" w14:textId="32CAA33C" w:rsidR="009935AD" w:rsidRPr="00AD0A3C" w:rsidRDefault="003B157E" w:rsidP="00FB348B">
      <w:pPr>
        <w:jc w:val="both"/>
        <w:rPr>
          <w:rFonts w:ascii="Times New Roman" w:hAnsi="Times New Roman" w:cs="Times New Roman"/>
          <w:sz w:val="24"/>
          <w:szCs w:val="24"/>
          <w:lang w:val="en-US"/>
        </w:rPr>
      </w:pPr>
      <w:r w:rsidRPr="00AD0A3C">
        <w:rPr>
          <w:rFonts w:ascii="Times New Roman" w:hAnsi="Times New Roman" w:cs="Times New Roman"/>
          <w:sz w:val="24"/>
          <w:szCs w:val="24"/>
          <w:lang w:val="en-US"/>
        </w:rPr>
        <w:t xml:space="preserve">Thank you for your continued trust and support. </w:t>
      </w:r>
    </w:p>
    <w:p w14:paraId="098320F4" w14:textId="60A1A067" w:rsidR="006F06BC" w:rsidRPr="00AD0A3C" w:rsidRDefault="00CC7490" w:rsidP="00FB348B">
      <w:pPr>
        <w:jc w:val="both"/>
        <w:rPr>
          <w:rFonts w:ascii="Times New Roman" w:hAnsi="Times New Roman" w:cs="Times New Roman"/>
          <w:sz w:val="24"/>
          <w:szCs w:val="24"/>
          <w:lang w:val="en-US"/>
        </w:rPr>
      </w:pPr>
      <w:r w:rsidRPr="00AD0A3C">
        <w:rPr>
          <w:rFonts w:ascii="Times New Roman" w:hAnsi="Times New Roman" w:cs="Times New Roman"/>
          <w:sz w:val="24"/>
          <w:szCs w:val="24"/>
          <w:lang w:val="en-US"/>
        </w:rPr>
        <w:t>Stefan Wiederkehr &amp; Karin Wiederkehr</w:t>
      </w:r>
      <w:r w:rsidR="00780F84" w:rsidRPr="00AD0A3C">
        <w:rPr>
          <w:rFonts w:ascii="Times New Roman" w:hAnsi="Times New Roman" w:cs="Times New Roman"/>
          <w:sz w:val="24"/>
          <w:szCs w:val="24"/>
          <w:lang w:val="en-US"/>
        </w:rPr>
        <w:t xml:space="preserve"> </w:t>
      </w:r>
    </w:p>
    <w:p w14:paraId="720F580F" w14:textId="77777777" w:rsidR="007E553F" w:rsidRDefault="007E553F" w:rsidP="00FB348B">
      <w:pPr>
        <w:jc w:val="both"/>
        <w:rPr>
          <w:rFonts w:ascii="Times New Roman" w:hAnsi="Times New Roman" w:cs="Times New Roman"/>
          <w:sz w:val="24"/>
          <w:szCs w:val="24"/>
          <w:lang w:val="en-US"/>
        </w:rPr>
      </w:pPr>
    </w:p>
    <w:p w14:paraId="39FD16CC" w14:textId="77777777" w:rsidR="007E553F" w:rsidRDefault="007E553F" w:rsidP="00FB348B">
      <w:pPr>
        <w:jc w:val="both"/>
        <w:rPr>
          <w:rFonts w:ascii="Times New Roman" w:hAnsi="Times New Roman" w:cs="Times New Roman"/>
          <w:sz w:val="24"/>
          <w:szCs w:val="24"/>
          <w:lang w:val="en-US"/>
        </w:rPr>
      </w:pPr>
    </w:p>
    <w:p w14:paraId="34F3164A" w14:textId="77777777" w:rsidR="007E553F" w:rsidRDefault="007E553F" w:rsidP="00FB348B">
      <w:pPr>
        <w:jc w:val="both"/>
        <w:rPr>
          <w:rFonts w:ascii="Times New Roman" w:hAnsi="Times New Roman" w:cs="Times New Roman"/>
          <w:sz w:val="24"/>
          <w:szCs w:val="24"/>
          <w:lang w:val="en-US"/>
        </w:rPr>
      </w:pPr>
    </w:p>
    <w:p w14:paraId="72EE73E3" w14:textId="77777777" w:rsidR="007E553F" w:rsidRDefault="007E553F" w:rsidP="00FB348B">
      <w:pPr>
        <w:jc w:val="both"/>
        <w:rPr>
          <w:rFonts w:ascii="Times New Roman" w:hAnsi="Times New Roman" w:cs="Times New Roman"/>
          <w:sz w:val="24"/>
          <w:szCs w:val="24"/>
          <w:lang w:val="en-US"/>
        </w:rPr>
      </w:pPr>
    </w:p>
    <w:p w14:paraId="09B03F5B" w14:textId="77777777" w:rsidR="007E553F" w:rsidRDefault="007E553F" w:rsidP="00FB348B">
      <w:pPr>
        <w:jc w:val="both"/>
        <w:rPr>
          <w:rFonts w:ascii="Times New Roman" w:hAnsi="Times New Roman" w:cs="Times New Roman"/>
          <w:sz w:val="24"/>
          <w:szCs w:val="24"/>
          <w:lang w:val="en-US"/>
        </w:rPr>
      </w:pPr>
    </w:p>
    <w:p w14:paraId="18832120" w14:textId="77777777" w:rsidR="007E553F" w:rsidRDefault="007E553F" w:rsidP="00FB348B">
      <w:pPr>
        <w:jc w:val="both"/>
        <w:rPr>
          <w:rFonts w:ascii="Times New Roman" w:hAnsi="Times New Roman" w:cs="Times New Roman"/>
          <w:sz w:val="24"/>
          <w:szCs w:val="24"/>
          <w:lang w:val="en-US"/>
        </w:rPr>
      </w:pPr>
    </w:p>
    <w:p w14:paraId="3627A829" w14:textId="77777777" w:rsidR="007E553F" w:rsidRDefault="007E553F" w:rsidP="00FB348B">
      <w:pPr>
        <w:jc w:val="both"/>
        <w:rPr>
          <w:rFonts w:ascii="Times New Roman" w:hAnsi="Times New Roman" w:cs="Times New Roman"/>
          <w:sz w:val="24"/>
          <w:szCs w:val="24"/>
          <w:lang w:val="en-US"/>
        </w:rPr>
      </w:pPr>
    </w:p>
    <w:p w14:paraId="67F6A012" w14:textId="77777777" w:rsidR="007E553F" w:rsidRDefault="007E553F" w:rsidP="00FB348B">
      <w:pPr>
        <w:jc w:val="both"/>
        <w:rPr>
          <w:rFonts w:ascii="Times New Roman" w:hAnsi="Times New Roman" w:cs="Times New Roman"/>
          <w:sz w:val="24"/>
          <w:szCs w:val="24"/>
          <w:lang w:val="en-US"/>
        </w:rPr>
      </w:pPr>
    </w:p>
    <w:p w14:paraId="53E80FED" w14:textId="77777777" w:rsidR="007E553F" w:rsidRDefault="007E553F" w:rsidP="00FB348B">
      <w:pPr>
        <w:jc w:val="both"/>
        <w:rPr>
          <w:rFonts w:ascii="Times New Roman" w:hAnsi="Times New Roman" w:cs="Times New Roman"/>
          <w:sz w:val="24"/>
          <w:szCs w:val="24"/>
          <w:lang w:val="en-US"/>
        </w:rPr>
      </w:pPr>
    </w:p>
    <w:p w14:paraId="0FEB4C73" w14:textId="77777777" w:rsidR="007E553F" w:rsidRDefault="007E553F" w:rsidP="00FB348B">
      <w:pPr>
        <w:jc w:val="both"/>
        <w:rPr>
          <w:rFonts w:ascii="Times New Roman" w:hAnsi="Times New Roman" w:cs="Times New Roman"/>
          <w:sz w:val="24"/>
          <w:szCs w:val="24"/>
          <w:lang w:val="en-US"/>
        </w:rPr>
      </w:pPr>
    </w:p>
    <w:p w14:paraId="420C49CC" w14:textId="77777777" w:rsidR="002E1840" w:rsidRDefault="002E1840" w:rsidP="00FB348B">
      <w:pPr>
        <w:jc w:val="both"/>
        <w:rPr>
          <w:rFonts w:ascii="Times New Roman" w:hAnsi="Times New Roman" w:cs="Times New Roman"/>
          <w:sz w:val="24"/>
          <w:szCs w:val="24"/>
          <w:lang w:val="en-US"/>
        </w:rPr>
      </w:pPr>
    </w:p>
    <w:p w14:paraId="4F6DE3C1" w14:textId="77777777" w:rsidR="007E553F" w:rsidRDefault="007E553F" w:rsidP="00FB348B">
      <w:pPr>
        <w:jc w:val="both"/>
        <w:rPr>
          <w:rFonts w:ascii="Times New Roman" w:hAnsi="Times New Roman" w:cs="Times New Roman"/>
          <w:sz w:val="24"/>
          <w:szCs w:val="24"/>
          <w:lang w:val="en-US"/>
        </w:rPr>
      </w:pPr>
    </w:p>
    <w:p w14:paraId="0671BA37" w14:textId="77777777" w:rsidR="007E553F" w:rsidRDefault="007E553F" w:rsidP="00FB348B">
      <w:pPr>
        <w:jc w:val="both"/>
        <w:rPr>
          <w:rFonts w:ascii="Times New Roman" w:hAnsi="Times New Roman" w:cs="Times New Roman"/>
          <w:sz w:val="24"/>
          <w:szCs w:val="24"/>
          <w:lang w:val="en-US"/>
        </w:rPr>
      </w:pPr>
    </w:p>
    <w:p w14:paraId="585F39B6" w14:textId="77777777" w:rsidR="007E553F" w:rsidRDefault="007E553F" w:rsidP="00FB348B">
      <w:pPr>
        <w:jc w:val="both"/>
        <w:rPr>
          <w:rFonts w:ascii="Times New Roman" w:hAnsi="Times New Roman" w:cs="Times New Roman"/>
          <w:sz w:val="24"/>
          <w:szCs w:val="24"/>
          <w:lang w:val="en-US"/>
        </w:rPr>
      </w:pPr>
    </w:p>
    <w:p w14:paraId="6ADA7694" w14:textId="5835D7F4" w:rsidR="00CA5B9D" w:rsidRPr="00793B66" w:rsidRDefault="00CA5B9D" w:rsidP="00FB348B">
      <w:pPr>
        <w:jc w:val="both"/>
        <w:rPr>
          <w:rFonts w:ascii="Times New Roman" w:hAnsi="Times New Roman" w:cs="Times New Roman"/>
          <w:sz w:val="24"/>
          <w:szCs w:val="24"/>
          <w:lang w:val="en-US"/>
        </w:rPr>
      </w:pPr>
      <w:r w:rsidRPr="00793B66">
        <w:rPr>
          <w:rFonts w:ascii="Times New Roman" w:hAnsi="Times New Roman" w:cs="Times New Roman"/>
          <w:sz w:val="24"/>
          <w:szCs w:val="24"/>
          <w:lang w:val="en-US"/>
        </w:rPr>
        <w:lastRenderedPageBreak/>
        <w:t xml:space="preserve">This document is a marketing advertisement and has been prepared by MRB Fund Partners AG for information and marketing purposes only. All information and contents of this fund commentary are based on carefully selected sources that have been deemed reliable. Nevertheless, despite careful compilation of the information and content, MRB Fund Partners AG cannot assume any liability or guarantee for its correctness, completeness, accuracy, timeliness or availability. Furthermore, this fund commentary has neither been reviewed nor approved by a supervisory authority. The information and content legally constitute advertising messages that do not fulfil all legal requirements. This fund commentary is aimed at retail clients within the meaning of the European Financial Markets Directive and presents this investment opportunity as an entrepreneurial investment which, in addition to opportunities for returns, also involves risks up to and including the total loss of the invested capital. An investment decision may only be made </w:t>
      </w:r>
      <w:proofErr w:type="gramStart"/>
      <w:r w:rsidRPr="00793B66">
        <w:rPr>
          <w:rFonts w:ascii="Times New Roman" w:hAnsi="Times New Roman" w:cs="Times New Roman"/>
          <w:sz w:val="24"/>
          <w:szCs w:val="24"/>
          <w:lang w:val="en-US"/>
        </w:rPr>
        <w:t>on the basis of</w:t>
      </w:r>
      <w:proofErr w:type="gramEnd"/>
      <w:r w:rsidRPr="00793B66">
        <w:rPr>
          <w:rFonts w:ascii="Times New Roman" w:hAnsi="Times New Roman" w:cs="Times New Roman"/>
          <w:sz w:val="24"/>
          <w:szCs w:val="24"/>
          <w:lang w:val="en-US"/>
        </w:rPr>
        <w:t xml:space="preserve"> the information provided to investors as required by law. Please read the constituent documents, the prospectus and the key information documents before making a final investment decision. This fund commentary must be read in conjunction with the constituent documents or the prospectus and the key information documents for packaged investment products and insurance-based investment products (PRIIPs), if available under the relevant fund law, as these documents alone are authoritative. It is therefore necessary to read these documents carefully and in full before purchasing units </w:t>
      </w:r>
      <w:proofErr w:type="gramStart"/>
      <w:r w:rsidRPr="00793B66">
        <w:rPr>
          <w:rFonts w:ascii="Times New Roman" w:hAnsi="Times New Roman" w:cs="Times New Roman"/>
          <w:sz w:val="24"/>
          <w:szCs w:val="24"/>
          <w:lang w:val="en-US"/>
        </w:rPr>
        <w:t>in</w:t>
      </w:r>
      <w:proofErr w:type="gramEnd"/>
      <w:r w:rsidRPr="00793B66">
        <w:rPr>
          <w:rFonts w:ascii="Times New Roman" w:hAnsi="Times New Roman" w:cs="Times New Roman"/>
          <w:sz w:val="24"/>
          <w:szCs w:val="24"/>
          <w:lang w:val="en-US"/>
        </w:rPr>
        <w:t xml:space="preserve"> this fund. A subscription for units will only be accepted </w:t>
      </w:r>
      <w:proofErr w:type="gramStart"/>
      <w:r w:rsidRPr="00793B66">
        <w:rPr>
          <w:rFonts w:ascii="Times New Roman" w:hAnsi="Times New Roman" w:cs="Times New Roman"/>
          <w:sz w:val="24"/>
          <w:szCs w:val="24"/>
          <w:lang w:val="en-US"/>
        </w:rPr>
        <w:t>on the basis of</w:t>
      </w:r>
      <w:proofErr w:type="gramEnd"/>
      <w:r w:rsidRPr="00793B66">
        <w:rPr>
          <w:rFonts w:ascii="Times New Roman" w:hAnsi="Times New Roman" w:cs="Times New Roman"/>
          <w:sz w:val="24"/>
          <w:szCs w:val="24"/>
          <w:lang w:val="en-US"/>
        </w:rPr>
        <w:t xml:space="preserve"> the constituent documents, the prospectus and the key information documents for packaged investment products and insurance-based investment products (PRIIPs). No one should act </w:t>
      </w:r>
      <w:proofErr w:type="gramStart"/>
      <w:r w:rsidRPr="00793B66">
        <w:rPr>
          <w:rFonts w:ascii="Times New Roman" w:hAnsi="Times New Roman" w:cs="Times New Roman"/>
          <w:sz w:val="24"/>
          <w:szCs w:val="24"/>
          <w:lang w:val="en-US"/>
        </w:rPr>
        <w:t>on the basis of</w:t>
      </w:r>
      <w:proofErr w:type="gramEnd"/>
      <w:r w:rsidRPr="00793B66">
        <w:rPr>
          <w:rFonts w:ascii="Times New Roman" w:hAnsi="Times New Roman" w:cs="Times New Roman"/>
          <w:sz w:val="24"/>
          <w:szCs w:val="24"/>
          <w:lang w:val="en-US"/>
        </w:rPr>
        <w:t xml:space="preserve"> the information contained in this fund commentary without thoroughly analyzing the situation in question and obtaining appropriate professional advice from competent third parties. If available under the relevant fund law, the constitutive documents, the prospectus and the key information documents for packaged investment products and insurance-based investment products (PRIIPs) as well as the current annual and semi-annual reports can be obtained free of charge from the management company, the depositary and all authorized distributors in Switzerland and abroad. The information in this fund commentary is for information purposes only and does not contain any contractual or other obligations. It should not be construed as an offer or an advertisement soliciting the purchase of shares in this fund. Furthermore, this fund commentary does not constitute investment advice. The information and contents of this fund commentary may also be unsuitable or inapplicable for certain investors. It is intended solely for the purpose of providing information on your own responsibility and cannot replace individual advice. This fund commentary does not </w:t>
      </w:r>
      <w:proofErr w:type="gramStart"/>
      <w:r w:rsidRPr="00793B66">
        <w:rPr>
          <w:rFonts w:ascii="Times New Roman" w:hAnsi="Times New Roman" w:cs="Times New Roman"/>
          <w:sz w:val="24"/>
          <w:szCs w:val="24"/>
          <w:lang w:val="en-US"/>
        </w:rPr>
        <w:t>take into account</w:t>
      </w:r>
      <w:proofErr w:type="gramEnd"/>
      <w:r w:rsidRPr="00793B66">
        <w:rPr>
          <w:rFonts w:ascii="Times New Roman" w:hAnsi="Times New Roman" w:cs="Times New Roman"/>
          <w:sz w:val="24"/>
          <w:szCs w:val="24"/>
          <w:lang w:val="en-US"/>
        </w:rPr>
        <w:t xml:space="preserve"> specific or future investment objectives, financial or tax circumstances or other special needs of an investor. The value and income of the fund described in this fund commentary may go down as well as up. It is possible that an investor may not get back the amount originally invested or may not get it back in full. Past performance is not a reliable indicator of future results and the performance shown does not </w:t>
      </w:r>
      <w:proofErr w:type="gramStart"/>
      <w:r w:rsidRPr="00793B66">
        <w:rPr>
          <w:rFonts w:ascii="Times New Roman" w:hAnsi="Times New Roman" w:cs="Times New Roman"/>
          <w:sz w:val="24"/>
          <w:szCs w:val="24"/>
          <w:lang w:val="en-US"/>
        </w:rPr>
        <w:t>take into account</w:t>
      </w:r>
      <w:proofErr w:type="gramEnd"/>
      <w:r w:rsidRPr="00793B66">
        <w:rPr>
          <w:rFonts w:ascii="Times New Roman" w:hAnsi="Times New Roman" w:cs="Times New Roman"/>
          <w:sz w:val="24"/>
          <w:szCs w:val="24"/>
          <w:lang w:val="en-US"/>
        </w:rPr>
        <w:t xml:space="preserve"> the commissions and costs incurred on the subscription and redemption of fund units. Furthermore, the fund currency is subject to exchange rate fluctuations if the reference currency of a unit class is not the same as the fund currency. This fund commentary may contain forward-looking statements, in particular statements about future market developments. Future performance is neither expressly nor implicitly guaranteed or promised. Although all forward-looking statements contained in this fund commentary are </w:t>
      </w:r>
      <w:r w:rsidRPr="00793B66">
        <w:rPr>
          <w:rFonts w:ascii="Times New Roman" w:hAnsi="Times New Roman" w:cs="Times New Roman"/>
          <w:sz w:val="24"/>
          <w:szCs w:val="24"/>
          <w:lang w:val="en-US"/>
        </w:rPr>
        <w:lastRenderedPageBreak/>
        <w:t>based on our carefully reasoned judgements and expectations, uncertainties and various risk factors could cause actual developments and results to differ materially from our statements. Further information on public distribution in the individual countries can be found in the constituent documents, the prospectus and the key information documents for packaged investment products and insurance-based investment products (PRIIPs), if available under the respective fund law. Due to different authorization procedures, no guarantee can be given that the fund or any of its sub-funds are or will be authorized for distribution in every country at the same time. In countries in which the fund is not authorized for public distribution, it can only be distributed - in accordance with local regulations - as a "private placement" or to institutional investors. Fund units are not offered for sale in countries in which such a sale is not permitted by law. This fund is not registered under the United States Securities Act of 1933. Fund units may therefore not be offered or distributed in the USA for or on behalf of a US person (in accordance with the definitions in US federal laws relating to securities, commodities and taxes, including "Regulation S" under the United States Securities Act of 1993). Subsequent transfers of fund units to the United States and/or to US persons are not permitted. Any documents relating to this fund may not be circulated in the United States.</w:t>
      </w:r>
    </w:p>
    <w:p w14:paraId="4436EFB9" w14:textId="0F5AF4B8" w:rsidR="001A4FF7" w:rsidRPr="00793B66" w:rsidRDefault="00CA5B9D" w:rsidP="00FB348B">
      <w:pPr>
        <w:jc w:val="both"/>
        <w:rPr>
          <w:rFonts w:ascii="Times New Roman" w:hAnsi="Times New Roman" w:cs="Times New Roman"/>
          <w:sz w:val="24"/>
          <w:szCs w:val="24"/>
          <w:lang w:val="en-US"/>
        </w:rPr>
      </w:pPr>
      <w:proofErr w:type="gramStart"/>
      <w:r w:rsidRPr="00793B66">
        <w:rPr>
          <w:rFonts w:ascii="Times New Roman" w:hAnsi="Times New Roman" w:cs="Times New Roman"/>
          <w:sz w:val="24"/>
          <w:szCs w:val="24"/>
          <w:lang w:val="en-US"/>
        </w:rPr>
        <w:t>@MRB</w:t>
      </w:r>
      <w:proofErr w:type="gramEnd"/>
      <w:r w:rsidRPr="00793B66">
        <w:rPr>
          <w:rFonts w:ascii="Times New Roman" w:hAnsi="Times New Roman" w:cs="Times New Roman"/>
          <w:sz w:val="24"/>
          <w:szCs w:val="24"/>
          <w:lang w:val="en-US"/>
        </w:rPr>
        <w:t xml:space="preserve"> FUND PARTNERS AG. All rights reserved.</w:t>
      </w:r>
    </w:p>
    <w:sectPr w:rsidR="001A4FF7" w:rsidRPr="00793B66" w:rsidSect="00085731">
      <w:headerReference w:type="default" r:id="rId8"/>
      <w:footerReference w:type="default" r:id="rId9"/>
      <w:pgSz w:w="11906" w:h="16838"/>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87ADFA" w14:textId="77777777" w:rsidR="00514329" w:rsidRDefault="00514329" w:rsidP="00EE0533">
      <w:pPr>
        <w:spacing w:after="0" w:line="240" w:lineRule="auto"/>
      </w:pPr>
      <w:r>
        <w:separator/>
      </w:r>
    </w:p>
  </w:endnote>
  <w:endnote w:type="continuationSeparator" w:id="0">
    <w:p w14:paraId="58286E97" w14:textId="77777777" w:rsidR="00514329" w:rsidRDefault="00514329" w:rsidP="00EE05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Aptos Display">
    <w:altName w:val="Calibri"/>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64080747"/>
      <w:docPartObj>
        <w:docPartGallery w:val="Page Numbers (Bottom of Page)"/>
        <w:docPartUnique/>
      </w:docPartObj>
    </w:sdtPr>
    <w:sdtEndPr>
      <w:rPr>
        <w:rFonts w:ascii="Times New Roman" w:hAnsi="Times New Roman" w:cs="Times New Roman"/>
      </w:rPr>
    </w:sdtEndPr>
    <w:sdtContent>
      <w:p w14:paraId="50E7A5C0" w14:textId="4FD23CE5" w:rsidR="00085731" w:rsidRPr="00085731" w:rsidRDefault="00085731">
        <w:pPr>
          <w:pStyle w:val="Footer"/>
          <w:jc w:val="right"/>
          <w:rPr>
            <w:rFonts w:ascii="Times New Roman" w:hAnsi="Times New Roman" w:cs="Times New Roman"/>
          </w:rPr>
        </w:pPr>
        <w:r w:rsidRPr="00085731">
          <w:rPr>
            <w:rFonts w:ascii="Times New Roman" w:hAnsi="Times New Roman" w:cs="Times New Roman"/>
          </w:rPr>
          <w:fldChar w:fldCharType="begin"/>
        </w:r>
        <w:r w:rsidRPr="00085731">
          <w:rPr>
            <w:rFonts w:ascii="Times New Roman" w:hAnsi="Times New Roman" w:cs="Times New Roman"/>
          </w:rPr>
          <w:instrText>PAGE   \* MERGEFORMAT</w:instrText>
        </w:r>
        <w:r w:rsidRPr="00085731">
          <w:rPr>
            <w:rFonts w:ascii="Times New Roman" w:hAnsi="Times New Roman" w:cs="Times New Roman"/>
          </w:rPr>
          <w:fldChar w:fldCharType="separate"/>
        </w:r>
        <w:r w:rsidRPr="00085731">
          <w:rPr>
            <w:rFonts w:ascii="Times New Roman" w:hAnsi="Times New Roman" w:cs="Times New Roman"/>
            <w:lang w:val="de-DE"/>
          </w:rPr>
          <w:t>2</w:t>
        </w:r>
        <w:r w:rsidRPr="00085731">
          <w:rPr>
            <w:rFonts w:ascii="Times New Roman" w:hAnsi="Times New Roman" w:cs="Times New Roman"/>
          </w:rPr>
          <w:fldChar w:fldCharType="end"/>
        </w:r>
      </w:p>
    </w:sdtContent>
  </w:sdt>
  <w:p w14:paraId="0C75DA16" w14:textId="77777777" w:rsidR="00EE0533" w:rsidRDefault="00EE053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1BAC60" w14:textId="77777777" w:rsidR="00514329" w:rsidRDefault="00514329" w:rsidP="00EE0533">
      <w:pPr>
        <w:spacing w:after="0" w:line="240" w:lineRule="auto"/>
      </w:pPr>
      <w:r>
        <w:separator/>
      </w:r>
    </w:p>
  </w:footnote>
  <w:footnote w:type="continuationSeparator" w:id="0">
    <w:p w14:paraId="4E7CECB6" w14:textId="77777777" w:rsidR="00514329" w:rsidRDefault="00514329" w:rsidP="00EE053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6A4317" w14:textId="168BFDB0" w:rsidR="00EE0533" w:rsidRPr="00B5274F" w:rsidRDefault="00EE0533" w:rsidP="000706BE">
    <w:pPr>
      <w:spacing w:after="0"/>
      <w:jc w:val="center"/>
      <w:rPr>
        <w:rFonts w:ascii="Times New Roman" w:hAnsi="Times New Roman" w:cs="Times New Roman"/>
        <w:sz w:val="20"/>
        <w:szCs w:val="20"/>
        <w:lang w:val="en-US"/>
      </w:rPr>
    </w:pPr>
    <w:r w:rsidRPr="00B5274F">
      <w:rPr>
        <w:rFonts w:ascii="Times New Roman" w:hAnsi="Times New Roman" w:cs="Times New Roman"/>
        <w:sz w:val="20"/>
        <w:szCs w:val="20"/>
        <w:lang w:val="en-US"/>
      </w:rPr>
      <w:t xml:space="preserve">Data as of </w:t>
    </w:r>
    <w:r w:rsidR="00927094">
      <w:rPr>
        <w:rFonts w:ascii="Times New Roman" w:hAnsi="Times New Roman" w:cs="Times New Roman"/>
        <w:sz w:val="20"/>
        <w:szCs w:val="20"/>
        <w:lang w:val="en-US"/>
      </w:rPr>
      <w:t>3</w:t>
    </w:r>
    <w:r w:rsidR="00EE72CA">
      <w:rPr>
        <w:rFonts w:ascii="Times New Roman" w:hAnsi="Times New Roman" w:cs="Times New Roman"/>
        <w:sz w:val="20"/>
        <w:szCs w:val="20"/>
        <w:lang w:val="en-US"/>
      </w:rPr>
      <w:t>0</w:t>
    </w:r>
    <w:r w:rsidR="00927094">
      <w:rPr>
        <w:rFonts w:ascii="Times New Roman" w:hAnsi="Times New Roman" w:cs="Times New Roman"/>
        <w:sz w:val="20"/>
        <w:szCs w:val="20"/>
        <w:lang w:val="en-US"/>
      </w:rPr>
      <w:t>.0</w:t>
    </w:r>
    <w:r w:rsidR="00EE72CA">
      <w:rPr>
        <w:rFonts w:ascii="Times New Roman" w:hAnsi="Times New Roman" w:cs="Times New Roman"/>
        <w:sz w:val="20"/>
        <w:szCs w:val="20"/>
        <w:lang w:val="en-US"/>
      </w:rPr>
      <w:t>9</w:t>
    </w:r>
    <w:r w:rsidRPr="00B5274F">
      <w:rPr>
        <w:rFonts w:ascii="Times New Roman" w:hAnsi="Times New Roman" w:cs="Times New Roman"/>
        <w:sz w:val="20"/>
        <w:szCs w:val="20"/>
        <w:lang w:val="en-US"/>
      </w:rPr>
      <w:t>.2025 - Marketing Communication</w:t>
    </w:r>
  </w:p>
  <w:p w14:paraId="189CB0FC" w14:textId="77777777" w:rsidR="00EE0533" w:rsidRPr="00B5274F" w:rsidRDefault="00EE0533" w:rsidP="00EE0533">
    <w:pPr>
      <w:spacing w:after="0"/>
      <w:jc w:val="center"/>
      <w:rPr>
        <w:rFonts w:ascii="Times New Roman" w:hAnsi="Times New Roman" w:cs="Times New Roman"/>
        <w:sz w:val="20"/>
        <w:szCs w:val="20"/>
        <w:lang w:val="en-US"/>
      </w:rPr>
    </w:pPr>
  </w:p>
  <w:p w14:paraId="4E3E6F0A" w14:textId="77777777" w:rsidR="00EE0533" w:rsidRPr="00B5274F" w:rsidRDefault="00EE0533" w:rsidP="00EE0533">
    <w:pPr>
      <w:tabs>
        <w:tab w:val="center" w:pos="4513"/>
        <w:tab w:val="right" w:pos="9026"/>
      </w:tabs>
      <w:spacing w:after="0" w:line="240" w:lineRule="auto"/>
      <w:jc w:val="center"/>
    </w:pPr>
    <w:r>
      <w:rPr>
        <w:noProof/>
      </w:rPr>
      <w:drawing>
        <wp:inline distT="0" distB="0" distL="0" distR="0" wp14:anchorId="4C36B503" wp14:editId="69CB20E2">
          <wp:extent cx="1609725" cy="349885"/>
          <wp:effectExtent l="0" t="0" r="9525" b="0"/>
          <wp:docPr id="4"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rafik 4"/>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09725" cy="349885"/>
                  </a:xfrm>
                  <a:prstGeom prst="rect">
                    <a:avLst/>
                  </a:prstGeom>
                  <a:noFill/>
                  <a:ln>
                    <a:noFill/>
                  </a:ln>
                </pic:spPr>
              </pic:pic>
            </a:graphicData>
          </a:graphic>
        </wp:inline>
      </w:drawing>
    </w:r>
  </w:p>
  <w:p w14:paraId="648ED7D3" w14:textId="77777777" w:rsidR="00EE0533" w:rsidRDefault="00EE053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A76E8"/>
    <w:multiLevelType w:val="hybridMultilevel"/>
    <w:tmpl w:val="DA9663B2"/>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 w15:restartNumberingAfterBreak="0">
    <w:nsid w:val="2858623B"/>
    <w:multiLevelType w:val="hybridMultilevel"/>
    <w:tmpl w:val="34A61518"/>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5357036B"/>
    <w:multiLevelType w:val="hybridMultilevel"/>
    <w:tmpl w:val="0D70DF56"/>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num w:numId="1" w16cid:durableId="1673803075">
    <w:abstractNumId w:val="1"/>
  </w:num>
  <w:num w:numId="2" w16cid:durableId="683284642">
    <w:abstractNumId w:val="2"/>
  </w:num>
  <w:num w:numId="3" w16cid:durableId="5771343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0533"/>
    <w:rsid w:val="00001C33"/>
    <w:rsid w:val="00005D66"/>
    <w:rsid w:val="00011147"/>
    <w:rsid w:val="00020887"/>
    <w:rsid w:val="00023516"/>
    <w:rsid w:val="00034935"/>
    <w:rsid w:val="0004341E"/>
    <w:rsid w:val="00044BF8"/>
    <w:rsid w:val="00053C47"/>
    <w:rsid w:val="00055976"/>
    <w:rsid w:val="000566DC"/>
    <w:rsid w:val="00057C05"/>
    <w:rsid w:val="00060D24"/>
    <w:rsid w:val="00062B4A"/>
    <w:rsid w:val="000706BE"/>
    <w:rsid w:val="00077309"/>
    <w:rsid w:val="00077770"/>
    <w:rsid w:val="00082294"/>
    <w:rsid w:val="00084460"/>
    <w:rsid w:val="0008448B"/>
    <w:rsid w:val="00085217"/>
    <w:rsid w:val="00085731"/>
    <w:rsid w:val="0009336E"/>
    <w:rsid w:val="0009487F"/>
    <w:rsid w:val="00095815"/>
    <w:rsid w:val="000A17CD"/>
    <w:rsid w:val="000B06C4"/>
    <w:rsid w:val="000B6957"/>
    <w:rsid w:val="000C010B"/>
    <w:rsid w:val="000C3221"/>
    <w:rsid w:val="000C645B"/>
    <w:rsid w:val="000E7E4E"/>
    <w:rsid w:val="000F05C9"/>
    <w:rsid w:val="000F1A4D"/>
    <w:rsid w:val="000F1EA9"/>
    <w:rsid w:val="000F7499"/>
    <w:rsid w:val="001015C4"/>
    <w:rsid w:val="00104788"/>
    <w:rsid w:val="0010592E"/>
    <w:rsid w:val="0011367C"/>
    <w:rsid w:val="0011636F"/>
    <w:rsid w:val="0012135A"/>
    <w:rsid w:val="001237DF"/>
    <w:rsid w:val="00126F3F"/>
    <w:rsid w:val="001335DB"/>
    <w:rsid w:val="00136853"/>
    <w:rsid w:val="00136976"/>
    <w:rsid w:val="0015036A"/>
    <w:rsid w:val="0015050E"/>
    <w:rsid w:val="001523BB"/>
    <w:rsid w:val="00153FBB"/>
    <w:rsid w:val="00155B4A"/>
    <w:rsid w:val="00156A41"/>
    <w:rsid w:val="0015756C"/>
    <w:rsid w:val="001738DD"/>
    <w:rsid w:val="00175086"/>
    <w:rsid w:val="00194016"/>
    <w:rsid w:val="00195FF2"/>
    <w:rsid w:val="001A4FF7"/>
    <w:rsid w:val="001A728E"/>
    <w:rsid w:val="001B4867"/>
    <w:rsid w:val="001B57AC"/>
    <w:rsid w:val="001B5895"/>
    <w:rsid w:val="001C2894"/>
    <w:rsid w:val="001C4F7B"/>
    <w:rsid w:val="001C6E11"/>
    <w:rsid w:val="001D0922"/>
    <w:rsid w:val="001D0AA1"/>
    <w:rsid w:val="001D13DB"/>
    <w:rsid w:val="001D233A"/>
    <w:rsid w:val="001D26FE"/>
    <w:rsid w:val="001D4679"/>
    <w:rsid w:val="001E2A0F"/>
    <w:rsid w:val="001E4B17"/>
    <w:rsid w:val="001F4C58"/>
    <w:rsid w:val="001F7CDA"/>
    <w:rsid w:val="00204DFD"/>
    <w:rsid w:val="002061BB"/>
    <w:rsid w:val="002068F9"/>
    <w:rsid w:val="00206EA2"/>
    <w:rsid w:val="002070C7"/>
    <w:rsid w:val="002100C4"/>
    <w:rsid w:val="00214D76"/>
    <w:rsid w:val="00220466"/>
    <w:rsid w:val="00222F6F"/>
    <w:rsid w:val="00227326"/>
    <w:rsid w:val="00230085"/>
    <w:rsid w:val="00241FF9"/>
    <w:rsid w:val="002464B3"/>
    <w:rsid w:val="00246F89"/>
    <w:rsid w:val="00251BB8"/>
    <w:rsid w:val="00253EC8"/>
    <w:rsid w:val="00264449"/>
    <w:rsid w:val="00271BED"/>
    <w:rsid w:val="002763B6"/>
    <w:rsid w:val="00277FAC"/>
    <w:rsid w:val="00282430"/>
    <w:rsid w:val="002843BE"/>
    <w:rsid w:val="002862B0"/>
    <w:rsid w:val="00286A92"/>
    <w:rsid w:val="002938D5"/>
    <w:rsid w:val="002A3597"/>
    <w:rsid w:val="002A72A2"/>
    <w:rsid w:val="002A7D61"/>
    <w:rsid w:val="002B1120"/>
    <w:rsid w:val="002B647D"/>
    <w:rsid w:val="002B6B73"/>
    <w:rsid w:val="002B6FA2"/>
    <w:rsid w:val="002B746A"/>
    <w:rsid w:val="002B7BB5"/>
    <w:rsid w:val="002C50E2"/>
    <w:rsid w:val="002E0E38"/>
    <w:rsid w:val="002E1840"/>
    <w:rsid w:val="002E1B0D"/>
    <w:rsid w:val="002E1D42"/>
    <w:rsid w:val="002E6063"/>
    <w:rsid w:val="002F2E30"/>
    <w:rsid w:val="002F74A7"/>
    <w:rsid w:val="00306631"/>
    <w:rsid w:val="00320E1B"/>
    <w:rsid w:val="00321AAB"/>
    <w:rsid w:val="003461C3"/>
    <w:rsid w:val="003515CC"/>
    <w:rsid w:val="00351D7E"/>
    <w:rsid w:val="0035226E"/>
    <w:rsid w:val="003528D1"/>
    <w:rsid w:val="00352C1C"/>
    <w:rsid w:val="00353981"/>
    <w:rsid w:val="003560BD"/>
    <w:rsid w:val="003566C4"/>
    <w:rsid w:val="00357418"/>
    <w:rsid w:val="003606C0"/>
    <w:rsid w:val="0036287B"/>
    <w:rsid w:val="00365CE3"/>
    <w:rsid w:val="0036604D"/>
    <w:rsid w:val="00366315"/>
    <w:rsid w:val="00366774"/>
    <w:rsid w:val="00366A51"/>
    <w:rsid w:val="003670AB"/>
    <w:rsid w:val="0037552E"/>
    <w:rsid w:val="003824DF"/>
    <w:rsid w:val="0039359A"/>
    <w:rsid w:val="00395931"/>
    <w:rsid w:val="003A0F12"/>
    <w:rsid w:val="003A2D88"/>
    <w:rsid w:val="003A64F7"/>
    <w:rsid w:val="003B157E"/>
    <w:rsid w:val="003B2A78"/>
    <w:rsid w:val="003E26F7"/>
    <w:rsid w:val="003E352B"/>
    <w:rsid w:val="003E40B5"/>
    <w:rsid w:val="003E51F5"/>
    <w:rsid w:val="003E74F5"/>
    <w:rsid w:val="003F147E"/>
    <w:rsid w:val="003F473C"/>
    <w:rsid w:val="00410420"/>
    <w:rsid w:val="00417224"/>
    <w:rsid w:val="004240A7"/>
    <w:rsid w:val="00425B9B"/>
    <w:rsid w:val="00427DCF"/>
    <w:rsid w:val="00431E0C"/>
    <w:rsid w:val="00434386"/>
    <w:rsid w:val="00435F66"/>
    <w:rsid w:val="004378A6"/>
    <w:rsid w:val="00440591"/>
    <w:rsid w:val="00445112"/>
    <w:rsid w:val="00446DB4"/>
    <w:rsid w:val="00447B7C"/>
    <w:rsid w:val="00456B80"/>
    <w:rsid w:val="00461D22"/>
    <w:rsid w:val="004629E8"/>
    <w:rsid w:val="004635BC"/>
    <w:rsid w:val="004666DA"/>
    <w:rsid w:val="00467665"/>
    <w:rsid w:val="00474DBB"/>
    <w:rsid w:val="00480836"/>
    <w:rsid w:val="00494C7A"/>
    <w:rsid w:val="004959CB"/>
    <w:rsid w:val="004964B7"/>
    <w:rsid w:val="004A6821"/>
    <w:rsid w:val="004B6815"/>
    <w:rsid w:val="004C619E"/>
    <w:rsid w:val="004C663F"/>
    <w:rsid w:val="004D00B6"/>
    <w:rsid w:val="004D6C18"/>
    <w:rsid w:val="004E3230"/>
    <w:rsid w:val="004E5E46"/>
    <w:rsid w:val="00500899"/>
    <w:rsid w:val="00506A65"/>
    <w:rsid w:val="00514329"/>
    <w:rsid w:val="00516413"/>
    <w:rsid w:val="005170BE"/>
    <w:rsid w:val="00521DB3"/>
    <w:rsid w:val="005227FD"/>
    <w:rsid w:val="00524D27"/>
    <w:rsid w:val="00530A36"/>
    <w:rsid w:val="00530D7B"/>
    <w:rsid w:val="00531756"/>
    <w:rsid w:val="00536145"/>
    <w:rsid w:val="00540D91"/>
    <w:rsid w:val="005418FA"/>
    <w:rsid w:val="00542654"/>
    <w:rsid w:val="005547FF"/>
    <w:rsid w:val="005667A9"/>
    <w:rsid w:val="00566AD0"/>
    <w:rsid w:val="005674A2"/>
    <w:rsid w:val="00570757"/>
    <w:rsid w:val="00571F86"/>
    <w:rsid w:val="0057439C"/>
    <w:rsid w:val="00574AE3"/>
    <w:rsid w:val="00583B2B"/>
    <w:rsid w:val="005846E2"/>
    <w:rsid w:val="00590269"/>
    <w:rsid w:val="0059107D"/>
    <w:rsid w:val="0059664D"/>
    <w:rsid w:val="005A64E8"/>
    <w:rsid w:val="005B4720"/>
    <w:rsid w:val="005B50D0"/>
    <w:rsid w:val="005B686C"/>
    <w:rsid w:val="005C585F"/>
    <w:rsid w:val="005D18F6"/>
    <w:rsid w:val="005D1DDA"/>
    <w:rsid w:val="005E09A6"/>
    <w:rsid w:val="005E3C6A"/>
    <w:rsid w:val="005E69BC"/>
    <w:rsid w:val="005F11FD"/>
    <w:rsid w:val="00601831"/>
    <w:rsid w:val="00601E60"/>
    <w:rsid w:val="00603748"/>
    <w:rsid w:val="0061164F"/>
    <w:rsid w:val="00616D20"/>
    <w:rsid w:val="00617745"/>
    <w:rsid w:val="00617EAF"/>
    <w:rsid w:val="006202F5"/>
    <w:rsid w:val="00622A66"/>
    <w:rsid w:val="00625665"/>
    <w:rsid w:val="00640FA9"/>
    <w:rsid w:val="00641570"/>
    <w:rsid w:val="00646FC7"/>
    <w:rsid w:val="00661E30"/>
    <w:rsid w:val="00671455"/>
    <w:rsid w:val="0067293F"/>
    <w:rsid w:val="0067364C"/>
    <w:rsid w:val="00674B11"/>
    <w:rsid w:val="0068001F"/>
    <w:rsid w:val="00680BA6"/>
    <w:rsid w:val="006812FE"/>
    <w:rsid w:val="006870FD"/>
    <w:rsid w:val="00691ABB"/>
    <w:rsid w:val="00691CEE"/>
    <w:rsid w:val="00696F3A"/>
    <w:rsid w:val="006A0CA4"/>
    <w:rsid w:val="006A733E"/>
    <w:rsid w:val="006B04AA"/>
    <w:rsid w:val="006B167A"/>
    <w:rsid w:val="006C16F1"/>
    <w:rsid w:val="006D203A"/>
    <w:rsid w:val="006D46BC"/>
    <w:rsid w:val="006D6AC5"/>
    <w:rsid w:val="006E0EEE"/>
    <w:rsid w:val="006E1605"/>
    <w:rsid w:val="006E1CB5"/>
    <w:rsid w:val="006E40D4"/>
    <w:rsid w:val="006E43FC"/>
    <w:rsid w:val="006E50DA"/>
    <w:rsid w:val="006F06BC"/>
    <w:rsid w:val="006F0A6F"/>
    <w:rsid w:val="006F4672"/>
    <w:rsid w:val="006F4770"/>
    <w:rsid w:val="0070198E"/>
    <w:rsid w:val="00702A74"/>
    <w:rsid w:val="00703F65"/>
    <w:rsid w:val="00704DF9"/>
    <w:rsid w:val="00710905"/>
    <w:rsid w:val="0071163C"/>
    <w:rsid w:val="00711F07"/>
    <w:rsid w:val="00712C37"/>
    <w:rsid w:val="00715C9C"/>
    <w:rsid w:val="00720A38"/>
    <w:rsid w:val="00733407"/>
    <w:rsid w:val="00733A82"/>
    <w:rsid w:val="0074351F"/>
    <w:rsid w:val="00745514"/>
    <w:rsid w:val="0075580E"/>
    <w:rsid w:val="00755BBE"/>
    <w:rsid w:val="007605FE"/>
    <w:rsid w:val="007660D1"/>
    <w:rsid w:val="00767B75"/>
    <w:rsid w:val="0077632D"/>
    <w:rsid w:val="007769A7"/>
    <w:rsid w:val="00776E61"/>
    <w:rsid w:val="00780F84"/>
    <w:rsid w:val="007904E2"/>
    <w:rsid w:val="007939E0"/>
    <w:rsid w:val="00793B66"/>
    <w:rsid w:val="007A5776"/>
    <w:rsid w:val="007A690F"/>
    <w:rsid w:val="007B2146"/>
    <w:rsid w:val="007C3E64"/>
    <w:rsid w:val="007C6278"/>
    <w:rsid w:val="007C6440"/>
    <w:rsid w:val="007D4422"/>
    <w:rsid w:val="007D53EF"/>
    <w:rsid w:val="007D67A0"/>
    <w:rsid w:val="007E3426"/>
    <w:rsid w:val="007E553F"/>
    <w:rsid w:val="007E74CF"/>
    <w:rsid w:val="007F13B5"/>
    <w:rsid w:val="007F2FBB"/>
    <w:rsid w:val="007F4860"/>
    <w:rsid w:val="008013D1"/>
    <w:rsid w:val="0080396F"/>
    <w:rsid w:val="00804A02"/>
    <w:rsid w:val="00805ED1"/>
    <w:rsid w:val="0080795A"/>
    <w:rsid w:val="00812506"/>
    <w:rsid w:val="008227B6"/>
    <w:rsid w:val="008227E1"/>
    <w:rsid w:val="008240D2"/>
    <w:rsid w:val="00832465"/>
    <w:rsid w:val="008327BA"/>
    <w:rsid w:val="00840858"/>
    <w:rsid w:val="0085310E"/>
    <w:rsid w:val="00860146"/>
    <w:rsid w:val="00861E30"/>
    <w:rsid w:val="00866A71"/>
    <w:rsid w:val="00873FE5"/>
    <w:rsid w:val="008847BD"/>
    <w:rsid w:val="00890049"/>
    <w:rsid w:val="00891395"/>
    <w:rsid w:val="00891948"/>
    <w:rsid w:val="008919C3"/>
    <w:rsid w:val="008946B7"/>
    <w:rsid w:val="00894E4F"/>
    <w:rsid w:val="00896658"/>
    <w:rsid w:val="008A307F"/>
    <w:rsid w:val="008A69C7"/>
    <w:rsid w:val="008B539C"/>
    <w:rsid w:val="008B6538"/>
    <w:rsid w:val="008C1B4E"/>
    <w:rsid w:val="008C3E9F"/>
    <w:rsid w:val="008C4240"/>
    <w:rsid w:val="008C7399"/>
    <w:rsid w:val="008D29D0"/>
    <w:rsid w:val="008D35C8"/>
    <w:rsid w:val="008D7B73"/>
    <w:rsid w:val="008E6F67"/>
    <w:rsid w:val="008E7B33"/>
    <w:rsid w:val="008F14F3"/>
    <w:rsid w:val="00917BB0"/>
    <w:rsid w:val="00922872"/>
    <w:rsid w:val="00927094"/>
    <w:rsid w:val="00933A87"/>
    <w:rsid w:val="009365EE"/>
    <w:rsid w:val="00936647"/>
    <w:rsid w:val="009400CF"/>
    <w:rsid w:val="00940A15"/>
    <w:rsid w:val="00944667"/>
    <w:rsid w:val="00944DD2"/>
    <w:rsid w:val="009502B5"/>
    <w:rsid w:val="009533EB"/>
    <w:rsid w:val="009567C3"/>
    <w:rsid w:val="00961568"/>
    <w:rsid w:val="00962BDB"/>
    <w:rsid w:val="00965E2E"/>
    <w:rsid w:val="00966FDE"/>
    <w:rsid w:val="00967036"/>
    <w:rsid w:val="0097367D"/>
    <w:rsid w:val="009736FB"/>
    <w:rsid w:val="00982674"/>
    <w:rsid w:val="009935AD"/>
    <w:rsid w:val="00993C6A"/>
    <w:rsid w:val="009A132D"/>
    <w:rsid w:val="009A2A5F"/>
    <w:rsid w:val="009A7528"/>
    <w:rsid w:val="009B6C7D"/>
    <w:rsid w:val="009C01B4"/>
    <w:rsid w:val="009C0BF9"/>
    <w:rsid w:val="009C49C9"/>
    <w:rsid w:val="009C71CD"/>
    <w:rsid w:val="009E206E"/>
    <w:rsid w:val="009F571E"/>
    <w:rsid w:val="009F5CF1"/>
    <w:rsid w:val="00A01356"/>
    <w:rsid w:val="00A0333B"/>
    <w:rsid w:val="00A06FD4"/>
    <w:rsid w:val="00A075F9"/>
    <w:rsid w:val="00A10D80"/>
    <w:rsid w:val="00A14157"/>
    <w:rsid w:val="00A16A14"/>
    <w:rsid w:val="00A262E6"/>
    <w:rsid w:val="00A26CDC"/>
    <w:rsid w:val="00A3008E"/>
    <w:rsid w:val="00A34475"/>
    <w:rsid w:val="00A417EF"/>
    <w:rsid w:val="00A44A2F"/>
    <w:rsid w:val="00A45B5A"/>
    <w:rsid w:val="00A469B2"/>
    <w:rsid w:val="00A474AF"/>
    <w:rsid w:val="00A47535"/>
    <w:rsid w:val="00A50D95"/>
    <w:rsid w:val="00A52379"/>
    <w:rsid w:val="00A53CDB"/>
    <w:rsid w:val="00A55054"/>
    <w:rsid w:val="00A55450"/>
    <w:rsid w:val="00A55C76"/>
    <w:rsid w:val="00A56C9E"/>
    <w:rsid w:val="00A56D0A"/>
    <w:rsid w:val="00A56DEC"/>
    <w:rsid w:val="00A603C8"/>
    <w:rsid w:val="00A6157B"/>
    <w:rsid w:val="00A62184"/>
    <w:rsid w:val="00A6455F"/>
    <w:rsid w:val="00A67C30"/>
    <w:rsid w:val="00A7213B"/>
    <w:rsid w:val="00A73E5D"/>
    <w:rsid w:val="00A74B76"/>
    <w:rsid w:val="00A80C92"/>
    <w:rsid w:val="00A9069B"/>
    <w:rsid w:val="00A94FE0"/>
    <w:rsid w:val="00A95A53"/>
    <w:rsid w:val="00AA6B06"/>
    <w:rsid w:val="00AA7FBE"/>
    <w:rsid w:val="00AB3672"/>
    <w:rsid w:val="00AB42CD"/>
    <w:rsid w:val="00AC0B4A"/>
    <w:rsid w:val="00AC24C7"/>
    <w:rsid w:val="00AC4792"/>
    <w:rsid w:val="00AC541E"/>
    <w:rsid w:val="00AD0A3C"/>
    <w:rsid w:val="00AD10D4"/>
    <w:rsid w:val="00AD1B40"/>
    <w:rsid w:val="00AE684C"/>
    <w:rsid w:val="00B00347"/>
    <w:rsid w:val="00B00C75"/>
    <w:rsid w:val="00B03FA9"/>
    <w:rsid w:val="00B0678B"/>
    <w:rsid w:val="00B12DFF"/>
    <w:rsid w:val="00B15737"/>
    <w:rsid w:val="00B15E56"/>
    <w:rsid w:val="00B21AF9"/>
    <w:rsid w:val="00B22689"/>
    <w:rsid w:val="00B23F23"/>
    <w:rsid w:val="00B34AC2"/>
    <w:rsid w:val="00B35C5F"/>
    <w:rsid w:val="00B36FE7"/>
    <w:rsid w:val="00B37781"/>
    <w:rsid w:val="00B47608"/>
    <w:rsid w:val="00B4764E"/>
    <w:rsid w:val="00B50D79"/>
    <w:rsid w:val="00B539EA"/>
    <w:rsid w:val="00B54B96"/>
    <w:rsid w:val="00B64DB9"/>
    <w:rsid w:val="00B664D8"/>
    <w:rsid w:val="00B716EC"/>
    <w:rsid w:val="00B750A9"/>
    <w:rsid w:val="00B76301"/>
    <w:rsid w:val="00B77481"/>
    <w:rsid w:val="00B80A27"/>
    <w:rsid w:val="00B8385A"/>
    <w:rsid w:val="00B86B0D"/>
    <w:rsid w:val="00B93313"/>
    <w:rsid w:val="00B958A4"/>
    <w:rsid w:val="00B96BCD"/>
    <w:rsid w:val="00BA0CA1"/>
    <w:rsid w:val="00BA1E60"/>
    <w:rsid w:val="00BA5433"/>
    <w:rsid w:val="00BB1D1D"/>
    <w:rsid w:val="00BB6192"/>
    <w:rsid w:val="00BC0A7A"/>
    <w:rsid w:val="00BC30D8"/>
    <w:rsid w:val="00BC4976"/>
    <w:rsid w:val="00BC4CE2"/>
    <w:rsid w:val="00BC6A9D"/>
    <w:rsid w:val="00BC6CDF"/>
    <w:rsid w:val="00BC79A9"/>
    <w:rsid w:val="00BD468B"/>
    <w:rsid w:val="00BD5336"/>
    <w:rsid w:val="00BD5FAE"/>
    <w:rsid w:val="00BD62C3"/>
    <w:rsid w:val="00BE244F"/>
    <w:rsid w:val="00BF451B"/>
    <w:rsid w:val="00BF4B8B"/>
    <w:rsid w:val="00BF5548"/>
    <w:rsid w:val="00C1032A"/>
    <w:rsid w:val="00C10C08"/>
    <w:rsid w:val="00C14D82"/>
    <w:rsid w:val="00C1566A"/>
    <w:rsid w:val="00C31F72"/>
    <w:rsid w:val="00C35EF4"/>
    <w:rsid w:val="00C37252"/>
    <w:rsid w:val="00C509FF"/>
    <w:rsid w:val="00C52725"/>
    <w:rsid w:val="00C56BA3"/>
    <w:rsid w:val="00C610A3"/>
    <w:rsid w:val="00C61131"/>
    <w:rsid w:val="00C615B8"/>
    <w:rsid w:val="00C713D1"/>
    <w:rsid w:val="00C73BAE"/>
    <w:rsid w:val="00C747C9"/>
    <w:rsid w:val="00C8086A"/>
    <w:rsid w:val="00C83B74"/>
    <w:rsid w:val="00C845FA"/>
    <w:rsid w:val="00C86752"/>
    <w:rsid w:val="00C874F7"/>
    <w:rsid w:val="00C94B34"/>
    <w:rsid w:val="00C97B94"/>
    <w:rsid w:val="00CA346D"/>
    <w:rsid w:val="00CA5B9D"/>
    <w:rsid w:val="00CB6F1C"/>
    <w:rsid w:val="00CB7401"/>
    <w:rsid w:val="00CB7569"/>
    <w:rsid w:val="00CC0CAD"/>
    <w:rsid w:val="00CC27B8"/>
    <w:rsid w:val="00CC2AE5"/>
    <w:rsid w:val="00CC2E70"/>
    <w:rsid w:val="00CC457C"/>
    <w:rsid w:val="00CC6F3A"/>
    <w:rsid w:val="00CC7490"/>
    <w:rsid w:val="00CD0C26"/>
    <w:rsid w:val="00CD5161"/>
    <w:rsid w:val="00CD5989"/>
    <w:rsid w:val="00CE2E76"/>
    <w:rsid w:val="00CF2294"/>
    <w:rsid w:val="00CF33BE"/>
    <w:rsid w:val="00CF3BFD"/>
    <w:rsid w:val="00CF5E83"/>
    <w:rsid w:val="00D01E34"/>
    <w:rsid w:val="00D0271B"/>
    <w:rsid w:val="00D02C31"/>
    <w:rsid w:val="00D0538B"/>
    <w:rsid w:val="00D1557F"/>
    <w:rsid w:val="00D22564"/>
    <w:rsid w:val="00D26A46"/>
    <w:rsid w:val="00D33B5A"/>
    <w:rsid w:val="00D34120"/>
    <w:rsid w:val="00D34436"/>
    <w:rsid w:val="00D34AF8"/>
    <w:rsid w:val="00D3546C"/>
    <w:rsid w:val="00D517FB"/>
    <w:rsid w:val="00D55219"/>
    <w:rsid w:val="00D57271"/>
    <w:rsid w:val="00D57476"/>
    <w:rsid w:val="00D60EE1"/>
    <w:rsid w:val="00D612AB"/>
    <w:rsid w:val="00D63DDD"/>
    <w:rsid w:val="00D643F1"/>
    <w:rsid w:val="00D65F16"/>
    <w:rsid w:val="00D73838"/>
    <w:rsid w:val="00D75F98"/>
    <w:rsid w:val="00D81333"/>
    <w:rsid w:val="00D84D43"/>
    <w:rsid w:val="00D8513E"/>
    <w:rsid w:val="00D8655F"/>
    <w:rsid w:val="00D87721"/>
    <w:rsid w:val="00D912FF"/>
    <w:rsid w:val="00D92A15"/>
    <w:rsid w:val="00DA6A48"/>
    <w:rsid w:val="00DB1D65"/>
    <w:rsid w:val="00DB4CCB"/>
    <w:rsid w:val="00DB6804"/>
    <w:rsid w:val="00DB76FB"/>
    <w:rsid w:val="00DB7746"/>
    <w:rsid w:val="00DC7A56"/>
    <w:rsid w:val="00DD057B"/>
    <w:rsid w:val="00DE0526"/>
    <w:rsid w:val="00DE35D1"/>
    <w:rsid w:val="00DF017F"/>
    <w:rsid w:val="00DF0522"/>
    <w:rsid w:val="00DF6E13"/>
    <w:rsid w:val="00E041EF"/>
    <w:rsid w:val="00E065B9"/>
    <w:rsid w:val="00E12004"/>
    <w:rsid w:val="00E13366"/>
    <w:rsid w:val="00E1747F"/>
    <w:rsid w:val="00E20AE6"/>
    <w:rsid w:val="00E20DA1"/>
    <w:rsid w:val="00E25A62"/>
    <w:rsid w:val="00E25B51"/>
    <w:rsid w:val="00E30F9F"/>
    <w:rsid w:val="00E3363A"/>
    <w:rsid w:val="00E34CE0"/>
    <w:rsid w:val="00E34E87"/>
    <w:rsid w:val="00E41758"/>
    <w:rsid w:val="00E44793"/>
    <w:rsid w:val="00E45CFF"/>
    <w:rsid w:val="00E45EC7"/>
    <w:rsid w:val="00E50DDF"/>
    <w:rsid w:val="00E547F5"/>
    <w:rsid w:val="00E61709"/>
    <w:rsid w:val="00E75452"/>
    <w:rsid w:val="00E76510"/>
    <w:rsid w:val="00E82B40"/>
    <w:rsid w:val="00E84164"/>
    <w:rsid w:val="00E867FE"/>
    <w:rsid w:val="00E93680"/>
    <w:rsid w:val="00E9546C"/>
    <w:rsid w:val="00EA2DF9"/>
    <w:rsid w:val="00EA6B72"/>
    <w:rsid w:val="00EB1FB1"/>
    <w:rsid w:val="00EB60FD"/>
    <w:rsid w:val="00EC1723"/>
    <w:rsid w:val="00EC7AC5"/>
    <w:rsid w:val="00EC7C68"/>
    <w:rsid w:val="00EE0533"/>
    <w:rsid w:val="00EE1A6F"/>
    <w:rsid w:val="00EE72CA"/>
    <w:rsid w:val="00EF27DE"/>
    <w:rsid w:val="00EF3611"/>
    <w:rsid w:val="00EF7827"/>
    <w:rsid w:val="00F0228E"/>
    <w:rsid w:val="00F0317C"/>
    <w:rsid w:val="00F100AC"/>
    <w:rsid w:val="00F16F09"/>
    <w:rsid w:val="00F17E6D"/>
    <w:rsid w:val="00F24AF7"/>
    <w:rsid w:val="00F30D22"/>
    <w:rsid w:val="00F32678"/>
    <w:rsid w:val="00F36D0A"/>
    <w:rsid w:val="00F45DE2"/>
    <w:rsid w:val="00F52795"/>
    <w:rsid w:val="00F65A55"/>
    <w:rsid w:val="00F65E1F"/>
    <w:rsid w:val="00F709D2"/>
    <w:rsid w:val="00F72302"/>
    <w:rsid w:val="00F80231"/>
    <w:rsid w:val="00F8170A"/>
    <w:rsid w:val="00F86734"/>
    <w:rsid w:val="00F906AA"/>
    <w:rsid w:val="00F90728"/>
    <w:rsid w:val="00F93E15"/>
    <w:rsid w:val="00FA26B0"/>
    <w:rsid w:val="00FA3E08"/>
    <w:rsid w:val="00FA413A"/>
    <w:rsid w:val="00FB348B"/>
    <w:rsid w:val="00FB3ABB"/>
    <w:rsid w:val="00FC1F04"/>
    <w:rsid w:val="00FC2DB0"/>
    <w:rsid w:val="00FC34B6"/>
    <w:rsid w:val="00FE02D2"/>
    <w:rsid w:val="00FE210C"/>
    <w:rsid w:val="00FE7392"/>
    <w:rsid w:val="00FE7A24"/>
    <w:rsid w:val="00FF38CA"/>
    <w:rsid w:val="00FF652C"/>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8AA54D"/>
  <w15:chartTrackingRefBased/>
  <w15:docId w15:val="{0BBC7B13-E6D0-4569-B654-DCD55C64E8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C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0533"/>
  </w:style>
  <w:style w:type="paragraph" w:styleId="Heading1">
    <w:name w:val="heading 1"/>
    <w:basedOn w:val="Normal"/>
    <w:next w:val="Normal"/>
    <w:link w:val="Heading1Char"/>
    <w:uiPriority w:val="9"/>
    <w:qFormat/>
    <w:rsid w:val="00EE05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E05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E053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E053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E053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E05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05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05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05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053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E053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E053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E053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E053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E05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05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05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0533"/>
    <w:rPr>
      <w:rFonts w:eastAsiaTheme="majorEastAsia" w:cstheme="majorBidi"/>
      <w:color w:val="272727" w:themeColor="text1" w:themeTint="D8"/>
    </w:rPr>
  </w:style>
  <w:style w:type="paragraph" w:styleId="Title">
    <w:name w:val="Title"/>
    <w:basedOn w:val="Normal"/>
    <w:next w:val="Normal"/>
    <w:link w:val="TitleChar"/>
    <w:uiPriority w:val="10"/>
    <w:qFormat/>
    <w:rsid w:val="00EE05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05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05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05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0533"/>
    <w:pPr>
      <w:spacing w:before="160"/>
      <w:jc w:val="center"/>
    </w:pPr>
    <w:rPr>
      <w:i/>
      <w:iCs/>
      <w:color w:val="404040" w:themeColor="text1" w:themeTint="BF"/>
    </w:rPr>
  </w:style>
  <w:style w:type="character" w:customStyle="1" w:styleId="QuoteChar">
    <w:name w:val="Quote Char"/>
    <w:basedOn w:val="DefaultParagraphFont"/>
    <w:link w:val="Quote"/>
    <w:uiPriority w:val="29"/>
    <w:rsid w:val="00EE0533"/>
    <w:rPr>
      <w:i/>
      <w:iCs/>
      <w:color w:val="404040" w:themeColor="text1" w:themeTint="BF"/>
    </w:rPr>
  </w:style>
  <w:style w:type="paragraph" w:styleId="ListParagraph">
    <w:name w:val="List Paragraph"/>
    <w:basedOn w:val="Normal"/>
    <w:uiPriority w:val="34"/>
    <w:qFormat/>
    <w:rsid w:val="00EE0533"/>
    <w:pPr>
      <w:ind w:left="720"/>
      <w:contextualSpacing/>
    </w:pPr>
  </w:style>
  <w:style w:type="character" w:styleId="IntenseEmphasis">
    <w:name w:val="Intense Emphasis"/>
    <w:basedOn w:val="DefaultParagraphFont"/>
    <w:uiPriority w:val="21"/>
    <w:qFormat/>
    <w:rsid w:val="00EE0533"/>
    <w:rPr>
      <w:i/>
      <w:iCs/>
      <w:color w:val="0F4761" w:themeColor="accent1" w:themeShade="BF"/>
    </w:rPr>
  </w:style>
  <w:style w:type="paragraph" w:styleId="IntenseQuote">
    <w:name w:val="Intense Quote"/>
    <w:basedOn w:val="Normal"/>
    <w:next w:val="Normal"/>
    <w:link w:val="IntenseQuoteChar"/>
    <w:uiPriority w:val="30"/>
    <w:qFormat/>
    <w:rsid w:val="00EE05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E0533"/>
    <w:rPr>
      <w:i/>
      <w:iCs/>
      <w:color w:val="0F4761" w:themeColor="accent1" w:themeShade="BF"/>
    </w:rPr>
  </w:style>
  <w:style w:type="character" w:styleId="IntenseReference">
    <w:name w:val="Intense Reference"/>
    <w:basedOn w:val="DefaultParagraphFont"/>
    <w:uiPriority w:val="32"/>
    <w:qFormat/>
    <w:rsid w:val="00EE0533"/>
    <w:rPr>
      <w:b/>
      <w:bCs/>
      <w:smallCaps/>
      <w:color w:val="0F4761" w:themeColor="accent1" w:themeShade="BF"/>
      <w:spacing w:val="5"/>
    </w:rPr>
  </w:style>
  <w:style w:type="paragraph" w:styleId="Header">
    <w:name w:val="header"/>
    <w:basedOn w:val="Normal"/>
    <w:link w:val="HeaderChar"/>
    <w:uiPriority w:val="99"/>
    <w:unhideWhenUsed/>
    <w:rsid w:val="00EE0533"/>
    <w:pPr>
      <w:tabs>
        <w:tab w:val="center" w:pos="4513"/>
        <w:tab w:val="right" w:pos="9026"/>
      </w:tabs>
      <w:spacing w:after="0" w:line="240" w:lineRule="auto"/>
    </w:pPr>
  </w:style>
  <w:style w:type="character" w:customStyle="1" w:styleId="HeaderChar">
    <w:name w:val="Header Char"/>
    <w:basedOn w:val="DefaultParagraphFont"/>
    <w:link w:val="Header"/>
    <w:uiPriority w:val="99"/>
    <w:rsid w:val="00EE0533"/>
    <w:rPr>
      <w:lang w:val="de-CH"/>
    </w:rPr>
  </w:style>
  <w:style w:type="paragraph" w:styleId="Footer">
    <w:name w:val="footer"/>
    <w:basedOn w:val="Normal"/>
    <w:link w:val="FooterChar"/>
    <w:uiPriority w:val="99"/>
    <w:unhideWhenUsed/>
    <w:rsid w:val="00EE0533"/>
    <w:pPr>
      <w:tabs>
        <w:tab w:val="center" w:pos="4513"/>
        <w:tab w:val="right" w:pos="9026"/>
      </w:tabs>
      <w:spacing w:after="0" w:line="240" w:lineRule="auto"/>
    </w:pPr>
  </w:style>
  <w:style w:type="character" w:customStyle="1" w:styleId="FooterChar">
    <w:name w:val="Footer Char"/>
    <w:basedOn w:val="DefaultParagraphFont"/>
    <w:link w:val="Footer"/>
    <w:uiPriority w:val="99"/>
    <w:rsid w:val="00EE0533"/>
    <w:rPr>
      <w:lang w:val="de-CH"/>
    </w:rPr>
  </w:style>
  <w:style w:type="paragraph" w:styleId="BalloonText">
    <w:name w:val="Balloon Text"/>
    <w:basedOn w:val="Normal"/>
    <w:link w:val="BalloonTextChar"/>
    <w:uiPriority w:val="99"/>
    <w:semiHidden/>
    <w:unhideWhenUsed/>
    <w:rsid w:val="001D467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D4679"/>
    <w:rPr>
      <w:rFonts w:ascii="Segoe UI" w:hAnsi="Segoe UI" w:cs="Segoe UI"/>
      <w:sz w:val="18"/>
      <w:szCs w:val="18"/>
    </w:rPr>
  </w:style>
  <w:style w:type="character" w:styleId="Strong">
    <w:name w:val="Strong"/>
    <w:basedOn w:val="DefaultParagraphFont"/>
    <w:uiPriority w:val="22"/>
    <w:qFormat/>
    <w:rsid w:val="001D0AA1"/>
    <w:rPr>
      <w:b/>
      <w:bCs/>
    </w:rPr>
  </w:style>
  <w:style w:type="paragraph" w:styleId="NormalWeb">
    <w:name w:val="Normal (Web)"/>
    <w:basedOn w:val="Normal"/>
    <w:uiPriority w:val="99"/>
    <w:semiHidden/>
    <w:unhideWhenUsed/>
    <w:rsid w:val="001335DB"/>
    <w:rPr>
      <w:rFonts w:ascii="Times New Roman" w:hAnsi="Times New Roman" w:cs="Times New Roman"/>
      <w:sz w:val="24"/>
      <w:szCs w:val="24"/>
    </w:rPr>
  </w:style>
  <w:style w:type="character" w:styleId="Hyperlink">
    <w:name w:val="Hyperlink"/>
    <w:basedOn w:val="DefaultParagraphFont"/>
    <w:uiPriority w:val="99"/>
    <w:unhideWhenUsed/>
    <w:rsid w:val="00264449"/>
    <w:rPr>
      <w:color w:val="467886" w:themeColor="hyperlink"/>
      <w:u w:val="single"/>
    </w:rPr>
  </w:style>
  <w:style w:type="character" w:styleId="UnresolvedMention">
    <w:name w:val="Unresolved Mention"/>
    <w:basedOn w:val="DefaultParagraphFont"/>
    <w:uiPriority w:val="99"/>
    <w:semiHidden/>
    <w:unhideWhenUsed/>
    <w:rsid w:val="0026444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927322">
      <w:bodyDiv w:val="1"/>
      <w:marLeft w:val="0"/>
      <w:marRight w:val="0"/>
      <w:marTop w:val="0"/>
      <w:marBottom w:val="0"/>
      <w:divBdr>
        <w:top w:val="none" w:sz="0" w:space="0" w:color="auto"/>
        <w:left w:val="none" w:sz="0" w:space="0" w:color="auto"/>
        <w:bottom w:val="none" w:sz="0" w:space="0" w:color="auto"/>
        <w:right w:val="none" w:sz="0" w:space="0" w:color="auto"/>
      </w:divBdr>
    </w:div>
    <w:div w:id="57829869">
      <w:bodyDiv w:val="1"/>
      <w:marLeft w:val="0"/>
      <w:marRight w:val="0"/>
      <w:marTop w:val="0"/>
      <w:marBottom w:val="0"/>
      <w:divBdr>
        <w:top w:val="none" w:sz="0" w:space="0" w:color="auto"/>
        <w:left w:val="none" w:sz="0" w:space="0" w:color="auto"/>
        <w:bottom w:val="none" w:sz="0" w:space="0" w:color="auto"/>
        <w:right w:val="none" w:sz="0" w:space="0" w:color="auto"/>
      </w:divBdr>
    </w:div>
    <w:div w:id="97720526">
      <w:bodyDiv w:val="1"/>
      <w:marLeft w:val="0"/>
      <w:marRight w:val="0"/>
      <w:marTop w:val="0"/>
      <w:marBottom w:val="0"/>
      <w:divBdr>
        <w:top w:val="none" w:sz="0" w:space="0" w:color="auto"/>
        <w:left w:val="none" w:sz="0" w:space="0" w:color="auto"/>
        <w:bottom w:val="none" w:sz="0" w:space="0" w:color="auto"/>
        <w:right w:val="none" w:sz="0" w:space="0" w:color="auto"/>
      </w:divBdr>
    </w:div>
    <w:div w:id="98066640">
      <w:bodyDiv w:val="1"/>
      <w:marLeft w:val="0"/>
      <w:marRight w:val="0"/>
      <w:marTop w:val="0"/>
      <w:marBottom w:val="0"/>
      <w:divBdr>
        <w:top w:val="none" w:sz="0" w:space="0" w:color="auto"/>
        <w:left w:val="none" w:sz="0" w:space="0" w:color="auto"/>
        <w:bottom w:val="none" w:sz="0" w:space="0" w:color="auto"/>
        <w:right w:val="none" w:sz="0" w:space="0" w:color="auto"/>
      </w:divBdr>
    </w:div>
    <w:div w:id="104545569">
      <w:bodyDiv w:val="1"/>
      <w:marLeft w:val="0"/>
      <w:marRight w:val="0"/>
      <w:marTop w:val="0"/>
      <w:marBottom w:val="0"/>
      <w:divBdr>
        <w:top w:val="none" w:sz="0" w:space="0" w:color="auto"/>
        <w:left w:val="none" w:sz="0" w:space="0" w:color="auto"/>
        <w:bottom w:val="none" w:sz="0" w:space="0" w:color="auto"/>
        <w:right w:val="none" w:sz="0" w:space="0" w:color="auto"/>
      </w:divBdr>
    </w:div>
    <w:div w:id="109014356">
      <w:bodyDiv w:val="1"/>
      <w:marLeft w:val="0"/>
      <w:marRight w:val="0"/>
      <w:marTop w:val="0"/>
      <w:marBottom w:val="0"/>
      <w:divBdr>
        <w:top w:val="none" w:sz="0" w:space="0" w:color="auto"/>
        <w:left w:val="none" w:sz="0" w:space="0" w:color="auto"/>
        <w:bottom w:val="none" w:sz="0" w:space="0" w:color="auto"/>
        <w:right w:val="none" w:sz="0" w:space="0" w:color="auto"/>
      </w:divBdr>
    </w:div>
    <w:div w:id="142965488">
      <w:bodyDiv w:val="1"/>
      <w:marLeft w:val="0"/>
      <w:marRight w:val="0"/>
      <w:marTop w:val="0"/>
      <w:marBottom w:val="0"/>
      <w:divBdr>
        <w:top w:val="none" w:sz="0" w:space="0" w:color="auto"/>
        <w:left w:val="none" w:sz="0" w:space="0" w:color="auto"/>
        <w:bottom w:val="none" w:sz="0" w:space="0" w:color="auto"/>
        <w:right w:val="none" w:sz="0" w:space="0" w:color="auto"/>
      </w:divBdr>
    </w:div>
    <w:div w:id="206992111">
      <w:bodyDiv w:val="1"/>
      <w:marLeft w:val="0"/>
      <w:marRight w:val="0"/>
      <w:marTop w:val="0"/>
      <w:marBottom w:val="0"/>
      <w:divBdr>
        <w:top w:val="none" w:sz="0" w:space="0" w:color="auto"/>
        <w:left w:val="none" w:sz="0" w:space="0" w:color="auto"/>
        <w:bottom w:val="none" w:sz="0" w:space="0" w:color="auto"/>
        <w:right w:val="none" w:sz="0" w:space="0" w:color="auto"/>
      </w:divBdr>
    </w:div>
    <w:div w:id="217978344">
      <w:bodyDiv w:val="1"/>
      <w:marLeft w:val="0"/>
      <w:marRight w:val="0"/>
      <w:marTop w:val="0"/>
      <w:marBottom w:val="0"/>
      <w:divBdr>
        <w:top w:val="none" w:sz="0" w:space="0" w:color="auto"/>
        <w:left w:val="none" w:sz="0" w:space="0" w:color="auto"/>
        <w:bottom w:val="none" w:sz="0" w:space="0" w:color="auto"/>
        <w:right w:val="none" w:sz="0" w:space="0" w:color="auto"/>
      </w:divBdr>
    </w:div>
    <w:div w:id="230121535">
      <w:bodyDiv w:val="1"/>
      <w:marLeft w:val="0"/>
      <w:marRight w:val="0"/>
      <w:marTop w:val="0"/>
      <w:marBottom w:val="0"/>
      <w:divBdr>
        <w:top w:val="none" w:sz="0" w:space="0" w:color="auto"/>
        <w:left w:val="none" w:sz="0" w:space="0" w:color="auto"/>
        <w:bottom w:val="none" w:sz="0" w:space="0" w:color="auto"/>
        <w:right w:val="none" w:sz="0" w:space="0" w:color="auto"/>
      </w:divBdr>
    </w:div>
    <w:div w:id="274408001">
      <w:bodyDiv w:val="1"/>
      <w:marLeft w:val="0"/>
      <w:marRight w:val="0"/>
      <w:marTop w:val="0"/>
      <w:marBottom w:val="0"/>
      <w:divBdr>
        <w:top w:val="none" w:sz="0" w:space="0" w:color="auto"/>
        <w:left w:val="none" w:sz="0" w:space="0" w:color="auto"/>
        <w:bottom w:val="none" w:sz="0" w:space="0" w:color="auto"/>
        <w:right w:val="none" w:sz="0" w:space="0" w:color="auto"/>
      </w:divBdr>
    </w:div>
    <w:div w:id="297297354">
      <w:bodyDiv w:val="1"/>
      <w:marLeft w:val="0"/>
      <w:marRight w:val="0"/>
      <w:marTop w:val="0"/>
      <w:marBottom w:val="0"/>
      <w:divBdr>
        <w:top w:val="none" w:sz="0" w:space="0" w:color="auto"/>
        <w:left w:val="none" w:sz="0" w:space="0" w:color="auto"/>
        <w:bottom w:val="none" w:sz="0" w:space="0" w:color="auto"/>
        <w:right w:val="none" w:sz="0" w:space="0" w:color="auto"/>
      </w:divBdr>
    </w:div>
    <w:div w:id="359207666">
      <w:bodyDiv w:val="1"/>
      <w:marLeft w:val="0"/>
      <w:marRight w:val="0"/>
      <w:marTop w:val="0"/>
      <w:marBottom w:val="0"/>
      <w:divBdr>
        <w:top w:val="none" w:sz="0" w:space="0" w:color="auto"/>
        <w:left w:val="none" w:sz="0" w:space="0" w:color="auto"/>
        <w:bottom w:val="none" w:sz="0" w:space="0" w:color="auto"/>
        <w:right w:val="none" w:sz="0" w:space="0" w:color="auto"/>
      </w:divBdr>
    </w:div>
    <w:div w:id="363094432">
      <w:bodyDiv w:val="1"/>
      <w:marLeft w:val="0"/>
      <w:marRight w:val="0"/>
      <w:marTop w:val="0"/>
      <w:marBottom w:val="0"/>
      <w:divBdr>
        <w:top w:val="none" w:sz="0" w:space="0" w:color="auto"/>
        <w:left w:val="none" w:sz="0" w:space="0" w:color="auto"/>
        <w:bottom w:val="none" w:sz="0" w:space="0" w:color="auto"/>
        <w:right w:val="none" w:sz="0" w:space="0" w:color="auto"/>
      </w:divBdr>
    </w:div>
    <w:div w:id="371198776">
      <w:bodyDiv w:val="1"/>
      <w:marLeft w:val="0"/>
      <w:marRight w:val="0"/>
      <w:marTop w:val="0"/>
      <w:marBottom w:val="0"/>
      <w:divBdr>
        <w:top w:val="none" w:sz="0" w:space="0" w:color="auto"/>
        <w:left w:val="none" w:sz="0" w:space="0" w:color="auto"/>
        <w:bottom w:val="none" w:sz="0" w:space="0" w:color="auto"/>
        <w:right w:val="none" w:sz="0" w:space="0" w:color="auto"/>
      </w:divBdr>
    </w:div>
    <w:div w:id="384835786">
      <w:bodyDiv w:val="1"/>
      <w:marLeft w:val="0"/>
      <w:marRight w:val="0"/>
      <w:marTop w:val="0"/>
      <w:marBottom w:val="0"/>
      <w:divBdr>
        <w:top w:val="none" w:sz="0" w:space="0" w:color="auto"/>
        <w:left w:val="none" w:sz="0" w:space="0" w:color="auto"/>
        <w:bottom w:val="none" w:sz="0" w:space="0" w:color="auto"/>
        <w:right w:val="none" w:sz="0" w:space="0" w:color="auto"/>
      </w:divBdr>
    </w:div>
    <w:div w:id="392239598">
      <w:bodyDiv w:val="1"/>
      <w:marLeft w:val="0"/>
      <w:marRight w:val="0"/>
      <w:marTop w:val="0"/>
      <w:marBottom w:val="0"/>
      <w:divBdr>
        <w:top w:val="none" w:sz="0" w:space="0" w:color="auto"/>
        <w:left w:val="none" w:sz="0" w:space="0" w:color="auto"/>
        <w:bottom w:val="none" w:sz="0" w:space="0" w:color="auto"/>
        <w:right w:val="none" w:sz="0" w:space="0" w:color="auto"/>
      </w:divBdr>
    </w:div>
    <w:div w:id="400642038">
      <w:bodyDiv w:val="1"/>
      <w:marLeft w:val="0"/>
      <w:marRight w:val="0"/>
      <w:marTop w:val="0"/>
      <w:marBottom w:val="0"/>
      <w:divBdr>
        <w:top w:val="none" w:sz="0" w:space="0" w:color="auto"/>
        <w:left w:val="none" w:sz="0" w:space="0" w:color="auto"/>
        <w:bottom w:val="none" w:sz="0" w:space="0" w:color="auto"/>
        <w:right w:val="none" w:sz="0" w:space="0" w:color="auto"/>
      </w:divBdr>
    </w:div>
    <w:div w:id="451021752">
      <w:bodyDiv w:val="1"/>
      <w:marLeft w:val="0"/>
      <w:marRight w:val="0"/>
      <w:marTop w:val="0"/>
      <w:marBottom w:val="0"/>
      <w:divBdr>
        <w:top w:val="none" w:sz="0" w:space="0" w:color="auto"/>
        <w:left w:val="none" w:sz="0" w:space="0" w:color="auto"/>
        <w:bottom w:val="none" w:sz="0" w:space="0" w:color="auto"/>
        <w:right w:val="none" w:sz="0" w:space="0" w:color="auto"/>
      </w:divBdr>
    </w:div>
    <w:div w:id="457187188">
      <w:bodyDiv w:val="1"/>
      <w:marLeft w:val="0"/>
      <w:marRight w:val="0"/>
      <w:marTop w:val="0"/>
      <w:marBottom w:val="0"/>
      <w:divBdr>
        <w:top w:val="none" w:sz="0" w:space="0" w:color="auto"/>
        <w:left w:val="none" w:sz="0" w:space="0" w:color="auto"/>
        <w:bottom w:val="none" w:sz="0" w:space="0" w:color="auto"/>
        <w:right w:val="none" w:sz="0" w:space="0" w:color="auto"/>
      </w:divBdr>
    </w:div>
    <w:div w:id="458884786">
      <w:bodyDiv w:val="1"/>
      <w:marLeft w:val="0"/>
      <w:marRight w:val="0"/>
      <w:marTop w:val="0"/>
      <w:marBottom w:val="0"/>
      <w:divBdr>
        <w:top w:val="none" w:sz="0" w:space="0" w:color="auto"/>
        <w:left w:val="none" w:sz="0" w:space="0" w:color="auto"/>
        <w:bottom w:val="none" w:sz="0" w:space="0" w:color="auto"/>
        <w:right w:val="none" w:sz="0" w:space="0" w:color="auto"/>
      </w:divBdr>
    </w:div>
    <w:div w:id="475487911">
      <w:bodyDiv w:val="1"/>
      <w:marLeft w:val="0"/>
      <w:marRight w:val="0"/>
      <w:marTop w:val="0"/>
      <w:marBottom w:val="0"/>
      <w:divBdr>
        <w:top w:val="none" w:sz="0" w:space="0" w:color="auto"/>
        <w:left w:val="none" w:sz="0" w:space="0" w:color="auto"/>
        <w:bottom w:val="none" w:sz="0" w:space="0" w:color="auto"/>
        <w:right w:val="none" w:sz="0" w:space="0" w:color="auto"/>
      </w:divBdr>
    </w:div>
    <w:div w:id="479931063">
      <w:bodyDiv w:val="1"/>
      <w:marLeft w:val="0"/>
      <w:marRight w:val="0"/>
      <w:marTop w:val="0"/>
      <w:marBottom w:val="0"/>
      <w:divBdr>
        <w:top w:val="none" w:sz="0" w:space="0" w:color="auto"/>
        <w:left w:val="none" w:sz="0" w:space="0" w:color="auto"/>
        <w:bottom w:val="none" w:sz="0" w:space="0" w:color="auto"/>
        <w:right w:val="none" w:sz="0" w:space="0" w:color="auto"/>
      </w:divBdr>
    </w:div>
    <w:div w:id="511845051">
      <w:bodyDiv w:val="1"/>
      <w:marLeft w:val="0"/>
      <w:marRight w:val="0"/>
      <w:marTop w:val="0"/>
      <w:marBottom w:val="0"/>
      <w:divBdr>
        <w:top w:val="none" w:sz="0" w:space="0" w:color="auto"/>
        <w:left w:val="none" w:sz="0" w:space="0" w:color="auto"/>
        <w:bottom w:val="none" w:sz="0" w:space="0" w:color="auto"/>
        <w:right w:val="none" w:sz="0" w:space="0" w:color="auto"/>
      </w:divBdr>
    </w:div>
    <w:div w:id="512764362">
      <w:bodyDiv w:val="1"/>
      <w:marLeft w:val="0"/>
      <w:marRight w:val="0"/>
      <w:marTop w:val="0"/>
      <w:marBottom w:val="0"/>
      <w:divBdr>
        <w:top w:val="none" w:sz="0" w:space="0" w:color="auto"/>
        <w:left w:val="none" w:sz="0" w:space="0" w:color="auto"/>
        <w:bottom w:val="none" w:sz="0" w:space="0" w:color="auto"/>
        <w:right w:val="none" w:sz="0" w:space="0" w:color="auto"/>
      </w:divBdr>
    </w:div>
    <w:div w:id="568001940">
      <w:bodyDiv w:val="1"/>
      <w:marLeft w:val="0"/>
      <w:marRight w:val="0"/>
      <w:marTop w:val="0"/>
      <w:marBottom w:val="0"/>
      <w:divBdr>
        <w:top w:val="none" w:sz="0" w:space="0" w:color="auto"/>
        <w:left w:val="none" w:sz="0" w:space="0" w:color="auto"/>
        <w:bottom w:val="none" w:sz="0" w:space="0" w:color="auto"/>
        <w:right w:val="none" w:sz="0" w:space="0" w:color="auto"/>
      </w:divBdr>
    </w:div>
    <w:div w:id="581644589">
      <w:bodyDiv w:val="1"/>
      <w:marLeft w:val="0"/>
      <w:marRight w:val="0"/>
      <w:marTop w:val="0"/>
      <w:marBottom w:val="0"/>
      <w:divBdr>
        <w:top w:val="none" w:sz="0" w:space="0" w:color="auto"/>
        <w:left w:val="none" w:sz="0" w:space="0" w:color="auto"/>
        <w:bottom w:val="none" w:sz="0" w:space="0" w:color="auto"/>
        <w:right w:val="none" w:sz="0" w:space="0" w:color="auto"/>
      </w:divBdr>
    </w:div>
    <w:div w:id="651716038">
      <w:bodyDiv w:val="1"/>
      <w:marLeft w:val="0"/>
      <w:marRight w:val="0"/>
      <w:marTop w:val="0"/>
      <w:marBottom w:val="0"/>
      <w:divBdr>
        <w:top w:val="none" w:sz="0" w:space="0" w:color="auto"/>
        <w:left w:val="none" w:sz="0" w:space="0" w:color="auto"/>
        <w:bottom w:val="none" w:sz="0" w:space="0" w:color="auto"/>
        <w:right w:val="none" w:sz="0" w:space="0" w:color="auto"/>
      </w:divBdr>
    </w:div>
    <w:div w:id="652224491">
      <w:bodyDiv w:val="1"/>
      <w:marLeft w:val="0"/>
      <w:marRight w:val="0"/>
      <w:marTop w:val="0"/>
      <w:marBottom w:val="0"/>
      <w:divBdr>
        <w:top w:val="none" w:sz="0" w:space="0" w:color="auto"/>
        <w:left w:val="none" w:sz="0" w:space="0" w:color="auto"/>
        <w:bottom w:val="none" w:sz="0" w:space="0" w:color="auto"/>
        <w:right w:val="none" w:sz="0" w:space="0" w:color="auto"/>
      </w:divBdr>
    </w:div>
    <w:div w:id="658273721">
      <w:bodyDiv w:val="1"/>
      <w:marLeft w:val="0"/>
      <w:marRight w:val="0"/>
      <w:marTop w:val="0"/>
      <w:marBottom w:val="0"/>
      <w:divBdr>
        <w:top w:val="none" w:sz="0" w:space="0" w:color="auto"/>
        <w:left w:val="none" w:sz="0" w:space="0" w:color="auto"/>
        <w:bottom w:val="none" w:sz="0" w:space="0" w:color="auto"/>
        <w:right w:val="none" w:sz="0" w:space="0" w:color="auto"/>
      </w:divBdr>
    </w:div>
    <w:div w:id="670108553">
      <w:bodyDiv w:val="1"/>
      <w:marLeft w:val="0"/>
      <w:marRight w:val="0"/>
      <w:marTop w:val="0"/>
      <w:marBottom w:val="0"/>
      <w:divBdr>
        <w:top w:val="none" w:sz="0" w:space="0" w:color="auto"/>
        <w:left w:val="none" w:sz="0" w:space="0" w:color="auto"/>
        <w:bottom w:val="none" w:sz="0" w:space="0" w:color="auto"/>
        <w:right w:val="none" w:sz="0" w:space="0" w:color="auto"/>
      </w:divBdr>
    </w:div>
    <w:div w:id="733816810">
      <w:bodyDiv w:val="1"/>
      <w:marLeft w:val="0"/>
      <w:marRight w:val="0"/>
      <w:marTop w:val="0"/>
      <w:marBottom w:val="0"/>
      <w:divBdr>
        <w:top w:val="none" w:sz="0" w:space="0" w:color="auto"/>
        <w:left w:val="none" w:sz="0" w:space="0" w:color="auto"/>
        <w:bottom w:val="none" w:sz="0" w:space="0" w:color="auto"/>
        <w:right w:val="none" w:sz="0" w:space="0" w:color="auto"/>
      </w:divBdr>
    </w:div>
    <w:div w:id="858543598">
      <w:bodyDiv w:val="1"/>
      <w:marLeft w:val="0"/>
      <w:marRight w:val="0"/>
      <w:marTop w:val="0"/>
      <w:marBottom w:val="0"/>
      <w:divBdr>
        <w:top w:val="none" w:sz="0" w:space="0" w:color="auto"/>
        <w:left w:val="none" w:sz="0" w:space="0" w:color="auto"/>
        <w:bottom w:val="none" w:sz="0" w:space="0" w:color="auto"/>
        <w:right w:val="none" w:sz="0" w:space="0" w:color="auto"/>
      </w:divBdr>
      <w:divsChild>
        <w:div w:id="1943948441">
          <w:marLeft w:val="0"/>
          <w:marRight w:val="0"/>
          <w:marTop w:val="0"/>
          <w:marBottom w:val="0"/>
          <w:divBdr>
            <w:top w:val="none" w:sz="0" w:space="0" w:color="auto"/>
            <w:left w:val="none" w:sz="0" w:space="0" w:color="auto"/>
            <w:bottom w:val="none" w:sz="0" w:space="0" w:color="auto"/>
            <w:right w:val="none" w:sz="0" w:space="0" w:color="auto"/>
          </w:divBdr>
          <w:divsChild>
            <w:div w:id="72902212">
              <w:marLeft w:val="0"/>
              <w:marRight w:val="0"/>
              <w:marTop w:val="0"/>
              <w:marBottom w:val="0"/>
              <w:divBdr>
                <w:top w:val="none" w:sz="0" w:space="0" w:color="auto"/>
                <w:left w:val="none" w:sz="0" w:space="0" w:color="auto"/>
                <w:bottom w:val="none" w:sz="0" w:space="0" w:color="auto"/>
                <w:right w:val="none" w:sz="0" w:space="0" w:color="auto"/>
              </w:divBdr>
              <w:divsChild>
                <w:div w:id="1824852442">
                  <w:marLeft w:val="0"/>
                  <w:marRight w:val="0"/>
                  <w:marTop w:val="0"/>
                  <w:marBottom w:val="0"/>
                  <w:divBdr>
                    <w:top w:val="none" w:sz="0" w:space="0" w:color="auto"/>
                    <w:left w:val="none" w:sz="0" w:space="0" w:color="auto"/>
                    <w:bottom w:val="none" w:sz="0" w:space="0" w:color="auto"/>
                    <w:right w:val="none" w:sz="0" w:space="0" w:color="auto"/>
                  </w:divBdr>
                  <w:divsChild>
                    <w:div w:id="1867865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5096898">
      <w:bodyDiv w:val="1"/>
      <w:marLeft w:val="0"/>
      <w:marRight w:val="0"/>
      <w:marTop w:val="0"/>
      <w:marBottom w:val="0"/>
      <w:divBdr>
        <w:top w:val="none" w:sz="0" w:space="0" w:color="auto"/>
        <w:left w:val="none" w:sz="0" w:space="0" w:color="auto"/>
        <w:bottom w:val="none" w:sz="0" w:space="0" w:color="auto"/>
        <w:right w:val="none" w:sz="0" w:space="0" w:color="auto"/>
      </w:divBdr>
    </w:div>
    <w:div w:id="889610104">
      <w:bodyDiv w:val="1"/>
      <w:marLeft w:val="0"/>
      <w:marRight w:val="0"/>
      <w:marTop w:val="0"/>
      <w:marBottom w:val="0"/>
      <w:divBdr>
        <w:top w:val="none" w:sz="0" w:space="0" w:color="auto"/>
        <w:left w:val="none" w:sz="0" w:space="0" w:color="auto"/>
        <w:bottom w:val="none" w:sz="0" w:space="0" w:color="auto"/>
        <w:right w:val="none" w:sz="0" w:space="0" w:color="auto"/>
      </w:divBdr>
    </w:div>
    <w:div w:id="898201399">
      <w:bodyDiv w:val="1"/>
      <w:marLeft w:val="0"/>
      <w:marRight w:val="0"/>
      <w:marTop w:val="0"/>
      <w:marBottom w:val="0"/>
      <w:divBdr>
        <w:top w:val="none" w:sz="0" w:space="0" w:color="auto"/>
        <w:left w:val="none" w:sz="0" w:space="0" w:color="auto"/>
        <w:bottom w:val="none" w:sz="0" w:space="0" w:color="auto"/>
        <w:right w:val="none" w:sz="0" w:space="0" w:color="auto"/>
      </w:divBdr>
    </w:div>
    <w:div w:id="1008141160">
      <w:bodyDiv w:val="1"/>
      <w:marLeft w:val="0"/>
      <w:marRight w:val="0"/>
      <w:marTop w:val="0"/>
      <w:marBottom w:val="0"/>
      <w:divBdr>
        <w:top w:val="none" w:sz="0" w:space="0" w:color="auto"/>
        <w:left w:val="none" w:sz="0" w:space="0" w:color="auto"/>
        <w:bottom w:val="none" w:sz="0" w:space="0" w:color="auto"/>
        <w:right w:val="none" w:sz="0" w:space="0" w:color="auto"/>
      </w:divBdr>
    </w:div>
    <w:div w:id="1075468423">
      <w:bodyDiv w:val="1"/>
      <w:marLeft w:val="0"/>
      <w:marRight w:val="0"/>
      <w:marTop w:val="0"/>
      <w:marBottom w:val="0"/>
      <w:divBdr>
        <w:top w:val="none" w:sz="0" w:space="0" w:color="auto"/>
        <w:left w:val="none" w:sz="0" w:space="0" w:color="auto"/>
        <w:bottom w:val="none" w:sz="0" w:space="0" w:color="auto"/>
        <w:right w:val="none" w:sz="0" w:space="0" w:color="auto"/>
      </w:divBdr>
    </w:div>
    <w:div w:id="1117065289">
      <w:bodyDiv w:val="1"/>
      <w:marLeft w:val="0"/>
      <w:marRight w:val="0"/>
      <w:marTop w:val="0"/>
      <w:marBottom w:val="0"/>
      <w:divBdr>
        <w:top w:val="none" w:sz="0" w:space="0" w:color="auto"/>
        <w:left w:val="none" w:sz="0" w:space="0" w:color="auto"/>
        <w:bottom w:val="none" w:sz="0" w:space="0" w:color="auto"/>
        <w:right w:val="none" w:sz="0" w:space="0" w:color="auto"/>
      </w:divBdr>
    </w:div>
    <w:div w:id="1150907236">
      <w:bodyDiv w:val="1"/>
      <w:marLeft w:val="0"/>
      <w:marRight w:val="0"/>
      <w:marTop w:val="0"/>
      <w:marBottom w:val="0"/>
      <w:divBdr>
        <w:top w:val="none" w:sz="0" w:space="0" w:color="auto"/>
        <w:left w:val="none" w:sz="0" w:space="0" w:color="auto"/>
        <w:bottom w:val="none" w:sz="0" w:space="0" w:color="auto"/>
        <w:right w:val="none" w:sz="0" w:space="0" w:color="auto"/>
      </w:divBdr>
    </w:div>
    <w:div w:id="1231190516">
      <w:bodyDiv w:val="1"/>
      <w:marLeft w:val="0"/>
      <w:marRight w:val="0"/>
      <w:marTop w:val="0"/>
      <w:marBottom w:val="0"/>
      <w:divBdr>
        <w:top w:val="none" w:sz="0" w:space="0" w:color="auto"/>
        <w:left w:val="none" w:sz="0" w:space="0" w:color="auto"/>
        <w:bottom w:val="none" w:sz="0" w:space="0" w:color="auto"/>
        <w:right w:val="none" w:sz="0" w:space="0" w:color="auto"/>
      </w:divBdr>
    </w:div>
    <w:div w:id="1237595387">
      <w:bodyDiv w:val="1"/>
      <w:marLeft w:val="0"/>
      <w:marRight w:val="0"/>
      <w:marTop w:val="0"/>
      <w:marBottom w:val="0"/>
      <w:divBdr>
        <w:top w:val="none" w:sz="0" w:space="0" w:color="auto"/>
        <w:left w:val="none" w:sz="0" w:space="0" w:color="auto"/>
        <w:bottom w:val="none" w:sz="0" w:space="0" w:color="auto"/>
        <w:right w:val="none" w:sz="0" w:space="0" w:color="auto"/>
      </w:divBdr>
    </w:div>
    <w:div w:id="1308629709">
      <w:bodyDiv w:val="1"/>
      <w:marLeft w:val="0"/>
      <w:marRight w:val="0"/>
      <w:marTop w:val="0"/>
      <w:marBottom w:val="0"/>
      <w:divBdr>
        <w:top w:val="none" w:sz="0" w:space="0" w:color="auto"/>
        <w:left w:val="none" w:sz="0" w:space="0" w:color="auto"/>
        <w:bottom w:val="none" w:sz="0" w:space="0" w:color="auto"/>
        <w:right w:val="none" w:sz="0" w:space="0" w:color="auto"/>
      </w:divBdr>
    </w:div>
    <w:div w:id="1379427820">
      <w:bodyDiv w:val="1"/>
      <w:marLeft w:val="0"/>
      <w:marRight w:val="0"/>
      <w:marTop w:val="0"/>
      <w:marBottom w:val="0"/>
      <w:divBdr>
        <w:top w:val="none" w:sz="0" w:space="0" w:color="auto"/>
        <w:left w:val="none" w:sz="0" w:space="0" w:color="auto"/>
        <w:bottom w:val="none" w:sz="0" w:space="0" w:color="auto"/>
        <w:right w:val="none" w:sz="0" w:space="0" w:color="auto"/>
      </w:divBdr>
    </w:div>
    <w:div w:id="1537425339">
      <w:bodyDiv w:val="1"/>
      <w:marLeft w:val="0"/>
      <w:marRight w:val="0"/>
      <w:marTop w:val="0"/>
      <w:marBottom w:val="0"/>
      <w:divBdr>
        <w:top w:val="none" w:sz="0" w:space="0" w:color="auto"/>
        <w:left w:val="none" w:sz="0" w:space="0" w:color="auto"/>
        <w:bottom w:val="none" w:sz="0" w:space="0" w:color="auto"/>
        <w:right w:val="none" w:sz="0" w:space="0" w:color="auto"/>
      </w:divBdr>
    </w:div>
    <w:div w:id="1540819077">
      <w:bodyDiv w:val="1"/>
      <w:marLeft w:val="0"/>
      <w:marRight w:val="0"/>
      <w:marTop w:val="0"/>
      <w:marBottom w:val="0"/>
      <w:divBdr>
        <w:top w:val="none" w:sz="0" w:space="0" w:color="auto"/>
        <w:left w:val="none" w:sz="0" w:space="0" w:color="auto"/>
        <w:bottom w:val="none" w:sz="0" w:space="0" w:color="auto"/>
        <w:right w:val="none" w:sz="0" w:space="0" w:color="auto"/>
      </w:divBdr>
    </w:div>
    <w:div w:id="1556700119">
      <w:bodyDiv w:val="1"/>
      <w:marLeft w:val="0"/>
      <w:marRight w:val="0"/>
      <w:marTop w:val="0"/>
      <w:marBottom w:val="0"/>
      <w:divBdr>
        <w:top w:val="none" w:sz="0" w:space="0" w:color="auto"/>
        <w:left w:val="none" w:sz="0" w:space="0" w:color="auto"/>
        <w:bottom w:val="none" w:sz="0" w:space="0" w:color="auto"/>
        <w:right w:val="none" w:sz="0" w:space="0" w:color="auto"/>
      </w:divBdr>
    </w:div>
    <w:div w:id="1680231468">
      <w:bodyDiv w:val="1"/>
      <w:marLeft w:val="0"/>
      <w:marRight w:val="0"/>
      <w:marTop w:val="0"/>
      <w:marBottom w:val="0"/>
      <w:divBdr>
        <w:top w:val="none" w:sz="0" w:space="0" w:color="auto"/>
        <w:left w:val="none" w:sz="0" w:space="0" w:color="auto"/>
        <w:bottom w:val="none" w:sz="0" w:space="0" w:color="auto"/>
        <w:right w:val="none" w:sz="0" w:space="0" w:color="auto"/>
      </w:divBdr>
    </w:div>
    <w:div w:id="1687369253">
      <w:bodyDiv w:val="1"/>
      <w:marLeft w:val="0"/>
      <w:marRight w:val="0"/>
      <w:marTop w:val="0"/>
      <w:marBottom w:val="0"/>
      <w:divBdr>
        <w:top w:val="none" w:sz="0" w:space="0" w:color="auto"/>
        <w:left w:val="none" w:sz="0" w:space="0" w:color="auto"/>
        <w:bottom w:val="none" w:sz="0" w:space="0" w:color="auto"/>
        <w:right w:val="none" w:sz="0" w:space="0" w:color="auto"/>
      </w:divBdr>
    </w:div>
    <w:div w:id="1740396062">
      <w:bodyDiv w:val="1"/>
      <w:marLeft w:val="0"/>
      <w:marRight w:val="0"/>
      <w:marTop w:val="0"/>
      <w:marBottom w:val="0"/>
      <w:divBdr>
        <w:top w:val="none" w:sz="0" w:space="0" w:color="auto"/>
        <w:left w:val="none" w:sz="0" w:space="0" w:color="auto"/>
        <w:bottom w:val="none" w:sz="0" w:space="0" w:color="auto"/>
        <w:right w:val="none" w:sz="0" w:space="0" w:color="auto"/>
      </w:divBdr>
    </w:div>
    <w:div w:id="1784879541">
      <w:bodyDiv w:val="1"/>
      <w:marLeft w:val="0"/>
      <w:marRight w:val="0"/>
      <w:marTop w:val="0"/>
      <w:marBottom w:val="0"/>
      <w:divBdr>
        <w:top w:val="none" w:sz="0" w:space="0" w:color="auto"/>
        <w:left w:val="none" w:sz="0" w:space="0" w:color="auto"/>
        <w:bottom w:val="none" w:sz="0" w:space="0" w:color="auto"/>
        <w:right w:val="none" w:sz="0" w:space="0" w:color="auto"/>
      </w:divBdr>
    </w:div>
    <w:div w:id="1801994656">
      <w:bodyDiv w:val="1"/>
      <w:marLeft w:val="0"/>
      <w:marRight w:val="0"/>
      <w:marTop w:val="0"/>
      <w:marBottom w:val="0"/>
      <w:divBdr>
        <w:top w:val="none" w:sz="0" w:space="0" w:color="auto"/>
        <w:left w:val="none" w:sz="0" w:space="0" w:color="auto"/>
        <w:bottom w:val="none" w:sz="0" w:space="0" w:color="auto"/>
        <w:right w:val="none" w:sz="0" w:space="0" w:color="auto"/>
      </w:divBdr>
      <w:divsChild>
        <w:div w:id="935015340">
          <w:marLeft w:val="0"/>
          <w:marRight w:val="0"/>
          <w:marTop w:val="0"/>
          <w:marBottom w:val="0"/>
          <w:divBdr>
            <w:top w:val="none" w:sz="0" w:space="0" w:color="auto"/>
            <w:left w:val="none" w:sz="0" w:space="0" w:color="auto"/>
            <w:bottom w:val="none" w:sz="0" w:space="0" w:color="auto"/>
            <w:right w:val="none" w:sz="0" w:space="0" w:color="auto"/>
          </w:divBdr>
          <w:divsChild>
            <w:div w:id="1297836791">
              <w:marLeft w:val="0"/>
              <w:marRight w:val="0"/>
              <w:marTop w:val="0"/>
              <w:marBottom w:val="0"/>
              <w:divBdr>
                <w:top w:val="none" w:sz="0" w:space="0" w:color="auto"/>
                <w:left w:val="none" w:sz="0" w:space="0" w:color="auto"/>
                <w:bottom w:val="none" w:sz="0" w:space="0" w:color="auto"/>
                <w:right w:val="none" w:sz="0" w:space="0" w:color="auto"/>
              </w:divBdr>
              <w:divsChild>
                <w:div w:id="406533439">
                  <w:marLeft w:val="0"/>
                  <w:marRight w:val="0"/>
                  <w:marTop w:val="0"/>
                  <w:marBottom w:val="0"/>
                  <w:divBdr>
                    <w:top w:val="none" w:sz="0" w:space="0" w:color="auto"/>
                    <w:left w:val="none" w:sz="0" w:space="0" w:color="auto"/>
                    <w:bottom w:val="none" w:sz="0" w:space="0" w:color="auto"/>
                    <w:right w:val="none" w:sz="0" w:space="0" w:color="auto"/>
                  </w:divBdr>
                  <w:divsChild>
                    <w:div w:id="88158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1049881">
      <w:bodyDiv w:val="1"/>
      <w:marLeft w:val="0"/>
      <w:marRight w:val="0"/>
      <w:marTop w:val="0"/>
      <w:marBottom w:val="0"/>
      <w:divBdr>
        <w:top w:val="none" w:sz="0" w:space="0" w:color="auto"/>
        <w:left w:val="none" w:sz="0" w:space="0" w:color="auto"/>
        <w:bottom w:val="none" w:sz="0" w:space="0" w:color="auto"/>
        <w:right w:val="none" w:sz="0" w:space="0" w:color="auto"/>
      </w:divBdr>
    </w:div>
    <w:div w:id="1832793658">
      <w:bodyDiv w:val="1"/>
      <w:marLeft w:val="0"/>
      <w:marRight w:val="0"/>
      <w:marTop w:val="0"/>
      <w:marBottom w:val="0"/>
      <w:divBdr>
        <w:top w:val="none" w:sz="0" w:space="0" w:color="auto"/>
        <w:left w:val="none" w:sz="0" w:space="0" w:color="auto"/>
        <w:bottom w:val="none" w:sz="0" w:space="0" w:color="auto"/>
        <w:right w:val="none" w:sz="0" w:space="0" w:color="auto"/>
      </w:divBdr>
    </w:div>
    <w:div w:id="1836608471">
      <w:bodyDiv w:val="1"/>
      <w:marLeft w:val="0"/>
      <w:marRight w:val="0"/>
      <w:marTop w:val="0"/>
      <w:marBottom w:val="0"/>
      <w:divBdr>
        <w:top w:val="none" w:sz="0" w:space="0" w:color="auto"/>
        <w:left w:val="none" w:sz="0" w:space="0" w:color="auto"/>
        <w:bottom w:val="none" w:sz="0" w:space="0" w:color="auto"/>
        <w:right w:val="none" w:sz="0" w:space="0" w:color="auto"/>
      </w:divBdr>
    </w:div>
    <w:div w:id="1843664638">
      <w:bodyDiv w:val="1"/>
      <w:marLeft w:val="0"/>
      <w:marRight w:val="0"/>
      <w:marTop w:val="0"/>
      <w:marBottom w:val="0"/>
      <w:divBdr>
        <w:top w:val="none" w:sz="0" w:space="0" w:color="auto"/>
        <w:left w:val="none" w:sz="0" w:space="0" w:color="auto"/>
        <w:bottom w:val="none" w:sz="0" w:space="0" w:color="auto"/>
        <w:right w:val="none" w:sz="0" w:space="0" w:color="auto"/>
      </w:divBdr>
    </w:div>
    <w:div w:id="1849514509">
      <w:bodyDiv w:val="1"/>
      <w:marLeft w:val="0"/>
      <w:marRight w:val="0"/>
      <w:marTop w:val="0"/>
      <w:marBottom w:val="0"/>
      <w:divBdr>
        <w:top w:val="none" w:sz="0" w:space="0" w:color="auto"/>
        <w:left w:val="none" w:sz="0" w:space="0" w:color="auto"/>
        <w:bottom w:val="none" w:sz="0" w:space="0" w:color="auto"/>
        <w:right w:val="none" w:sz="0" w:space="0" w:color="auto"/>
      </w:divBdr>
    </w:div>
    <w:div w:id="1868831489">
      <w:bodyDiv w:val="1"/>
      <w:marLeft w:val="0"/>
      <w:marRight w:val="0"/>
      <w:marTop w:val="0"/>
      <w:marBottom w:val="0"/>
      <w:divBdr>
        <w:top w:val="none" w:sz="0" w:space="0" w:color="auto"/>
        <w:left w:val="none" w:sz="0" w:space="0" w:color="auto"/>
        <w:bottom w:val="none" w:sz="0" w:space="0" w:color="auto"/>
        <w:right w:val="none" w:sz="0" w:space="0" w:color="auto"/>
      </w:divBdr>
    </w:div>
    <w:div w:id="1893809814">
      <w:bodyDiv w:val="1"/>
      <w:marLeft w:val="0"/>
      <w:marRight w:val="0"/>
      <w:marTop w:val="0"/>
      <w:marBottom w:val="0"/>
      <w:divBdr>
        <w:top w:val="none" w:sz="0" w:space="0" w:color="auto"/>
        <w:left w:val="none" w:sz="0" w:space="0" w:color="auto"/>
        <w:bottom w:val="none" w:sz="0" w:space="0" w:color="auto"/>
        <w:right w:val="none" w:sz="0" w:space="0" w:color="auto"/>
      </w:divBdr>
    </w:div>
    <w:div w:id="1902249817">
      <w:bodyDiv w:val="1"/>
      <w:marLeft w:val="0"/>
      <w:marRight w:val="0"/>
      <w:marTop w:val="0"/>
      <w:marBottom w:val="0"/>
      <w:divBdr>
        <w:top w:val="none" w:sz="0" w:space="0" w:color="auto"/>
        <w:left w:val="none" w:sz="0" w:space="0" w:color="auto"/>
        <w:bottom w:val="none" w:sz="0" w:space="0" w:color="auto"/>
        <w:right w:val="none" w:sz="0" w:space="0" w:color="auto"/>
      </w:divBdr>
    </w:div>
    <w:div w:id="1985773534">
      <w:bodyDiv w:val="1"/>
      <w:marLeft w:val="0"/>
      <w:marRight w:val="0"/>
      <w:marTop w:val="0"/>
      <w:marBottom w:val="0"/>
      <w:divBdr>
        <w:top w:val="none" w:sz="0" w:space="0" w:color="auto"/>
        <w:left w:val="none" w:sz="0" w:space="0" w:color="auto"/>
        <w:bottom w:val="none" w:sz="0" w:space="0" w:color="auto"/>
        <w:right w:val="none" w:sz="0" w:space="0" w:color="auto"/>
      </w:divBdr>
    </w:div>
    <w:div w:id="2012099688">
      <w:bodyDiv w:val="1"/>
      <w:marLeft w:val="0"/>
      <w:marRight w:val="0"/>
      <w:marTop w:val="0"/>
      <w:marBottom w:val="0"/>
      <w:divBdr>
        <w:top w:val="none" w:sz="0" w:space="0" w:color="auto"/>
        <w:left w:val="none" w:sz="0" w:space="0" w:color="auto"/>
        <w:bottom w:val="none" w:sz="0" w:space="0" w:color="auto"/>
        <w:right w:val="none" w:sz="0" w:space="0" w:color="auto"/>
      </w:divBdr>
    </w:div>
    <w:div w:id="2051757692">
      <w:bodyDiv w:val="1"/>
      <w:marLeft w:val="0"/>
      <w:marRight w:val="0"/>
      <w:marTop w:val="0"/>
      <w:marBottom w:val="0"/>
      <w:divBdr>
        <w:top w:val="none" w:sz="0" w:space="0" w:color="auto"/>
        <w:left w:val="none" w:sz="0" w:space="0" w:color="auto"/>
        <w:bottom w:val="none" w:sz="0" w:space="0" w:color="auto"/>
        <w:right w:val="none" w:sz="0" w:space="0" w:color="auto"/>
      </w:divBdr>
    </w:div>
    <w:div w:id="2085295804">
      <w:bodyDiv w:val="1"/>
      <w:marLeft w:val="0"/>
      <w:marRight w:val="0"/>
      <w:marTop w:val="0"/>
      <w:marBottom w:val="0"/>
      <w:divBdr>
        <w:top w:val="none" w:sz="0" w:space="0" w:color="auto"/>
        <w:left w:val="none" w:sz="0" w:space="0" w:color="auto"/>
        <w:bottom w:val="none" w:sz="0" w:space="0" w:color="auto"/>
        <w:right w:val="none" w:sz="0" w:space="0" w:color="auto"/>
      </w:divBdr>
    </w:div>
    <w:div w:id="21157881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A44293-7A54-4C3D-A2F5-8F9A0EFF72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2114</Words>
  <Characters>12469</Characters>
  <Application>Microsoft Office Word</Application>
  <DocSecurity>0</DocSecurity>
  <Lines>180</Lines>
  <Paragraphs>13</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14573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W</dc:creator>
  <cp:keywords/>
  <dc:description/>
  <cp:lastModifiedBy>Karin Wiederkehr</cp:lastModifiedBy>
  <cp:revision>3</cp:revision>
  <cp:lastPrinted>2025-10-07T14:00:00Z</cp:lastPrinted>
  <dcterms:created xsi:type="dcterms:W3CDTF">2025-10-10T10:34:00Z</dcterms:created>
  <dcterms:modified xsi:type="dcterms:W3CDTF">2025-11-06T14:33:00Z</dcterms:modified>
</cp:coreProperties>
</file>