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CDEC" w14:textId="3D792625" w:rsidR="00EC7C68" w:rsidRPr="00793B66" w:rsidRDefault="00691ABB" w:rsidP="00793B66">
      <w:pPr>
        <w:jc w:val="both"/>
        <w:rPr>
          <w:rFonts w:ascii="Times New Roman" w:hAnsi="Times New Roman" w:cs="Times New Roman"/>
          <w:sz w:val="24"/>
          <w:szCs w:val="24"/>
          <w:lang w:val="en-US"/>
        </w:rPr>
      </w:pPr>
      <w:r w:rsidRPr="00793B66">
        <w:rPr>
          <w:rFonts w:ascii="Times New Roman" w:eastAsia="Times New Roman" w:hAnsi="Times New Roman" w:cs="Times New Roman"/>
          <w:b/>
          <w:bCs/>
          <w:color w:val="002060"/>
          <w:sz w:val="24"/>
          <w:szCs w:val="24"/>
          <w:lang w:val="en-US"/>
        </w:rPr>
        <w:t xml:space="preserve"> </w:t>
      </w:r>
      <w:r w:rsidR="00BD5FAE" w:rsidRPr="00793B66">
        <w:rPr>
          <w:rFonts w:ascii="Times New Roman" w:eastAsia="Times New Roman" w:hAnsi="Times New Roman" w:cs="Times New Roman"/>
          <w:b/>
          <w:bCs/>
          <w:color w:val="002060"/>
          <w:sz w:val="24"/>
          <w:szCs w:val="24"/>
          <w:lang w:val="en-US"/>
        </w:rPr>
        <w:t>IMP Global Megatrend Umbrella Fund Commentary</w:t>
      </w:r>
    </w:p>
    <w:p w14:paraId="0EC19BA8" w14:textId="0C2AC7BF" w:rsidR="00A45B5A" w:rsidRPr="00CC457C" w:rsidRDefault="00A45B5A" w:rsidP="00A45B5A">
      <w:pPr>
        <w:jc w:val="both"/>
        <w:rPr>
          <w:rFonts w:ascii="Times New Roman" w:hAnsi="Times New Roman" w:cs="Times New Roman"/>
          <w:sz w:val="24"/>
          <w:szCs w:val="24"/>
          <w:lang w:val="en-US"/>
        </w:rPr>
      </w:pPr>
      <w:r w:rsidRPr="00CC457C">
        <w:rPr>
          <w:rFonts w:ascii="Times New Roman" w:hAnsi="Times New Roman" w:cs="Times New Roman"/>
          <w:sz w:val="24"/>
          <w:szCs w:val="24"/>
          <w:lang w:val="en-US"/>
        </w:rPr>
        <w:t xml:space="preserve">In July, equity markets continued to show resilience, maintaining their upward momentum despite several challenges beneath the surface. Both the S&amp;P 500 and Nasdaq Composite experienced notable gains, supported by growing confidence in the strength of the U.S. economy, technological advancements, and improving global economic conditions. Even cyclical stocks, which are often more sensitive to economic growth, outperformed their defensive counterparts, reinforcing the market’s broad-based strength. </w:t>
      </w:r>
      <w:r w:rsidR="00F72302" w:rsidRPr="00F72302">
        <w:rPr>
          <w:rFonts w:ascii="Times New Roman" w:hAnsi="Times New Roman" w:cs="Times New Roman"/>
          <w:sz w:val="24"/>
          <w:szCs w:val="24"/>
          <w:lang w:val="en-US"/>
        </w:rPr>
        <w:t>Speculative assets such as Bitcoin and meme stocks also surged, underscoring the persistent risk-on sentiment among retail investors. As risk appetite strengthened, cash holdings on the sidelines fell to their lowest levels in 25 years.</w:t>
      </w:r>
      <w:r w:rsidR="00F72302">
        <w:rPr>
          <w:rFonts w:ascii="Times New Roman" w:hAnsi="Times New Roman" w:cs="Times New Roman"/>
          <w:sz w:val="24"/>
          <w:szCs w:val="24"/>
          <w:lang w:val="en-US"/>
        </w:rPr>
        <w:t xml:space="preserve"> </w:t>
      </w:r>
      <w:r w:rsidRPr="00CC457C">
        <w:rPr>
          <w:rFonts w:ascii="Times New Roman" w:hAnsi="Times New Roman" w:cs="Times New Roman"/>
          <w:sz w:val="24"/>
          <w:szCs w:val="24"/>
          <w:lang w:val="en-US"/>
        </w:rPr>
        <w:t>Amid this constructive market environment, the IMP Global Megatrend Umbrella Fund sustained its upward trajectory, achieving a monthly return of 1.52% in July. This solid performance lifted the fund’s year-to-date return to 5.74% as of July 31, 2025, net of fees. The fund’s continued strength underscores the effectiveness of its strategic positioning, anchored in long-term structural trends and guided by a forward-looking investment philosophy. By navigating volatility with discipline and seizing opportunities across transformative global themes, the fund remains well-placed to deliver enduring value in an increasingly dynamic market landscape.</w:t>
      </w:r>
    </w:p>
    <w:p w14:paraId="347D3C9F" w14:textId="7E9370C1" w:rsidR="00A45B5A" w:rsidRPr="00F72302" w:rsidRDefault="00F72302" w:rsidP="00A45B5A">
      <w:pPr>
        <w:jc w:val="both"/>
        <w:rPr>
          <w:rFonts w:ascii="Times New Roman" w:hAnsi="Times New Roman" w:cs="Times New Roman"/>
          <w:sz w:val="24"/>
          <w:szCs w:val="24"/>
          <w:lang w:val="en-US"/>
        </w:rPr>
      </w:pPr>
      <w:r w:rsidRPr="00F72302">
        <w:rPr>
          <w:rFonts w:ascii="Times New Roman" w:hAnsi="Times New Roman" w:cs="Times New Roman"/>
          <w:sz w:val="24"/>
          <w:szCs w:val="24"/>
          <w:lang w:val="en-US"/>
        </w:rPr>
        <w:t>Beneath this surface-level optimism, however, the underlying composition of the rally reveals a more nuanced picture. While equity valuations remain elevated, sentiment continues to be buoyed by expectations of sustained economic growth. Nevertheless, caution is warranted, as the reintroduction of broad-based U.S. tariffs and persistent global trade tensions could weigh on investor confidence. Adding to the uncertainty are leadership changes at the Federal Reserve and the prospect of shifts in monetary policy.</w:t>
      </w:r>
      <w:r>
        <w:rPr>
          <w:rFonts w:ascii="Times New Roman" w:hAnsi="Times New Roman" w:cs="Times New Roman"/>
          <w:sz w:val="24"/>
          <w:szCs w:val="24"/>
          <w:lang w:val="en-US"/>
        </w:rPr>
        <w:t xml:space="preserve"> </w:t>
      </w:r>
      <w:r w:rsidR="00A45B5A" w:rsidRPr="00CC457C">
        <w:rPr>
          <w:rFonts w:ascii="Times New Roman" w:hAnsi="Times New Roman" w:cs="Times New Roman"/>
          <w:sz w:val="24"/>
          <w:szCs w:val="24"/>
          <w:lang w:val="en-US"/>
        </w:rPr>
        <w:t xml:space="preserve">Amid these challenges, major technology companies remain at the forefront of market performance, bolstered by substantial investments in artificial intelligence and cloud infrastructure. Global spending on AI is projected to increase by 67% in 2025, underscoring its role as a powerful engine of long-term structural growth. This wave of investment is driving innovation across industries, as AI becomes increasingly integrated into core enterprise functions. </w:t>
      </w:r>
      <w:r w:rsidRPr="00F72302">
        <w:rPr>
          <w:rFonts w:ascii="Times New Roman" w:hAnsi="Times New Roman" w:cs="Times New Roman"/>
          <w:sz w:val="24"/>
          <w:szCs w:val="24"/>
          <w:lang w:val="en-US"/>
        </w:rPr>
        <w:t xml:space="preserve">Accordingly, companies at the forefront of this transformation are </w:t>
      </w:r>
      <w:r w:rsidR="00812506">
        <w:rPr>
          <w:rFonts w:ascii="Times New Roman" w:hAnsi="Times New Roman" w:cs="Times New Roman"/>
          <w:sz w:val="24"/>
          <w:szCs w:val="24"/>
          <w:lang w:val="en-US"/>
        </w:rPr>
        <w:t>uniquely</w:t>
      </w:r>
      <w:r w:rsidRPr="00F72302">
        <w:rPr>
          <w:rFonts w:ascii="Times New Roman" w:hAnsi="Times New Roman" w:cs="Times New Roman"/>
          <w:sz w:val="24"/>
          <w:szCs w:val="24"/>
          <w:lang w:val="en-US"/>
        </w:rPr>
        <w:t xml:space="preserve"> positioned to secure durable competitive advantages, reinforcing their leadership as digitalization enters its next phase.</w:t>
      </w:r>
    </w:p>
    <w:p w14:paraId="668887F5" w14:textId="7B6B63D7" w:rsidR="001F4C58" w:rsidRPr="00812506" w:rsidRDefault="00B47608" w:rsidP="00A45B5A">
      <w:pPr>
        <w:jc w:val="both"/>
        <w:rPr>
          <w:rFonts w:ascii="Times New Roman" w:hAnsi="Times New Roman" w:cs="Times New Roman"/>
          <w:sz w:val="24"/>
          <w:szCs w:val="24"/>
          <w:lang w:val="en-US"/>
        </w:rPr>
      </w:pPr>
      <w:r w:rsidRPr="00B47608">
        <w:rPr>
          <w:rFonts w:ascii="Times New Roman" w:hAnsi="Times New Roman" w:cs="Times New Roman"/>
          <w:sz w:val="24"/>
          <w:szCs w:val="24"/>
          <w:lang w:val="en-US"/>
        </w:rPr>
        <w:t xml:space="preserve">In parallel, U.S. corporate earnings have continued to </w:t>
      </w:r>
      <w:r>
        <w:rPr>
          <w:rFonts w:ascii="Times New Roman" w:hAnsi="Times New Roman" w:cs="Times New Roman"/>
          <w:sz w:val="24"/>
          <w:szCs w:val="24"/>
          <w:lang w:val="en-US"/>
        </w:rPr>
        <w:t>demonstrate</w:t>
      </w:r>
      <w:r w:rsidRPr="00B47608">
        <w:rPr>
          <w:rFonts w:ascii="Times New Roman" w:hAnsi="Times New Roman" w:cs="Times New Roman"/>
          <w:sz w:val="24"/>
          <w:szCs w:val="24"/>
          <w:lang w:val="en-US"/>
        </w:rPr>
        <w:t xml:space="preserve"> resilience, even as new headwinds emerge. Second-quarter results indicate that strong performance, particularly among companies with exposure to artificial intelligence, is helping to offset broader macroeconomic pressures. Risk assets appear caught in a tug of war: on one side, solid earnings driven by AI; on the other, tariffs that threaten to restrain growth and rekindle inflationary pressures.</w:t>
      </w:r>
      <w:r w:rsidR="000F7499">
        <w:rPr>
          <w:rFonts w:ascii="Times New Roman" w:hAnsi="Times New Roman" w:cs="Times New Roman"/>
          <w:sz w:val="24"/>
          <w:szCs w:val="24"/>
          <w:lang w:val="en-US"/>
        </w:rPr>
        <w:t xml:space="preserve"> </w:t>
      </w:r>
      <w:r w:rsidR="000F7499" w:rsidRPr="000F7499">
        <w:rPr>
          <w:rFonts w:ascii="Times New Roman" w:hAnsi="Times New Roman" w:cs="Times New Roman"/>
          <w:sz w:val="24"/>
          <w:szCs w:val="24"/>
          <w:lang w:val="en-US"/>
        </w:rPr>
        <w:t xml:space="preserve">Early signs suggest that the costs of tariffs are being </w:t>
      </w:r>
      <w:r w:rsidR="000F7499" w:rsidRPr="00812506">
        <w:rPr>
          <w:rFonts w:ascii="Times New Roman" w:hAnsi="Times New Roman" w:cs="Times New Roman"/>
          <w:sz w:val="24"/>
          <w:szCs w:val="24"/>
          <w:lang w:val="en-US"/>
        </w:rPr>
        <w:t>shared between consumers and companies,</w:t>
      </w:r>
      <w:r w:rsidR="000F7499" w:rsidRPr="000F7499">
        <w:rPr>
          <w:rFonts w:ascii="Times New Roman" w:hAnsi="Times New Roman" w:cs="Times New Roman"/>
          <w:sz w:val="24"/>
          <w:szCs w:val="24"/>
          <w:lang w:val="en-US"/>
        </w:rPr>
        <w:t xml:space="preserve"> but the full impact remains uncertain. In our view, corporate strength, particularly within the technology sector, can help cushion the blow and reinforces our overweight positioning in both U.S. equities and the AI theme. That said, we remain granular in our analysis, carefully monitoring company-specific exposure to evolving trade dynamics.</w:t>
      </w:r>
      <w:r w:rsidR="000F7499">
        <w:rPr>
          <w:rFonts w:ascii="Times New Roman" w:hAnsi="Times New Roman" w:cs="Times New Roman"/>
          <w:sz w:val="24"/>
          <w:szCs w:val="24"/>
          <w:lang w:val="en-US"/>
        </w:rPr>
        <w:t xml:space="preserve"> </w:t>
      </w:r>
      <w:r w:rsidR="000F7499" w:rsidRPr="000F7499">
        <w:rPr>
          <w:rFonts w:ascii="Times New Roman" w:hAnsi="Times New Roman" w:cs="Times New Roman"/>
          <w:sz w:val="24"/>
          <w:szCs w:val="24"/>
          <w:lang w:val="en-US"/>
        </w:rPr>
        <w:t xml:space="preserve">This targeted approach continues to form our broader investment strategy. We maintain a pro-risk, overweight stance on U.S. equities, whilst simultaneously expanding our global weighting aligned with forces such as </w:t>
      </w:r>
      <w:r w:rsidR="000F7499" w:rsidRPr="00812506">
        <w:rPr>
          <w:rFonts w:ascii="Times New Roman" w:hAnsi="Times New Roman" w:cs="Times New Roman"/>
          <w:sz w:val="24"/>
          <w:szCs w:val="24"/>
          <w:lang w:val="en-GB"/>
        </w:rPr>
        <w:t xml:space="preserve">Technology/Technological Advancements, Changing Consumer </w:t>
      </w:r>
      <w:proofErr w:type="spellStart"/>
      <w:r w:rsidR="000F7499" w:rsidRPr="00812506">
        <w:rPr>
          <w:rFonts w:ascii="Times New Roman" w:hAnsi="Times New Roman" w:cs="Times New Roman"/>
          <w:sz w:val="24"/>
          <w:szCs w:val="24"/>
          <w:lang w:val="en-GB"/>
        </w:rPr>
        <w:lastRenderedPageBreak/>
        <w:t>Behavior</w:t>
      </w:r>
      <w:proofErr w:type="spellEnd"/>
      <w:r w:rsidR="000F7499" w:rsidRPr="00812506">
        <w:rPr>
          <w:rFonts w:ascii="Times New Roman" w:hAnsi="Times New Roman" w:cs="Times New Roman"/>
          <w:sz w:val="24"/>
          <w:szCs w:val="24"/>
          <w:lang w:val="en-GB"/>
        </w:rPr>
        <w:t xml:space="preserve">/Demographics, Healthcare/Longevity Revolution, </w:t>
      </w:r>
      <w:r w:rsidR="000F7499" w:rsidRPr="00812506">
        <w:rPr>
          <w:rFonts w:ascii="Times New Roman" w:hAnsi="Times New Roman" w:cs="Times New Roman"/>
          <w:sz w:val="24"/>
          <w:szCs w:val="24"/>
          <w:lang w:val="en-US"/>
        </w:rPr>
        <w:t>Shift in Economic Power, Mobility/Transportation, and Smart Infrastructure/Smart City.</w:t>
      </w:r>
      <w:r w:rsidR="003670AB" w:rsidRPr="00812506">
        <w:rPr>
          <w:rFonts w:ascii="Times New Roman" w:hAnsi="Times New Roman" w:cs="Times New Roman"/>
          <w:sz w:val="24"/>
          <w:szCs w:val="24"/>
          <w:lang w:val="en-US"/>
        </w:rPr>
        <w:t xml:space="preserve"> </w:t>
      </w:r>
      <w:r w:rsidR="001F4C58" w:rsidRPr="00812506">
        <w:rPr>
          <w:rFonts w:ascii="Times New Roman" w:hAnsi="Times New Roman" w:cs="Times New Roman"/>
          <w:sz w:val="24"/>
          <w:szCs w:val="24"/>
          <w:lang w:val="en-US"/>
        </w:rPr>
        <w:t xml:space="preserve">We believe U.S. market ‘exceptionalism’ remains intact, supported by sustained productivity growth across business sectors, particularly driven by advances in AI and automation. While adoption of these technologies currently stands at around 7%, their diffusion across industries is still in its early stages and </w:t>
      </w:r>
      <w:proofErr w:type="gramStart"/>
      <w:r w:rsidR="001F4C58" w:rsidRPr="00812506">
        <w:rPr>
          <w:rFonts w:ascii="Times New Roman" w:hAnsi="Times New Roman" w:cs="Times New Roman"/>
          <w:sz w:val="24"/>
          <w:szCs w:val="24"/>
          <w:lang w:val="en-US"/>
        </w:rPr>
        <w:t>accelerating</w:t>
      </w:r>
      <w:proofErr w:type="gramEnd"/>
      <w:r w:rsidR="001F4C58" w:rsidRPr="00812506">
        <w:rPr>
          <w:rFonts w:ascii="Times New Roman" w:hAnsi="Times New Roman" w:cs="Times New Roman"/>
          <w:sz w:val="24"/>
          <w:szCs w:val="24"/>
          <w:lang w:val="en-US"/>
        </w:rPr>
        <w:t xml:space="preserve"> steadily, offering a long runway for disruption and value creation. In addition, urbanization and demographic shifts continue to underpin demand in infrastructure, technology, healthcare and transformative energy management, areas that align closely with our thematic focus on smart infrastructure and longevity.</w:t>
      </w:r>
    </w:p>
    <w:p w14:paraId="2C28DC6A" w14:textId="717AB260" w:rsidR="00CC457C" w:rsidRPr="00812506" w:rsidRDefault="00C713D1" w:rsidP="00A45B5A">
      <w:pPr>
        <w:jc w:val="both"/>
        <w:rPr>
          <w:rFonts w:ascii="Times New Roman" w:hAnsi="Times New Roman" w:cs="Times New Roman"/>
          <w:sz w:val="24"/>
          <w:szCs w:val="24"/>
          <w:lang w:val="en-US"/>
        </w:rPr>
      </w:pPr>
      <w:r w:rsidRPr="00812506">
        <w:rPr>
          <w:rFonts w:ascii="Times New Roman" w:hAnsi="Times New Roman" w:cs="Times New Roman"/>
          <w:sz w:val="24"/>
          <w:szCs w:val="24"/>
          <w:lang w:val="en-US"/>
        </w:rPr>
        <w:t>In addition to these themes, our outlook on the U.S. dollar also shapes our broader market perspective. We weigh cyclical factors such as tariffs against structural considerations including valuations, fiscal policy, capital flows, and policy uncertainty, all of which point toward further dollar weakness. Mounting pressure on the Federal Reserve to cut rates may reinforce this trend. Although some short-term indicators suggest the potential for a modest rebound, we expect broader macroeconomic dynamics to drive continued dollar depreciation over the medium term. This has already been evident in the Swiss franc, where the USD/CHF has declined more than 11% year to date and remains near multi-year lows, underscoring the franc’s safe-haven appeal. In turn, the</w:t>
      </w:r>
      <w:r w:rsidR="00CC457C" w:rsidRPr="00812506">
        <w:rPr>
          <w:rFonts w:ascii="Times New Roman" w:hAnsi="Times New Roman" w:cs="Times New Roman"/>
          <w:sz w:val="24"/>
          <w:szCs w:val="24"/>
          <w:lang w:val="en-US"/>
        </w:rPr>
        <w:t xml:space="preserve"> weakening dollar environment could provide additional support to U.S. equities, particularly sectors with strong international exposure, thereby reinforcing our pro-risk stance.</w:t>
      </w:r>
    </w:p>
    <w:p w14:paraId="5A954D62" w14:textId="461EB170" w:rsidR="00776E61" w:rsidRPr="00812506" w:rsidRDefault="00776E61" w:rsidP="00A45B5A">
      <w:pPr>
        <w:jc w:val="both"/>
        <w:rPr>
          <w:rFonts w:ascii="Times New Roman" w:hAnsi="Times New Roman" w:cs="Times New Roman"/>
          <w:sz w:val="24"/>
          <w:szCs w:val="24"/>
          <w:lang w:val="en-US"/>
        </w:rPr>
      </w:pPr>
      <w:proofErr w:type="gramStart"/>
      <w:r w:rsidRPr="00812506">
        <w:rPr>
          <w:rFonts w:ascii="Times New Roman" w:hAnsi="Times New Roman" w:cs="Times New Roman"/>
          <w:sz w:val="24"/>
          <w:szCs w:val="24"/>
          <w:lang w:val="en-US"/>
        </w:rPr>
        <w:t>In light of</w:t>
      </w:r>
      <w:proofErr w:type="gramEnd"/>
      <w:r w:rsidRPr="00812506">
        <w:rPr>
          <w:rFonts w:ascii="Times New Roman" w:hAnsi="Times New Roman" w:cs="Times New Roman"/>
          <w:sz w:val="24"/>
          <w:szCs w:val="24"/>
          <w:lang w:val="en-US"/>
        </w:rPr>
        <w:t xml:space="preserve"> these developments, we adopted a proactive approach in July. We increased allocations to existing positions within the smart infrastructure theme and related sectors, while also initiating a new position in the healthcare and longevity space. At the same time, we selectively realized profits and exited holdings that had either delivered strong performance or no longer aligned with our strategic outlook. Within the smart infrastructure megatrend, we gradually added to positions in Prysmian S.p.A., Schneider Electric SE, Itron, Inc., and </w:t>
      </w:r>
      <w:proofErr w:type="spellStart"/>
      <w:r w:rsidRPr="00812506">
        <w:rPr>
          <w:rFonts w:ascii="Times New Roman" w:hAnsi="Times New Roman" w:cs="Times New Roman"/>
          <w:sz w:val="24"/>
          <w:szCs w:val="24"/>
          <w:lang w:val="en-US"/>
        </w:rPr>
        <w:t>Nebius</w:t>
      </w:r>
      <w:proofErr w:type="spellEnd"/>
      <w:r w:rsidRPr="00812506">
        <w:rPr>
          <w:rFonts w:ascii="Times New Roman" w:hAnsi="Times New Roman" w:cs="Times New Roman"/>
          <w:sz w:val="24"/>
          <w:szCs w:val="24"/>
          <w:lang w:val="en-US"/>
        </w:rPr>
        <w:t xml:space="preserve"> Group NV. These companies fit our investment philosophy, as they are well positioned to benefit from accelerating trends in electrification and digitalization, which are critical enablers of both the infrastructure backbone required for rapidly expanding AI capacity and ongoing urban development. The growing energy demands of AI, together with the global imperative for more intelligent, connected, and sustainable infrastructure, strengthen our conviction in this theme.</w:t>
      </w:r>
    </w:p>
    <w:p w14:paraId="2E59B9CD" w14:textId="24393180" w:rsidR="00A45B5A" w:rsidRPr="00F65E1F" w:rsidRDefault="00A45B5A" w:rsidP="00A45B5A">
      <w:pPr>
        <w:jc w:val="both"/>
        <w:rPr>
          <w:rFonts w:ascii="Times New Roman" w:hAnsi="Times New Roman" w:cs="Times New Roman"/>
          <w:sz w:val="24"/>
          <w:szCs w:val="24"/>
          <w:lang w:val="en-US"/>
        </w:rPr>
      </w:pPr>
      <w:r w:rsidRPr="00812506">
        <w:rPr>
          <w:rFonts w:ascii="Times New Roman" w:hAnsi="Times New Roman" w:cs="Times New Roman"/>
          <w:sz w:val="24"/>
          <w:szCs w:val="24"/>
          <w:lang w:val="en-US"/>
        </w:rPr>
        <w:t>Turning to healthcare and longevity, our newest position reflects both tactical opportunity and long-term conviction</w:t>
      </w:r>
      <w:r w:rsidR="00601E60" w:rsidRPr="00812506">
        <w:rPr>
          <w:rFonts w:ascii="Times New Roman" w:hAnsi="Times New Roman" w:cs="Times New Roman"/>
          <w:sz w:val="24"/>
          <w:szCs w:val="24"/>
          <w:lang w:val="en-US"/>
        </w:rPr>
        <w:t xml:space="preserve"> in this core megatrend</w:t>
      </w:r>
      <w:r w:rsidRPr="00812506">
        <w:rPr>
          <w:rFonts w:ascii="Times New Roman" w:hAnsi="Times New Roman" w:cs="Times New Roman"/>
          <w:sz w:val="24"/>
          <w:szCs w:val="24"/>
          <w:lang w:val="en-US"/>
        </w:rPr>
        <w:t xml:space="preserve">. We initiated a stake in Novo Nordisk A/S following a recent profit warning that triggered what we view as an overblown sell-off, creating a compelling entry point. </w:t>
      </w:r>
      <w:r w:rsidR="003670AB" w:rsidRPr="00812506">
        <w:rPr>
          <w:rFonts w:ascii="Times New Roman" w:hAnsi="Times New Roman" w:cs="Times New Roman"/>
          <w:sz w:val="24"/>
          <w:szCs w:val="24"/>
          <w:lang w:val="en-US"/>
        </w:rPr>
        <w:t xml:space="preserve">The market’s reaction, driven by short-term concerns around the company’s weight loss drugs, overlooks Novo Nordisk’s leadership in obesity and chronic disease treatments, areas we believe have the potential to become among the largest therapeutic markets in history. </w:t>
      </w:r>
      <w:r w:rsidRPr="00812506">
        <w:rPr>
          <w:rFonts w:ascii="Times New Roman" w:hAnsi="Times New Roman" w:cs="Times New Roman"/>
          <w:sz w:val="24"/>
          <w:szCs w:val="24"/>
          <w:lang w:val="en-US"/>
        </w:rPr>
        <w:t xml:space="preserve">Our investment thesis includes an upside scenario where the company delivers results at the top end of its current FY2025 guidance. </w:t>
      </w:r>
      <w:r w:rsidR="003670AB" w:rsidRPr="00812506">
        <w:rPr>
          <w:rFonts w:ascii="Times New Roman" w:hAnsi="Times New Roman" w:cs="Times New Roman"/>
          <w:sz w:val="24"/>
          <w:szCs w:val="24"/>
          <w:lang w:val="en-US"/>
        </w:rPr>
        <w:t>Additionally, with the incoming in-house CEO prioritizing operational efficiency and execution, we see further potential for margin improvement, value-accretive acquisitions, and sustained strategic momentum. In parallel, to manage portfolio risk, we also realized profits</w:t>
      </w:r>
      <w:r w:rsidR="003670AB" w:rsidRPr="003670AB">
        <w:rPr>
          <w:rFonts w:ascii="Times New Roman" w:hAnsi="Times New Roman" w:cs="Times New Roman"/>
          <w:sz w:val="24"/>
          <w:szCs w:val="24"/>
          <w:lang w:val="en-US"/>
        </w:rPr>
        <w:t xml:space="preserve"> on our position in NVIDIA Corp.</w:t>
      </w:r>
      <w:r w:rsidR="003670AB">
        <w:rPr>
          <w:rFonts w:ascii="Times New Roman" w:hAnsi="Times New Roman" w:cs="Times New Roman"/>
          <w:sz w:val="24"/>
          <w:szCs w:val="24"/>
          <w:lang w:val="en-US"/>
        </w:rPr>
        <w:t xml:space="preserve"> </w:t>
      </w:r>
      <w:r w:rsidR="00F65E1F" w:rsidRPr="00F65E1F">
        <w:rPr>
          <w:rFonts w:ascii="Times New Roman" w:hAnsi="Times New Roman" w:cs="Times New Roman"/>
          <w:sz w:val="24"/>
          <w:szCs w:val="24"/>
          <w:lang w:val="en-US"/>
        </w:rPr>
        <w:lastRenderedPageBreak/>
        <w:t>This decision was not due to diminished conviction in the company’s exceptional prospects but aimed at limiting overexposure following its continued stellar performance, as NVIDIA already constitutes the largest position in the portfoli</w:t>
      </w:r>
      <w:r w:rsidR="00F65E1F" w:rsidRPr="00474DBB">
        <w:rPr>
          <w:rFonts w:ascii="Times New Roman" w:hAnsi="Times New Roman" w:cs="Times New Roman"/>
          <w:sz w:val="24"/>
          <w:szCs w:val="24"/>
          <w:lang w:val="en-US"/>
        </w:rPr>
        <w:t>o.</w:t>
      </w:r>
      <w:r w:rsidR="00F65E1F" w:rsidRPr="00F65E1F">
        <w:rPr>
          <w:rFonts w:ascii="Times New Roman" w:hAnsi="Times New Roman" w:cs="Times New Roman"/>
          <w:sz w:val="24"/>
          <w:szCs w:val="24"/>
          <w:lang w:val="en-US"/>
        </w:rPr>
        <w:t xml:space="preserve"> Finally, we fully exited our position in MongoDB, Inc., following a continued pattern of underwhelming performance amid disappointing results.</w:t>
      </w:r>
      <w:r w:rsidR="0075580E">
        <w:rPr>
          <w:rFonts w:ascii="Times New Roman" w:hAnsi="Times New Roman" w:cs="Times New Roman"/>
          <w:sz w:val="24"/>
          <w:szCs w:val="24"/>
          <w:lang w:val="en-US"/>
        </w:rPr>
        <w:t xml:space="preserve">  </w:t>
      </w:r>
      <w:r w:rsidR="00965E2E">
        <w:rPr>
          <w:rFonts w:ascii="Times New Roman" w:hAnsi="Times New Roman" w:cs="Times New Roman"/>
          <w:sz w:val="24"/>
          <w:szCs w:val="24"/>
          <w:lang w:val="en-US"/>
        </w:rPr>
        <w:t xml:space="preserve"> </w:t>
      </w:r>
    </w:p>
    <w:p w14:paraId="66CD0524" w14:textId="063BFA00" w:rsidR="007605FE" w:rsidRPr="007605FE" w:rsidRDefault="007605FE" w:rsidP="00601E60">
      <w:pPr>
        <w:jc w:val="both"/>
        <w:rPr>
          <w:rFonts w:ascii="Times New Roman" w:hAnsi="Times New Roman" w:cs="Times New Roman"/>
          <w:sz w:val="24"/>
          <w:szCs w:val="24"/>
          <w:lang w:val="en-US"/>
        </w:rPr>
      </w:pPr>
      <w:r w:rsidRPr="007605FE">
        <w:rPr>
          <w:rFonts w:ascii="Times New Roman" w:hAnsi="Times New Roman" w:cs="Times New Roman"/>
          <w:sz w:val="24"/>
          <w:szCs w:val="24"/>
          <w:lang w:val="en-US"/>
        </w:rPr>
        <w:t xml:space="preserve">Looking ahead, we remain constructive on the outlook for equities, particularly those aligned with our megatrend-based investment approach. With interest rate cuts potentially beginning as early as September, markets may gain an incremental tailwind. At the same time, we expect volatility to remain a defining feature of the investment landscape as investors navigate shifting macroeconomic signals, geopolitical uncertainty, and evolving structural dynamics. We believe the market is entering a new phase, shaped by the interplay of cyclical forces, long-term secular trends, and accelerating innovation. </w:t>
      </w:r>
      <w:r w:rsidR="007F4860" w:rsidRPr="007F4860">
        <w:rPr>
          <w:rFonts w:ascii="Times New Roman" w:hAnsi="Times New Roman" w:cs="Times New Roman"/>
          <w:sz w:val="24"/>
          <w:szCs w:val="24"/>
          <w:lang w:val="en-US"/>
        </w:rPr>
        <w:t>In this environment, selective positioning and forward-looking risk management are critical to delivering consistent alpha. As we approach the final months of 2025, we remain committed to navigating uncertainties with rigor while capturing opportunities across transformative global themes.</w:t>
      </w:r>
      <w:r w:rsidR="007F4860">
        <w:rPr>
          <w:rFonts w:ascii="Times New Roman" w:hAnsi="Times New Roman" w:cs="Times New Roman"/>
          <w:sz w:val="24"/>
          <w:szCs w:val="24"/>
          <w:lang w:val="en-US"/>
        </w:rPr>
        <w:t xml:space="preserve"> </w:t>
      </w:r>
      <w:r w:rsidRPr="007605FE">
        <w:rPr>
          <w:rFonts w:ascii="Times New Roman" w:hAnsi="Times New Roman" w:cs="Times New Roman"/>
          <w:sz w:val="24"/>
          <w:szCs w:val="24"/>
          <w:lang w:val="en-US"/>
        </w:rPr>
        <w:t>The IMP Global Megatrend Umbrella Fund is strategically positioned to benefit from the long-duration growth potential embedded in our identified megatrends. By maintaining a focused thematic lens, underpinned by deep research and long-term conviction, we are confident in our ability to deliver sustainable, risk-adjusted returns for our investors across market cycles and through periods of disruption and change.</w:t>
      </w:r>
    </w:p>
    <w:p w14:paraId="62B44303" w14:textId="46358AC3" w:rsidR="009935AD" w:rsidRDefault="003B157E"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 xml:space="preserve">Thank you for your continued trust and support. </w:t>
      </w:r>
    </w:p>
    <w:p w14:paraId="098320F4" w14:textId="5D500A9E" w:rsidR="006F06BC" w:rsidRPr="00793B66" w:rsidRDefault="00CC7490"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Stefan Wiederkehr &amp; Karin Wiederkehr</w:t>
      </w:r>
    </w:p>
    <w:p w14:paraId="0A239243" w14:textId="77777777" w:rsidR="00D517FB" w:rsidRPr="00793B66" w:rsidRDefault="00D517FB" w:rsidP="00793B66">
      <w:pPr>
        <w:jc w:val="both"/>
        <w:rPr>
          <w:rFonts w:ascii="Times New Roman" w:hAnsi="Times New Roman" w:cs="Times New Roman"/>
          <w:sz w:val="24"/>
          <w:szCs w:val="24"/>
          <w:lang w:val="en-US"/>
        </w:rPr>
      </w:pPr>
    </w:p>
    <w:p w14:paraId="78799700" w14:textId="77777777" w:rsidR="00D517FB" w:rsidRPr="00793B66" w:rsidRDefault="00D517FB" w:rsidP="00793B66">
      <w:pPr>
        <w:jc w:val="both"/>
        <w:rPr>
          <w:rFonts w:ascii="Times New Roman" w:hAnsi="Times New Roman" w:cs="Times New Roman"/>
          <w:sz w:val="24"/>
          <w:szCs w:val="24"/>
          <w:lang w:val="en-US"/>
        </w:rPr>
      </w:pPr>
    </w:p>
    <w:p w14:paraId="61950D80" w14:textId="77777777" w:rsidR="00D517FB" w:rsidRPr="00793B66" w:rsidRDefault="00D517FB" w:rsidP="00793B66">
      <w:pPr>
        <w:jc w:val="both"/>
        <w:rPr>
          <w:rFonts w:ascii="Times New Roman" w:hAnsi="Times New Roman" w:cs="Times New Roman"/>
          <w:sz w:val="24"/>
          <w:szCs w:val="24"/>
          <w:lang w:val="en-US"/>
        </w:rPr>
      </w:pPr>
    </w:p>
    <w:p w14:paraId="16025073" w14:textId="77777777" w:rsidR="00D517FB" w:rsidRPr="00793B66" w:rsidRDefault="00D517FB" w:rsidP="00793B66">
      <w:pPr>
        <w:jc w:val="both"/>
        <w:rPr>
          <w:rFonts w:ascii="Times New Roman" w:hAnsi="Times New Roman" w:cs="Times New Roman"/>
          <w:sz w:val="24"/>
          <w:szCs w:val="24"/>
          <w:lang w:val="en-US"/>
        </w:rPr>
      </w:pPr>
    </w:p>
    <w:p w14:paraId="12C178C1" w14:textId="77777777" w:rsidR="00D517FB" w:rsidRDefault="00D517FB" w:rsidP="00793B66">
      <w:pPr>
        <w:jc w:val="both"/>
        <w:rPr>
          <w:rFonts w:ascii="Times New Roman" w:hAnsi="Times New Roman" w:cs="Times New Roman"/>
          <w:sz w:val="24"/>
          <w:szCs w:val="24"/>
          <w:lang w:val="en-US"/>
        </w:rPr>
      </w:pPr>
    </w:p>
    <w:p w14:paraId="273F0A84" w14:textId="77777777" w:rsidR="00B716EC" w:rsidRPr="00793B66" w:rsidRDefault="00B716EC" w:rsidP="00793B66">
      <w:pPr>
        <w:jc w:val="both"/>
        <w:rPr>
          <w:rFonts w:ascii="Times New Roman" w:hAnsi="Times New Roman" w:cs="Times New Roman"/>
          <w:sz w:val="24"/>
          <w:szCs w:val="24"/>
          <w:lang w:val="en-US"/>
        </w:rPr>
      </w:pPr>
    </w:p>
    <w:p w14:paraId="406C55BB" w14:textId="77777777" w:rsidR="00D517FB" w:rsidRPr="00793B66" w:rsidRDefault="00D517FB" w:rsidP="00793B66">
      <w:pPr>
        <w:jc w:val="both"/>
        <w:rPr>
          <w:rFonts w:ascii="Times New Roman" w:hAnsi="Times New Roman" w:cs="Times New Roman"/>
          <w:sz w:val="24"/>
          <w:szCs w:val="24"/>
          <w:lang w:val="en-US"/>
        </w:rPr>
      </w:pPr>
    </w:p>
    <w:p w14:paraId="0634EEDD" w14:textId="77777777" w:rsidR="00D517FB" w:rsidRPr="00793B66" w:rsidRDefault="00D517FB" w:rsidP="00793B66">
      <w:pPr>
        <w:jc w:val="both"/>
        <w:rPr>
          <w:rFonts w:ascii="Times New Roman" w:hAnsi="Times New Roman" w:cs="Times New Roman"/>
          <w:sz w:val="24"/>
          <w:szCs w:val="24"/>
          <w:lang w:val="en-US"/>
        </w:rPr>
      </w:pPr>
    </w:p>
    <w:p w14:paraId="4B9E6695" w14:textId="77777777" w:rsidR="00D517FB" w:rsidRDefault="00D517FB" w:rsidP="00793B66">
      <w:pPr>
        <w:jc w:val="both"/>
        <w:rPr>
          <w:rFonts w:ascii="Times New Roman" w:hAnsi="Times New Roman" w:cs="Times New Roman"/>
          <w:sz w:val="24"/>
          <w:szCs w:val="24"/>
          <w:lang w:val="en-US"/>
        </w:rPr>
      </w:pPr>
    </w:p>
    <w:p w14:paraId="49637F05" w14:textId="77777777" w:rsidR="00530A36" w:rsidRDefault="00530A36" w:rsidP="00793B66">
      <w:pPr>
        <w:jc w:val="both"/>
        <w:rPr>
          <w:rFonts w:ascii="Times New Roman" w:hAnsi="Times New Roman" w:cs="Times New Roman"/>
          <w:sz w:val="24"/>
          <w:szCs w:val="24"/>
          <w:lang w:val="en-US"/>
        </w:rPr>
      </w:pPr>
    </w:p>
    <w:p w14:paraId="184E631B" w14:textId="77777777" w:rsidR="00FC1F04" w:rsidRDefault="00FC1F04" w:rsidP="00793B66">
      <w:pPr>
        <w:jc w:val="both"/>
        <w:rPr>
          <w:rFonts w:ascii="Times New Roman" w:hAnsi="Times New Roman" w:cs="Times New Roman"/>
          <w:sz w:val="24"/>
          <w:szCs w:val="24"/>
          <w:lang w:val="en-US"/>
        </w:rPr>
      </w:pPr>
    </w:p>
    <w:p w14:paraId="4206B3B4" w14:textId="77777777" w:rsidR="00FC1F04" w:rsidRDefault="00FC1F04" w:rsidP="00793B66">
      <w:pPr>
        <w:jc w:val="both"/>
        <w:rPr>
          <w:rFonts w:ascii="Times New Roman" w:hAnsi="Times New Roman" w:cs="Times New Roman"/>
          <w:sz w:val="24"/>
          <w:szCs w:val="24"/>
          <w:lang w:val="en-US"/>
        </w:rPr>
      </w:pPr>
    </w:p>
    <w:p w14:paraId="302D18E2" w14:textId="77777777" w:rsidR="00D517FB" w:rsidRPr="00793B66" w:rsidRDefault="00D517FB" w:rsidP="00793B66">
      <w:pPr>
        <w:jc w:val="both"/>
        <w:rPr>
          <w:rFonts w:ascii="Times New Roman" w:hAnsi="Times New Roman" w:cs="Times New Roman"/>
          <w:sz w:val="24"/>
          <w:szCs w:val="24"/>
          <w:lang w:val="en-US"/>
        </w:rPr>
      </w:pPr>
    </w:p>
    <w:p w14:paraId="6ADA7694" w14:textId="4521CE28" w:rsidR="00CA5B9D" w:rsidRPr="00793B66" w:rsidRDefault="00CA5B9D"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lastRenderedPageBreak/>
        <w:t xml:space="preserve">This document is a marketing advertisement and has been prepared by MRB Fund Partners AG for information and marketing purposes only. All </w:t>
      </w:r>
      <w:proofErr w:type="gramStart"/>
      <w:r w:rsidRPr="00793B66">
        <w:rPr>
          <w:rFonts w:ascii="Times New Roman" w:hAnsi="Times New Roman" w:cs="Times New Roman"/>
          <w:sz w:val="24"/>
          <w:szCs w:val="24"/>
          <w:lang w:val="en-US"/>
        </w:rPr>
        <w:t>information</w:t>
      </w:r>
      <w:proofErr w:type="gramEnd"/>
      <w:r w:rsidRPr="00793B66">
        <w:rPr>
          <w:rFonts w:ascii="Times New Roman" w:hAnsi="Times New Roman" w:cs="Times New Roman"/>
          <w:sz w:val="24"/>
          <w:szCs w:val="24"/>
          <w:lang w:val="en-US"/>
        </w:rPr>
        <w:t xml:space="preserve"> and contents of this fund commentary are based on carefully selected sources that have been deemed reliable. Nevertheless, despite careful compilation of the information and content, MRB Fund Partners AG cannot assume any liability or guarantee for its correctness, completeness, accuracy, timeliness or availability. Furthermore, this fund commentary has neither been reviewed nor approved by a supervisory authority. The information and content legally constitute advertising messages that do not fulfil all legal requirements. This fund commentary is aimed at retail clients within the meaning of the European Financial Markets Directive and presents this investment opportunity as an entrepreneurial investment which, in addition to opportunities for returns, also involves risks up to and including the total loss of the invested capital. An investment decision may only be made </w:t>
      </w:r>
      <w:proofErr w:type="gramStart"/>
      <w:r w:rsidRPr="00793B66">
        <w:rPr>
          <w:rFonts w:ascii="Times New Roman" w:hAnsi="Times New Roman" w:cs="Times New Roman"/>
          <w:sz w:val="24"/>
          <w:szCs w:val="24"/>
          <w:lang w:val="en-US"/>
        </w:rPr>
        <w:t>on the basis of</w:t>
      </w:r>
      <w:proofErr w:type="gramEnd"/>
      <w:r w:rsidRPr="00793B66">
        <w:rPr>
          <w:rFonts w:ascii="Times New Roman" w:hAnsi="Times New Roman" w:cs="Times New Roman"/>
          <w:sz w:val="24"/>
          <w:szCs w:val="24"/>
          <w:lang w:val="en-US"/>
        </w:rPr>
        <w:t xml:space="preserve"> the information provided to investors as required by law. Please read the constituent documents, the prospectus and the key information documents before making a final investment decision. This fund commentary must be read in conjunction with the constituent documents or the prospectus and the key information documents for packaged investment products and insurance-based investment products (PRIIPs), if available under the relevant fund law, as these documents alone are authoritative. It is therefore necessary to read these documents carefully and in full before purchasing units </w:t>
      </w:r>
      <w:proofErr w:type="gramStart"/>
      <w:r w:rsidRPr="00793B66">
        <w:rPr>
          <w:rFonts w:ascii="Times New Roman" w:hAnsi="Times New Roman" w:cs="Times New Roman"/>
          <w:sz w:val="24"/>
          <w:szCs w:val="24"/>
          <w:lang w:val="en-US"/>
        </w:rPr>
        <w:t>in</w:t>
      </w:r>
      <w:proofErr w:type="gramEnd"/>
      <w:r w:rsidRPr="00793B66">
        <w:rPr>
          <w:rFonts w:ascii="Times New Roman" w:hAnsi="Times New Roman" w:cs="Times New Roman"/>
          <w:sz w:val="24"/>
          <w:szCs w:val="24"/>
          <w:lang w:val="en-US"/>
        </w:rPr>
        <w:t xml:space="preserve"> this fund. A subscription for units will only be accepted </w:t>
      </w:r>
      <w:proofErr w:type="gramStart"/>
      <w:r w:rsidRPr="00793B66">
        <w:rPr>
          <w:rFonts w:ascii="Times New Roman" w:hAnsi="Times New Roman" w:cs="Times New Roman"/>
          <w:sz w:val="24"/>
          <w:szCs w:val="24"/>
          <w:lang w:val="en-US"/>
        </w:rPr>
        <w:t>on the basis of</w:t>
      </w:r>
      <w:proofErr w:type="gramEnd"/>
      <w:r w:rsidRPr="00793B66">
        <w:rPr>
          <w:rFonts w:ascii="Times New Roman" w:hAnsi="Times New Roman" w:cs="Times New Roman"/>
          <w:sz w:val="24"/>
          <w:szCs w:val="24"/>
          <w:lang w:val="en-US"/>
        </w:rPr>
        <w:t xml:space="preserve"> the constituent documents, the prospectus and the key information documents for packaged investment products and insurance-based investment products (PRIIPs). No one should act </w:t>
      </w:r>
      <w:proofErr w:type="gramStart"/>
      <w:r w:rsidRPr="00793B66">
        <w:rPr>
          <w:rFonts w:ascii="Times New Roman" w:hAnsi="Times New Roman" w:cs="Times New Roman"/>
          <w:sz w:val="24"/>
          <w:szCs w:val="24"/>
          <w:lang w:val="en-US"/>
        </w:rPr>
        <w:t>on the basis of</w:t>
      </w:r>
      <w:proofErr w:type="gramEnd"/>
      <w:r w:rsidRPr="00793B66">
        <w:rPr>
          <w:rFonts w:ascii="Times New Roman" w:hAnsi="Times New Roman" w:cs="Times New Roman"/>
          <w:sz w:val="24"/>
          <w:szCs w:val="24"/>
          <w:lang w:val="en-US"/>
        </w:rPr>
        <w:t xml:space="preserve"> the information contained in this fund commentary without thoroughly analyzing the situation in question and obtaining appropriate professional advice from competent third parties. If available under the relevant fund law, the constitutive documents, the prospectus and the key information documents for packaged investment products and insurance-based investment products (PRIIPs) as well as the current annual and semi-annual reports can be obtained free of charge from the management company, the depositary and all authorized distributors in Switzerland and abroad. The information in this fund commentary is for information purposes only and does not contain any contractual or other obligations. It should not be construed as an offer or an advertisement soliciting the purchase of shares in this fund. Furthermore, this fund commentary does not constitute investment advice. The information and contents of this fund commentary may also be unsuitable or inapplicable for certain investors. It is intended solely for the purpose of providing information on your own responsibility and cannot replace individual advice. This fund commentary does not </w:t>
      </w:r>
      <w:proofErr w:type="gramStart"/>
      <w:r w:rsidRPr="00793B66">
        <w:rPr>
          <w:rFonts w:ascii="Times New Roman" w:hAnsi="Times New Roman" w:cs="Times New Roman"/>
          <w:sz w:val="24"/>
          <w:szCs w:val="24"/>
          <w:lang w:val="en-US"/>
        </w:rPr>
        <w:t>take into account</w:t>
      </w:r>
      <w:proofErr w:type="gramEnd"/>
      <w:r w:rsidRPr="00793B66">
        <w:rPr>
          <w:rFonts w:ascii="Times New Roman" w:hAnsi="Times New Roman" w:cs="Times New Roman"/>
          <w:sz w:val="24"/>
          <w:szCs w:val="24"/>
          <w:lang w:val="en-US"/>
        </w:rPr>
        <w:t xml:space="preserve"> specific or future investment objectives, financial or tax circumstances or other special needs of an investor. The value and income of the fund described in this fund commentary may go down as well as up. It is possible that an investor may not get back the amount originally invested or may not get it back in full. Past performance is not a reliable indicator of future results and the performance shown does not </w:t>
      </w:r>
      <w:proofErr w:type="gramStart"/>
      <w:r w:rsidRPr="00793B66">
        <w:rPr>
          <w:rFonts w:ascii="Times New Roman" w:hAnsi="Times New Roman" w:cs="Times New Roman"/>
          <w:sz w:val="24"/>
          <w:szCs w:val="24"/>
          <w:lang w:val="en-US"/>
        </w:rPr>
        <w:t>take into account</w:t>
      </w:r>
      <w:proofErr w:type="gramEnd"/>
      <w:r w:rsidRPr="00793B66">
        <w:rPr>
          <w:rFonts w:ascii="Times New Roman" w:hAnsi="Times New Roman" w:cs="Times New Roman"/>
          <w:sz w:val="24"/>
          <w:szCs w:val="24"/>
          <w:lang w:val="en-US"/>
        </w:rPr>
        <w:t xml:space="preserve"> the commissions and costs incurred on the subscription and redemption of fund units. Furthermore, the fund currency is subject to exchange rate fluctuations if the reference currency of a unit class is not the same as the fund currency. This fund commentary may contain forward-looking statements, in particular statements about future market developments. Future performance is neither expressly nor implicitly guaranteed or promised. Although all forward-looking statements contained in this fund commentary are </w:t>
      </w:r>
      <w:r w:rsidRPr="00793B66">
        <w:rPr>
          <w:rFonts w:ascii="Times New Roman" w:hAnsi="Times New Roman" w:cs="Times New Roman"/>
          <w:sz w:val="24"/>
          <w:szCs w:val="24"/>
          <w:lang w:val="en-US"/>
        </w:rPr>
        <w:lastRenderedPageBreak/>
        <w:t>based on our carefully reasoned judgements and expectations, uncertainties and various risk factors could cause actual developments and results to differ materially from our statements. Further information on public distribution in the individual countries can be found in the constituent documents, the prospectus and the key information documents for packaged investment products and insurance-based investment products (PRIIPs), if available under the respective fund law. Due to different authorization procedures, no guarantee can be given that the fund or any of its sub-funds are or will be authorized for distribution in every country at the same time. In countries in which the fund is not authorized for public distribution, it can only be distributed - in accordance with local regulations - as a "private placement" or to institutional investors. Fund units are not offered for sale in countries in which such a sale is not permitted by law. This fund is not registered under the United States Securities Act of 1933. Fund units may therefore not be offered or distributed in the USA for or on behalf of a US person (in accordance with the definitions in US federal laws relating to securities, commodities and taxes, including "Regulation S" under the United States Securities Act of 1993). Subsequent transfers of fund units to the United States and/or to US persons are not permitted. Any documents relating to this fund may not be circulated in the United States.</w:t>
      </w:r>
    </w:p>
    <w:p w14:paraId="4436EFB9" w14:textId="0F5AF4B8" w:rsidR="001A4FF7" w:rsidRPr="00793B66" w:rsidRDefault="00CA5B9D" w:rsidP="00793B66">
      <w:pPr>
        <w:jc w:val="both"/>
        <w:rPr>
          <w:rFonts w:ascii="Times New Roman" w:hAnsi="Times New Roman" w:cs="Times New Roman"/>
          <w:sz w:val="24"/>
          <w:szCs w:val="24"/>
          <w:lang w:val="en-US"/>
        </w:rPr>
      </w:pPr>
      <w:proofErr w:type="gramStart"/>
      <w:r w:rsidRPr="00793B66">
        <w:rPr>
          <w:rFonts w:ascii="Times New Roman" w:hAnsi="Times New Roman" w:cs="Times New Roman"/>
          <w:sz w:val="24"/>
          <w:szCs w:val="24"/>
          <w:lang w:val="en-US"/>
        </w:rPr>
        <w:t>@MRB</w:t>
      </w:r>
      <w:proofErr w:type="gramEnd"/>
      <w:r w:rsidRPr="00793B66">
        <w:rPr>
          <w:rFonts w:ascii="Times New Roman" w:hAnsi="Times New Roman" w:cs="Times New Roman"/>
          <w:sz w:val="24"/>
          <w:szCs w:val="24"/>
          <w:lang w:val="en-US"/>
        </w:rPr>
        <w:t xml:space="preserve"> FUND PARTNERS AG. All rights reserved.</w:t>
      </w:r>
    </w:p>
    <w:sectPr w:rsidR="001A4FF7" w:rsidRPr="00793B66" w:rsidSect="00085731">
      <w:headerReference w:type="default" r:id="rId8"/>
      <w:foot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ADFA" w14:textId="77777777" w:rsidR="00514329" w:rsidRDefault="00514329" w:rsidP="00EE0533">
      <w:pPr>
        <w:spacing w:after="0" w:line="240" w:lineRule="auto"/>
      </w:pPr>
      <w:r>
        <w:separator/>
      </w:r>
    </w:p>
  </w:endnote>
  <w:endnote w:type="continuationSeparator" w:id="0">
    <w:p w14:paraId="58286E97" w14:textId="77777777" w:rsidR="00514329" w:rsidRDefault="00514329" w:rsidP="00EE0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080747"/>
      <w:docPartObj>
        <w:docPartGallery w:val="Page Numbers (Bottom of Page)"/>
        <w:docPartUnique/>
      </w:docPartObj>
    </w:sdtPr>
    <w:sdtEndPr>
      <w:rPr>
        <w:rFonts w:ascii="Times New Roman" w:hAnsi="Times New Roman" w:cs="Times New Roman"/>
      </w:rPr>
    </w:sdtEndPr>
    <w:sdtContent>
      <w:p w14:paraId="50E7A5C0" w14:textId="4FD23CE5" w:rsidR="00085731" w:rsidRPr="00085731" w:rsidRDefault="00085731">
        <w:pPr>
          <w:pStyle w:val="Fuzeile"/>
          <w:jc w:val="right"/>
          <w:rPr>
            <w:rFonts w:ascii="Times New Roman" w:hAnsi="Times New Roman" w:cs="Times New Roman"/>
          </w:rPr>
        </w:pPr>
        <w:r w:rsidRPr="00085731">
          <w:rPr>
            <w:rFonts w:ascii="Times New Roman" w:hAnsi="Times New Roman" w:cs="Times New Roman"/>
          </w:rPr>
          <w:fldChar w:fldCharType="begin"/>
        </w:r>
        <w:r w:rsidRPr="00085731">
          <w:rPr>
            <w:rFonts w:ascii="Times New Roman" w:hAnsi="Times New Roman" w:cs="Times New Roman"/>
          </w:rPr>
          <w:instrText>PAGE   \* MERGEFORMAT</w:instrText>
        </w:r>
        <w:r w:rsidRPr="00085731">
          <w:rPr>
            <w:rFonts w:ascii="Times New Roman" w:hAnsi="Times New Roman" w:cs="Times New Roman"/>
          </w:rPr>
          <w:fldChar w:fldCharType="separate"/>
        </w:r>
        <w:r w:rsidRPr="00085731">
          <w:rPr>
            <w:rFonts w:ascii="Times New Roman" w:hAnsi="Times New Roman" w:cs="Times New Roman"/>
            <w:lang w:val="de-DE"/>
          </w:rPr>
          <w:t>2</w:t>
        </w:r>
        <w:r w:rsidRPr="00085731">
          <w:rPr>
            <w:rFonts w:ascii="Times New Roman" w:hAnsi="Times New Roman" w:cs="Times New Roman"/>
          </w:rPr>
          <w:fldChar w:fldCharType="end"/>
        </w:r>
      </w:p>
    </w:sdtContent>
  </w:sdt>
  <w:p w14:paraId="0C75DA16" w14:textId="77777777" w:rsidR="00EE0533" w:rsidRDefault="00EE053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BAC60" w14:textId="77777777" w:rsidR="00514329" w:rsidRDefault="00514329" w:rsidP="00EE0533">
      <w:pPr>
        <w:spacing w:after="0" w:line="240" w:lineRule="auto"/>
      </w:pPr>
      <w:r>
        <w:separator/>
      </w:r>
    </w:p>
  </w:footnote>
  <w:footnote w:type="continuationSeparator" w:id="0">
    <w:p w14:paraId="4E7CECB6" w14:textId="77777777" w:rsidR="00514329" w:rsidRDefault="00514329" w:rsidP="00EE0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4317" w14:textId="2E189F69" w:rsidR="00EE0533" w:rsidRPr="00B5274F" w:rsidRDefault="00EE0533" w:rsidP="00EE0533">
    <w:pPr>
      <w:spacing w:after="0"/>
      <w:jc w:val="center"/>
      <w:rPr>
        <w:rFonts w:ascii="Times New Roman" w:hAnsi="Times New Roman" w:cs="Times New Roman"/>
        <w:sz w:val="20"/>
        <w:szCs w:val="20"/>
        <w:lang w:val="en-US"/>
      </w:rPr>
    </w:pPr>
    <w:r w:rsidRPr="00B5274F">
      <w:rPr>
        <w:rFonts w:ascii="Times New Roman" w:hAnsi="Times New Roman" w:cs="Times New Roman"/>
        <w:sz w:val="20"/>
        <w:szCs w:val="20"/>
        <w:lang w:val="en-US"/>
      </w:rPr>
      <w:t xml:space="preserve">Data as of </w:t>
    </w:r>
    <w:r w:rsidR="00927094">
      <w:rPr>
        <w:rFonts w:ascii="Times New Roman" w:hAnsi="Times New Roman" w:cs="Times New Roman"/>
        <w:sz w:val="20"/>
        <w:szCs w:val="20"/>
        <w:lang w:val="en-US"/>
      </w:rPr>
      <w:t>3</w:t>
    </w:r>
    <w:r w:rsidR="00410420">
      <w:rPr>
        <w:rFonts w:ascii="Times New Roman" w:hAnsi="Times New Roman" w:cs="Times New Roman"/>
        <w:sz w:val="20"/>
        <w:szCs w:val="20"/>
        <w:lang w:val="en-US"/>
      </w:rPr>
      <w:t>1</w:t>
    </w:r>
    <w:r w:rsidR="00927094">
      <w:rPr>
        <w:rFonts w:ascii="Times New Roman" w:hAnsi="Times New Roman" w:cs="Times New Roman"/>
        <w:sz w:val="20"/>
        <w:szCs w:val="20"/>
        <w:lang w:val="en-US"/>
      </w:rPr>
      <w:t>.0</w:t>
    </w:r>
    <w:r w:rsidR="00410420">
      <w:rPr>
        <w:rFonts w:ascii="Times New Roman" w:hAnsi="Times New Roman" w:cs="Times New Roman"/>
        <w:sz w:val="20"/>
        <w:szCs w:val="20"/>
        <w:lang w:val="en-US"/>
      </w:rPr>
      <w:t>7</w:t>
    </w:r>
    <w:r w:rsidRPr="00B5274F">
      <w:rPr>
        <w:rFonts w:ascii="Times New Roman" w:hAnsi="Times New Roman" w:cs="Times New Roman"/>
        <w:sz w:val="20"/>
        <w:szCs w:val="20"/>
        <w:lang w:val="en-US"/>
      </w:rPr>
      <w:t>.2025 - Marketing Communication</w:t>
    </w:r>
  </w:p>
  <w:p w14:paraId="189CB0FC" w14:textId="77777777" w:rsidR="00EE0533" w:rsidRPr="00B5274F" w:rsidRDefault="00EE0533" w:rsidP="00EE0533">
    <w:pPr>
      <w:spacing w:after="0"/>
      <w:jc w:val="center"/>
      <w:rPr>
        <w:rFonts w:ascii="Times New Roman" w:hAnsi="Times New Roman" w:cs="Times New Roman"/>
        <w:sz w:val="20"/>
        <w:szCs w:val="20"/>
        <w:lang w:val="en-US"/>
      </w:rPr>
    </w:pPr>
  </w:p>
  <w:p w14:paraId="4E3E6F0A" w14:textId="77777777" w:rsidR="00EE0533" w:rsidRPr="00B5274F" w:rsidRDefault="00EE0533" w:rsidP="00EE0533">
    <w:pPr>
      <w:tabs>
        <w:tab w:val="center" w:pos="4513"/>
        <w:tab w:val="right" w:pos="9026"/>
      </w:tabs>
      <w:spacing w:after="0" w:line="240" w:lineRule="auto"/>
      <w:jc w:val="center"/>
    </w:pPr>
    <w:r>
      <w:rPr>
        <w:noProof/>
      </w:rPr>
      <w:drawing>
        <wp:inline distT="0" distB="0" distL="0" distR="0" wp14:anchorId="4C36B503" wp14:editId="69CB20E2">
          <wp:extent cx="1609725" cy="349885"/>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349885"/>
                  </a:xfrm>
                  <a:prstGeom prst="rect">
                    <a:avLst/>
                  </a:prstGeom>
                  <a:noFill/>
                  <a:ln>
                    <a:noFill/>
                  </a:ln>
                </pic:spPr>
              </pic:pic>
            </a:graphicData>
          </a:graphic>
        </wp:inline>
      </w:drawing>
    </w:r>
  </w:p>
  <w:p w14:paraId="648ED7D3" w14:textId="77777777" w:rsidR="00EE0533" w:rsidRDefault="00EE053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76E8"/>
    <w:multiLevelType w:val="hybridMultilevel"/>
    <w:tmpl w:val="DA9663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858623B"/>
    <w:multiLevelType w:val="hybridMultilevel"/>
    <w:tmpl w:val="34A615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357036B"/>
    <w:multiLevelType w:val="hybridMultilevel"/>
    <w:tmpl w:val="0D70DF5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673803075">
    <w:abstractNumId w:val="1"/>
  </w:num>
  <w:num w:numId="2" w16cid:durableId="683284642">
    <w:abstractNumId w:val="2"/>
  </w:num>
  <w:num w:numId="3" w16cid:durableId="57713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33"/>
    <w:rsid w:val="00001C33"/>
    <w:rsid w:val="00005D66"/>
    <w:rsid w:val="00020887"/>
    <w:rsid w:val="00023516"/>
    <w:rsid w:val="00034935"/>
    <w:rsid w:val="0004341E"/>
    <w:rsid w:val="00044BF8"/>
    <w:rsid w:val="00053C47"/>
    <w:rsid w:val="00055976"/>
    <w:rsid w:val="000566DC"/>
    <w:rsid w:val="00060D24"/>
    <w:rsid w:val="00062B4A"/>
    <w:rsid w:val="00077770"/>
    <w:rsid w:val="00082294"/>
    <w:rsid w:val="00084460"/>
    <w:rsid w:val="0008448B"/>
    <w:rsid w:val="00085731"/>
    <w:rsid w:val="0009336E"/>
    <w:rsid w:val="0009487F"/>
    <w:rsid w:val="00095815"/>
    <w:rsid w:val="000A17CD"/>
    <w:rsid w:val="000B06C4"/>
    <w:rsid w:val="000B6957"/>
    <w:rsid w:val="000C3221"/>
    <w:rsid w:val="000C645B"/>
    <w:rsid w:val="000E7E4E"/>
    <w:rsid w:val="000F05C9"/>
    <w:rsid w:val="000F1EA9"/>
    <w:rsid w:val="000F7499"/>
    <w:rsid w:val="001015C4"/>
    <w:rsid w:val="00104788"/>
    <w:rsid w:val="0011367C"/>
    <w:rsid w:val="001237DF"/>
    <w:rsid w:val="00126F3F"/>
    <w:rsid w:val="001335DB"/>
    <w:rsid w:val="00136853"/>
    <w:rsid w:val="00136976"/>
    <w:rsid w:val="0015036A"/>
    <w:rsid w:val="00155B4A"/>
    <w:rsid w:val="00156A41"/>
    <w:rsid w:val="001738DD"/>
    <w:rsid w:val="00175086"/>
    <w:rsid w:val="00194016"/>
    <w:rsid w:val="00195FF2"/>
    <w:rsid w:val="001A4FF7"/>
    <w:rsid w:val="001B4867"/>
    <w:rsid w:val="001B57AC"/>
    <w:rsid w:val="001B5895"/>
    <w:rsid w:val="001C2894"/>
    <w:rsid w:val="001C6E11"/>
    <w:rsid w:val="001D0922"/>
    <w:rsid w:val="001D0AA1"/>
    <w:rsid w:val="001D13DB"/>
    <w:rsid w:val="001D26FE"/>
    <w:rsid w:val="001D4679"/>
    <w:rsid w:val="001E2A0F"/>
    <w:rsid w:val="001E4B17"/>
    <w:rsid w:val="001F4C58"/>
    <w:rsid w:val="001F7CDA"/>
    <w:rsid w:val="00204DFD"/>
    <w:rsid w:val="002061BB"/>
    <w:rsid w:val="002068F9"/>
    <w:rsid w:val="00206EA2"/>
    <w:rsid w:val="002100C4"/>
    <w:rsid w:val="00214D76"/>
    <w:rsid w:val="00222F6F"/>
    <w:rsid w:val="00227326"/>
    <w:rsid w:val="00230085"/>
    <w:rsid w:val="00241FF9"/>
    <w:rsid w:val="002464B3"/>
    <w:rsid w:val="00246F89"/>
    <w:rsid w:val="00251BB8"/>
    <w:rsid w:val="00253EC8"/>
    <w:rsid w:val="00271BED"/>
    <w:rsid w:val="002763B6"/>
    <w:rsid w:val="00282430"/>
    <w:rsid w:val="002843BE"/>
    <w:rsid w:val="002862B0"/>
    <w:rsid w:val="00286A92"/>
    <w:rsid w:val="002938D5"/>
    <w:rsid w:val="002A3597"/>
    <w:rsid w:val="002A72A2"/>
    <w:rsid w:val="002B1120"/>
    <w:rsid w:val="002B6FA2"/>
    <w:rsid w:val="002B746A"/>
    <w:rsid w:val="002B7BB5"/>
    <w:rsid w:val="002E1B0D"/>
    <w:rsid w:val="002E1D42"/>
    <w:rsid w:val="002E6063"/>
    <w:rsid w:val="002F2E30"/>
    <w:rsid w:val="002F74A7"/>
    <w:rsid w:val="00306631"/>
    <w:rsid w:val="00320E1B"/>
    <w:rsid w:val="003461C3"/>
    <w:rsid w:val="0035226E"/>
    <w:rsid w:val="003528D1"/>
    <w:rsid w:val="00353981"/>
    <w:rsid w:val="003560BD"/>
    <w:rsid w:val="003566C4"/>
    <w:rsid w:val="003606C0"/>
    <w:rsid w:val="0036287B"/>
    <w:rsid w:val="00365CE3"/>
    <w:rsid w:val="0036604D"/>
    <w:rsid w:val="00366315"/>
    <w:rsid w:val="00366774"/>
    <w:rsid w:val="00366A51"/>
    <w:rsid w:val="003670AB"/>
    <w:rsid w:val="0037552E"/>
    <w:rsid w:val="003824DF"/>
    <w:rsid w:val="003A0F12"/>
    <w:rsid w:val="003A2D88"/>
    <w:rsid w:val="003A64F7"/>
    <w:rsid w:val="003B157E"/>
    <w:rsid w:val="003B2A78"/>
    <w:rsid w:val="003E26F7"/>
    <w:rsid w:val="003E352B"/>
    <w:rsid w:val="003E40B5"/>
    <w:rsid w:val="003E51F5"/>
    <w:rsid w:val="003E74F5"/>
    <w:rsid w:val="003F147E"/>
    <w:rsid w:val="003F473C"/>
    <w:rsid w:val="00410420"/>
    <w:rsid w:val="00417224"/>
    <w:rsid w:val="004240A7"/>
    <w:rsid w:val="00425B9B"/>
    <w:rsid w:val="00427DCF"/>
    <w:rsid w:val="00434386"/>
    <w:rsid w:val="004378A6"/>
    <w:rsid w:val="00440591"/>
    <w:rsid w:val="00445112"/>
    <w:rsid w:val="00446DB4"/>
    <w:rsid w:val="00456B80"/>
    <w:rsid w:val="00461D22"/>
    <w:rsid w:val="004629E8"/>
    <w:rsid w:val="004635BC"/>
    <w:rsid w:val="004666DA"/>
    <w:rsid w:val="00467665"/>
    <w:rsid w:val="00474DBB"/>
    <w:rsid w:val="00480836"/>
    <w:rsid w:val="00494C7A"/>
    <w:rsid w:val="004964B7"/>
    <w:rsid w:val="004B6815"/>
    <w:rsid w:val="004C619E"/>
    <w:rsid w:val="004D00B6"/>
    <w:rsid w:val="004D6C18"/>
    <w:rsid w:val="004E3230"/>
    <w:rsid w:val="004E5E46"/>
    <w:rsid w:val="00500899"/>
    <w:rsid w:val="00506A65"/>
    <w:rsid w:val="00514329"/>
    <w:rsid w:val="00516413"/>
    <w:rsid w:val="005170BE"/>
    <w:rsid w:val="00521DB3"/>
    <w:rsid w:val="005227FD"/>
    <w:rsid w:val="00530A36"/>
    <w:rsid w:val="00530D7B"/>
    <w:rsid w:val="00531756"/>
    <w:rsid w:val="00536145"/>
    <w:rsid w:val="00540D91"/>
    <w:rsid w:val="005418FA"/>
    <w:rsid w:val="00542654"/>
    <w:rsid w:val="005547FF"/>
    <w:rsid w:val="005667A9"/>
    <w:rsid w:val="00566AD0"/>
    <w:rsid w:val="005674A2"/>
    <w:rsid w:val="00570757"/>
    <w:rsid w:val="00571F86"/>
    <w:rsid w:val="0057439C"/>
    <w:rsid w:val="00574AE3"/>
    <w:rsid w:val="00583B2B"/>
    <w:rsid w:val="005846E2"/>
    <w:rsid w:val="00590269"/>
    <w:rsid w:val="0059107D"/>
    <w:rsid w:val="0059664D"/>
    <w:rsid w:val="005A64E8"/>
    <w:rsid w:val="005B4720"/>
    <w:rsid w:val="005B50D0"/>
    <w:rsid w:val="005B686C"/>
    <w:rsid w:val="005C585F"/>
    <w:rsid w:val="005D18F6"/>
    <w:rsid w:val="005D1DDA"/>
    <w:rsid w:val="005E09A6"/>
    <w:rsid w:val="005E3C6A"/>
    <w:rsid w:val="005E69BC"/>
    <w:rsid w:val="00601831"/>
    <w:rsid w:val="00601E60"/>
    <w:rsid w:val="00603748"/>
    <w:rsid w:val="0061164F"/>
    <w:rsid w:val="00616D20"/>
    <w:rsid w:val="00617745"/>
    <w:rsid w:val="00617EAF"/>
    <w:rsid w:val="006202F5"/>
    <w:rsid w:val="00622A66"/>
    <w:rsid w:val="00640FA9"/>
    <w:rsid w:val="00641570"/>
    <w:rsid w:val="00661E30"/>
    <w:rsid w:val="00671455"/>
    <w:rsid w:val="0067293F"/>
    <w:rsid w:val="0067364C"/>
    <w:rsid w:val="00674B11"/>
    <w:rsid w:val="0068001F"/>
    <w:rsid w:val="00680BA6"/>
    <w:rsid w:val="006812FE"/>
    <w:rsid w:val="006870FD"/>
    <w:rsid w:val="00691ABB"/>
    <w:rsid w:val="00691CEE"/>
    <w:rsid w:val="006A0CA4"/>
    <w:rsid w:val="006A733E"/>
    <w:rsid w:val="006B04AA"/>
    <w:rsid w:val="006B167A"/>
    <w:rsid w:val="006C16F1"/>
    <w:rsid w:val="006D203A"/>
    <w:rsid w:val="006D46BC"/>
    <w:rsid w:val="006D6AC5"/>
    <w:rsid w:val="006E1605"/>
    <w:rsid w:val="006E1CB5"/>
    <w:rsid w:val="006E40D4"/>
    <w:rsid w:val="006E43FC"/>
    <w:rsid w:val="006F06BC"/>
    <w:rsid w:val="006F0A6F"/>
    <w:rsid w:val="0070198E"/>
    <w:rsid w:val="00702A74"/>
    <w:rsid w:val="00703F65"/>
    <w:rsid w:val="00704DF9"/>
    <w:rsid w:val="00710905"/>
    <w:rsid w:val="0071163C"/>
    <w:rsid w:val="00711F07"/>
    <w:rsid w:val="00712C37"/>
    <w:rsid w:val="00715C9C"/>
    <w:rsid w:val="00720A38"/>
    <w:rsid w:val="00733407"/>
    <w:rsid w:val="00733A82"/>
    <w:rsid w:val="0074351F"/>
    <w:rsid w:val="00745514"/>
    <w:rsid w:val="0075580E"/>
    <w:rsid w:val="007605FE"/>
    <w:rsid w:val="007660D1"/>
    <w:rsid w:val="00767B75"/>
    <w:rsid w:val="0077632D"/>
    <w:rsid w:val="007769A7"/>
    <w:rsid w:val="00776E61"/>
    <w:rsid w:val="007904E2"/>
    <w:rsid w:val="00793B66"/>
    <w:rsid w:val="007A5776"/>
    <w:rsid w:val="007C3E64"/>
    <w:rsid w:val="007C6278"/>
    <w:rsid w:val="007C6440"/>
    <w:rsid w:val="007D67A0"/>
    <w:rsid w:val="007E3426"/>
    <w:rsid w:val="007E74CF"/>
    <w:rsid w:val="007F13B5"/>
    <w:rsid w:val="007F4860"/>
    <w:rsid w:val="008013D1"/>
    <w:rsid w:val="0080396F"/>
    <w:rsid w:val="00804A02"/>
    <w:rsid w:val="00805ED1"/>
    <w:rsid w:val="00812506"/>
    <w:rsid w:val="008227B6"/>
    <w:rsid w:val="008227E1"/>
    <w:rsid w:val="008240D2"/>
    <w:rsid w:val="00832465"/>
    <w:rsid w:val="008327BA"/>
    <w:rsid w:val="00840858"/>
    <w:rsid w:val="0085310E"/>
    <w:rsid w:val="00861E30"/>
    <w:rsid w:val="00866A71"/>
    <w:rsid w:val="00873FE5"/>
    <w:rsid w:val="008847BD"/>
    <w:rsid w:val="00890049"/>
    <w:rsid w:val="00891395"/>
    <w:rsid w:val="00891948"/>
    <w:rsid w:val="008919C3"/>
    <w:rsid w:val="008946B7"/>
    <w:rsid w:val="00894E4F"/>
    <w:rsid w:val="00896658"/>
    <w:rsid w:val="008A307F"/>
    <w:rsid w:val="008A69C7"/>
    <w:rsid w:val="008B6538"/>
    <w:rsid w:val="008C1B4E"/>
    <w:rsid w:val="008C3E9F"/>
    <w:rsid w:val="008C4240"/>
    <w:rsid w:val="008C7399"/>
    <w:rsid w:val="008D29D0"/>
    <w:rsid w:val="008D35C8"/>
    <w:rsid w:val="008D7B73"/>
    <w:rsid w:val="008E7B33"/>
    <w:rsid w:val="008F14F3"/>
    <w:rsid w:val="00917BB0"/>
    <w:rsid w:val="00922872"/>
    <w:rsid w:val="00927094"/>
    <w:rsid w:val="00933A87"/>
    <w:rsid w:val="009365EE"/>
    <w:rsid w:val="00936647"/>
    <w:rsid w:val="009400CF"/>
    <w:rsid w:val="00940A15"/>
    <w:rsid w:val="00944667"/>
    <w:rsid w:val="00944DD2"/>
    <w:rsid w:val="009502B5"/>
    <w:rsid w:val="009533EB"/>
    <w:rsid w:val="00961568"/>
    <w:rsid w:val="00962BDB"/>
    <w:rsid w:val="00965E2E"/>
    <w:rsid w:val="00966FDE"/>
    <w:rsid w:val="00967036"/>
    <w:rsid w:val="0097367D"/>
    <w:rsid w:val="009736FB"/>
    <w:rsid w:val="00982674"/>
    <w:rsid w:val="009935AD"/>
    <w:rsid w:val="009A132D"/>
    <w:rsid w:val="009A2A5F"/>
    <w:rsid w:val="009A7528"/>
    <w:rsid w:val="009B6C7D"/>
    <w:rsid w:val="009C01B4"/>
    <w:rsid w:val="009C49C9"/>
    <w:rsid w:val="009C71CD"/>
    <w:rsid w:val="009E206E"/>
    <w:rsid w:val="009F5CF1"/>
    <w:rsid w:val="00A01356"/>
    <w:rsid w:val="00A0333B"/>
    <w:rsid w:val="00A075F9"/>
    <w:rsid w:val="00A10D80"/>
    <w:rsid w:val="00A14157"/>
    <w:rsid w:val="00A16A14"/>
    <w:rsid w:val="00A26CDC"/>
    <w:rsid w:val="00A34475"/>
    <w:rsid w:val="00A417EF"/>
    <w:rsid w:val="00A44A2F"/>
    <w:rsid w:val="00A45B5A"/>
    <w:rsid w:val="00A469B2"/>
    <w:rsid w:val="00A474AF"/>
    <w:rsid w:val="00A47535"/>
    <w:rsid w:val="00A50D95"/>
    <w:rsid w:val="00A52379"/>
    <w:rsid w:val="00A55C76"/>
    <w:rsid w:val="00A6157B"/>
    <w:rsid w:val="00A62184"/>
    <w:rsid w:val="00A6455F"/>
    <w:rsid w:val="00A67C30"/>
    <w:rsid w:val="00A7213B"/>
    <w:rsid w:val="00A73E5D"/>
    <w:rsid w:val="00A74B76"/>
    <w:rsid w:val="00A80C92"/>
    <w:rsid w:val="00A9069B"/>
    <w:rsid w:val="00A94FE0"/>
    <w:rsid w:val="00A95A53"/>
    <w:rsid w:val="00AB42CD"/>
    <w:rsid w:val="00AC0B4A"/>
    <w:rsid w:val="00AC24C7"/>
    <w:rsid w:val="00AC4792"/>
    <w:rsid w:val="00AC541E"/>
    <w:rsid w:val="00AD10D4"/>
    <w:rsid w:val="00AD1B40"/>
    <w:rsid w:val="00AE684C"/>
    <w:rsid w:val="00B00C75"/>
    <w:rsid w:val="00B03FA9"/>
    <w:rsid w:val="00B0678B"/>
    <w:rsid w:val="00B15737"/>
    <w:rsid w:val="00B15E56"/>
    <w:rsid w:val="00B21AF9"/>
    <w:rsid w:val="00B22689"/>
    <w:rsid w:val="00B23F23"/>
    <w:rsid w:val="00B34AC2"/>
    <w:rsid w:val="00B36FE7"/>
    <w:rsid w:val="00B47608"/>
    <w:rsid w:val="00B4764E"/>
    <w:rsid w:val="00B50D79"/>
    <w:rsid w:val="00B539EA"/>
    <w:rsid w:val="00B54B96"/>
    <w:rsid w:val="00B64DB9"/>
    <w:rsid w:val="00B664D8"/>
    <w:rsid w:val="00B716EC"/>
    <w:rsid w:val="00B76301"/>
    <w:rsid w:val="00B77481"/>
    <w:rsid w:val="00B80A27"/>
    <w:rsid w:val="00B93313"/>
    <w:rsid w:val="00B958A4"/>
    <w:rsid w:val="00B96BCD"/>
    <w:rsid w:val="00BA1E60"/>
    <w:rsid w:val="00BA5433"/>
    <w:rsid w:val="00BB1D1D"/>
    <w:rsid w:val="00BC0A7A"/>
    <w:rsid w:val="00BC30D8"/>
    <w:rsid w:val="00BC4CE2"/>
    <w:rsid w:val="00BC6A9D"/>
    <w:rsid w:val="00BC79A9"/>
    <w:rsid w:val="00BD468B"/>
    <w:rsid w:val="00BD5FAE"/>
    <w:rsid w:val="00BF4B8B"/>
    <w:rsid w:val="00C1032A"/>
    <w:rsid w:val="00C10C08"/>
    <w:rsid w:val="00C14D82"/>
    <w:rsid w:val="00C1566A"/>
    <w:rsid w:val="00C31F72"/>
    <w:rsid w:val="00C35EF4"/>
    <w:rsid w:val="00C37252"/>
    <w:rsid w:val="00C509FF"/>
    <w:rsid w:val="00C56BA3"/>
    <w:rsid w:val="00C610A3"/>
    <w:rsid w:val="00C61131"/>
    <w:rsid w:val="00C615B8"/>
    <w:rsid w:val="00C713D1"/>
    <w:rsid w:val="00C73BAE"/>
    <w:rsid w:val="00C747C9"/>
    <w:rsid w:val="00C845FA"/>
    <w:rsid w:val="00C874F7"/>
    <w:rsid w:val="00C94B34"/>
    <w:rsid w:val="00C97B94"/>
    <w:rsid w:val="00CA346D"/>
    <w:rsid w:val="00CA5B9D"/>
    <w:rsid w:val="00CB6F1C"/>
    <w:rsid w:val="00CB7401"/>
    <w:rsid w:val="00CC0CAD"/>
    <w:rsid w:val="00CC27B8"/>
    <w:rsid w:val="00CC2AE5"/>
    <w:rsid w:val="00CC2E70"/>
    <w:rsid w:val="00CC457C"/>
    <w:rsid w:val="00CC6F3A"/>
    <w:rsid w:val="00CC7490"/>
    <w:rsid w:val="00CD5161"/>
    <w:rsid w:val="00CD5989"/>
    <w:rsid w:val="00CE2E76"/>
    <w:rsid w:val="00CF33BE"/>
    <w:rsid w:val="00CF3BFD"/>
    <w:rsid w:val="00CF5E83"/>
    <w:rsid w:val="00D01E34"/>
    <w:rsid w:val="00D0271B"/>
    <w:rsid w:val="00D02C31"/>
    <w:rsid w:val="00D0538B"/>
    <w:rsid w:val="00D1557F"/>
    <w:rsid w:val="00D22564"/>
    <w:rsid w:val="00D26A46"/>
    <w:rsid w:val="00D33B5A"/>
    <w:rsid w:val="00D34436"/>
    <w:rsid w:val="00D34AF8"/>
    <w:rsid w:val="00D3546C"/>
    <w:rsid w:val="00D517FB"/>
    <w:rsid w:val="00D55219"/>
    <w:rsid w:val="00D60EE1"/>
    <w:rsid w:val="00D612AB"/>
    <w:rsid w:val="00D63DDD"/>
    <w:rsid w:val="00D643F1"/>
    <w:rsid w:val="00D65F16"/>
    <w:rsid w:val="00D73838"/>
    <w:rsid w:val="00D81333"/>
    <w:rsid w:val="00D8513E"/>
    <w:rsid w:val="00D8655F"/>
    <w:rsid w:val="00D87721"/>
    <w:rsid w:val="00D912FF"/>
    <w:rsid w:val="00DA6A48"/>
    <w:rsid w:val="00DB1D65"/>
    <w:rsid w:val="00DB76FB"/>
    <w:rsid w:val="00DB7746"/>
    <w:rsid w:val="00DC7A56"/>
    <w:rsid w:val="00DD057B"/>
    <w:rsid w:val="00DE0526"/>
    <w:rsid w:val="00DE35D1"/>
    <w:rsid w:val="00DF017F"/>
    <w:rsid w:val="00DF0522"/>
    <w:rsid w:val="00DF6E13"/>
    <w:rsid w:val="00E12004"/>
    <w:rsid w:val="00E13366"/>
    <w:rsid w:val="00E20DA1"/>
    <w:rsid w:val="00E25A62"/>
    <w:rsid w:val="00E25B51"/>
    <w:rsid w:val="00E30F9F"/>
    <w:rsid w:val="00E3363A"/>
    <w:rsid w:val="00E34CE0"/>
    <w:rsid w:val="00E34E87"/>
    <w:rsid w:val="00E41758"/>
    <w:rsid w:val="00E45CFF"/>
    <w:rsid w:val="00E45EC7"/>
    <w:rsid w:val="00E50DDF"/>
    <w:rsid w:val="00E547F5"/>
    <w:rsid w:val="00E61709"/>
    <w:rsid w:val="00E75452"/>
    <w:rsid w:val="00E76510"/>
    <w:rsid w:val="00E82B40"/>
    <w:rsid w:val="00E84164"/>
    <w:rsid w:val="00E867FE"/>
    <w:rsid w:val="00E9546C"/>
    <w:rsid w:val="00EA2DF9"/>
    <w:rsid w:val="00EA6B72"/>
    <w:rsid w:val="00EB1FB1"/>
    <w:rsid w:val="00EB60FD"/>
    <w:rsid w:val="00EC1723"/>
    <w:rsid w:val="00EC7C68"/>
    <w:rsid w:val="00EE0533"/>
    <w:rsid w:val="00EE1A6F"/>
    <w:rsid w:val="00EF27DE"/>
    <w:rsid w:val="00EF3611"/>
    <w:rsid w:val="00F0317C"/>
    <w:rsid w:val="00F100AC"/>
    <w:rsid w:val="00F16F09"/>
    <w:rsid w:val="00F17E6D"/>
    <w:rsid w:val="00F24AF7"/>
    <w:rsid w:val="00F30D22"/>
    <w:rsid w:val="00F32678"/>
    <w:rsid w:val="00F36D0A"/>
    <w:rsid w:val="00F45DE2"/>
    <w:rsid w:val="00F52795"/>
    <w:rsid w:val="00F65E1F"/>
    <w:rsid w:val="00F709D2"/>
    <w:rsid w:val="00F72302"/>
    <w:rsid w:val="00F80231"/>
    <w:rsid w:val="00F8170A"/>
    <w:rsid w:val="00F86734"/>
    <w:rsid w:val="00F906AA"/>
    <w:rsid w:val="00F93E15"/>
    <w:rsid w:val="00FA26B0"/>
    <w:rsid w:val="00FA3E08"/>
    <w:rsid w:val="00FA413A"/>
    <w:rsid w:val="00FB3ABB"/>
    <w:rsid w:val="00FC1F04"/>
    <w:rsid w:val="00FC2DB0"/>
    <w:rsid w:val="00FC34B6"/>
    <w:rsid w:val="00FE02D2"/>
    <w:rsid w:val="00FE7392"/>
    <w:rsid w:val="00FE7A24"/>
    <w:rsid w:val="00FF38CA"/>
    <w:rsid w:val="00FF652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A54D"/>
  <w15:chartTrackingRefBased/>
  <w15:docId w15:val="{0BBC7B13-E6D0-4569-B654-DCD55C64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0533"/>
  </w:style>
  <w:style w:type="paragraph" w:styleId="berschrift1">
    <w:name w:val="heading 1"/>
    <w:basedOn w:val="Standard"/>
    <w:next w:val="Standard"/>
    <w:link w:val="berschrift1Zchn"/>
    <w:uiPriority w:val="9"/>
    <w:qFormat/>
    <w:rsid w:val="00EE0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E0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E05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E05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E05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E053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E053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E053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E053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E05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E05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E05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E05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E05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E05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E05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E05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E0533"/>
    <w:rPr>
      <w:rFonts w:eastAsiaTheme="majorEastAsia" w:cstheme="majorBidi"/>
      <w:color w:val="272727" w:themeColor="text1" w:themeTint="D8"/>
    </w:rPr>
  </w:style>
  <w:style w:type="paragraph" w:styleId="Titel">
    <w:name w:val="Title"/>
    <w:basedOn w:val="Standard"/>
    <w:next w:val="Standard"/>
    <w:link w:val="TitelZchn"/>
    <w:uiPriority w:val="10"/>
    <w:qFormat/>
    <w:rsid w:val="00EE0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E05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E053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E05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E053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E0533"/>
    <w:rPr>
      <w:i/>
      <w:iCs/>
      <w:color w:val="404040" w:themeColor="text1" w:themeTint="BF"/>
    </w:rPr>
  </w:style>
  <w:style w:type="paragraph" w:styleId="Listenabsatz">
    <w:name w:val="List Paragraph"/>
    <w:basedOn w:val="Standard"/>
    <w:uiPriority w:val="34"/>
    <w:qFormat/>
    <w:rsid w:val="00EE0533"/>
    <w:pPr>
      <w:ind w:left="720"/>
      <w:contextualSpacing/>
    </w:pPr>
  </w:style>
  <w:style w:type="character" w:styleId="IntensiveHervorhebung">
    <w:name w:val="Intense Emphasis"/>
    <w:basedOn w:val="Absatz-Standardschriftart"/>
    <w:uiPriority w:val="21"/>
    <w:qFormat/>
    <w:rsid w:val="00EE0533"/>
    <w:rPr>
      <w:i/>
      <w:iCs/>
      <w:color w:val="0F4761" w:themeColor="accent1" w:themeShade="BF"/>
    </w:rPr>
  </w:style>
  <w:style w:type="paragraph" w:styleId="IntensivesZitat">
    <w:name w:val="Intense Quote"/>
    <w:basedOn w:val="Standard"/>
    <w:next w:val="Standard"/>
    <w:link w:val="IntensivesZitatZchn"/>
    <w:uiPriority w:val="30"/>
    <w:qFormat/>
    <w:rsid w:val="00EE0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E0533"/>
    <w:rPr>
      <w:i/>
      <w:iCs/>
      <w:color w:val="0F4761" w:themeColor="accent1" w:themeShade="BF"/>
    </w:rPr>
  </w:style>
  <w:style w:type="character" w:styleId="IntensiverVerweis">
    <w:name w:val="Intense Reference"/>
    <w:basedOn w:val="Absatz-Standardschriftart"/>
    <w:uiPriority w:val="32"/>
    <w:qFormat/>
    <w:rsid w:val="00EE0533"/>
    <w:rPr>
      <w:b/>
      <w:bCs/>
      <w:smallCaps/>
      <w:color w:val="0F4761" w:themeColor="accent1" w:themeShade="BF"/>
      <w:spacing w:val="5"/>
    </w:rPr>
  </w:style>
  <w:style w:type="paragraph" w:styleId="Kopfzeile">
    <w:name w:val="header"/>
    <w:basedOn w:val="Standard"/>
    <w:link w:val="KopfzeileZchn"/>
    <w:uiPriority w:val="99"/>
    <w:unhideWhenUsed/>
    <w:rsid w:val="00EE0533"/>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EE0533"/>
    <w:rPr>
      <w:lang w:val="de-CH"/>
    </w:rPr>
  </w:style>
  <w:style w:type="paragraph" w:styleId="Fuzeile">
    <w:name w:val="footer"/>
    <w:basedOn w:val="Standard"/>
    <w:link w:val="FuzeileZchn"/>
    <w:uiPriority w:val="99"/>
    <w:unhideWhenUsed/>
    <w:rsid w:val="00EE0533"/>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E0533"/>
    <w:rPr>
      <w:lang w:val="de-CH"/>
    </w:rPr>
  </w:style>
  <w:style w:type="paragraph" w:styleId="Sprechblasentext">
    <w:name w:val="Balloon Text"/>
    <w:basedOn w:val="Standard"/>
    <w:link w:val="SprechblasentextZchn"/>
    <w:uiPriority w:val="99"/>
    <w:semiHidden/>
    <w:unhideWhenUsed/>
    <w:rsid w:val="001D467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D4679"/>
    <w:rPr>
      <w:rFonts w:ascii="Segoe UI" w:hAnsi="Segoe UI" w:cs="Segoe UI"/>
      <w:sz w:val="18"/>
      <w:szCs w:val="18"/>
    </w:rPr>
  </w:style>
  <w:style w:type="character" w:styleId="Fett">
    <w:name w:val="Strong"/>
    <w:basedOn w:val="Absatz-Standardschriftart"/>
    <w:uiPriority w:val="22"/>
    <w:qFormat/>
    <w:rsid w:val="001D0AA1"/>
    <w:rPr>
      <w:b/>
      <w:bCs/>
    </w:rPr>
  </w:style>
  <w:style w:type="paragraph" w:styleId="StandardWeb">
    <w:name w:val="Normal (Web)"/>
    <w:basedOn w:val="Standard"/>
    <w:uiPriority w:val="99"/>
    <w:semiHidden/>
    <w:unhideWhenUsed/>
    <w:rsid w:val="001335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7322">
      <w:bodyDiv w:val="1"/>
      <w:marLeft w:val="0"/>
      <w:marRight w:val="0"/>
      <w:marTop w:val="0"/>
      <w:marBottom w:val="0"/>
      <w:divBdr>
        <w:top w:val="none" w:sz="0" w:space="0" w:color="auto"/>
        <w:left w:val="none" w:sz="0" w:space="0" w:color="auto"/>
        <w:bottom w:val="none" w:sz="0" w:space="0" w:color="auto"/>
        <w:right w:val="none" w:sz="0" w:space="0" w:color="auto"/>
      </w:divBdr>
    </w:div>
    <w:div w:id="57829869">
      <w:bodyDiv w:val="1"/>
      <w:marLeft w:val="0"/>
      <w:marRight w:val="0"/>
      <w:marTop w:val="0"/>
      <w:marBottom w:val="0"/>
      <w:divBdr>
        <w:top w:val="none" w:sz="0" w:space="0" w:color="auto"/>
        <w:left w:val="none" w:sz="0" w:space="0" w:color="auto"/>
        <w:bottom w:val="none" w:sz="0" w:space="0" w:color="auto"/>
        <w:right w:val="none" w:sz="0" w:space="0" w:color="auto"/>
      </w:divBdr>
    </w:div>
    <w:div w:id="97720526">
      <w:bodyDiv w:val="1"/>
      <w:marLeft w:val="0"/>
      <w:marRight w:val="0"/>
      <w:marTop w:val="0"/>
      <w:marBottom w:val="0"/>
      <w:divBdr>
        <w:top w:val="none" w:sz="0" w:space="0" w:color="auto"/>
        <w:left w:val="none" w:sz="0" w:space="0" w:color="auto"/>
        <w:bottom w:val="none" w:sz="0" w:space="0" w:color="auto"/>
        <w:right w:val="none" w:sz="0" w:space="0" w:color="auto"/>
      </w:divBdr>
    </w:div>
    <w:div w:id="98066640">
      <w:bodyDiv w:val="1"/>
      <w:marLeft w:val="0"/>
      <w:marRight w:val="0"/>
      <w:marTop w:val="0"/>
      <w:marBottom w:val="0"/>
      <w:divBdr>
        <w:top w:val="none" w:sz="0" w:space="0" w:color="auto"/>
        <w:left w:val="none" w:sz="0" w:space="0" w:color="auto"/>
        <w:bottom w:val="none" w:sz="0" w:space="0" w:color="auto"/>
        <w:right w:val="none" w:sz="0" w:space="0" w:color="auto"/>
      </w:divBdr>
    </w:div>
    <w:div w:id="109014356">
      <w:bodyDiv w:val="1"/>
      <w:marLeft w:val="0"/>
      <w:marRight w:val="0"/>
      <w:marTop w:val="0"/>
      <w:marBottom w:val="0"/>
      <w:divBdr>
        <w:top w:val="none" w:sz="0" w:space="0" w:color="auto"/>
        <w:left w:val="none" w:sz="0" w:space="0" w:color="auto"/>
        <w:bottom w:val="none" w:sz="0" w:space="0" w:color="auto"/>
        <w:right w:val="none" w:sz="0" w:space="0" w:color="auto"/>
      </w:divBdr>
    </w:div>
    <w:div w:id="142965488">
      <w:bodyDiv w:val="1"/>
      <w:marLeft w:val="0"/>
      <w:marRight w:val="0"/>
      <w:marTop w:val="0"/>
      <w:marBottom w:val="0"/>
      <w:divBdr>
        <w:top w:val="none" w:sz="0" w:space="0" w:color="auto"/>
        <w:left w:val="none" w:sz="0" w:space="0" w:color="auto"/>
        <w:bottom w:val="none" w:sz="0" w:space="0" w:color="auto"/>
        <w:right w:val="none" w:sz="0" w:space="0" w:color="auto"/>
      </w:divBdr>
    </w:div>
    <w:div w:id="206992111">
      <w:bodyDiv w:val="1"/>
      <w:marLeft w:val="0"/>
      <w:marRight w:val="0"/>
      <w:marTop w:val="0"/>
      <w:marBottom w:val="0"/>
      <w:divBdr>
        <w:top w:val="none" w:sz="0" w:space="0" w:color="auto"/>
        <w:left w:val="none" w:sz="0" w:space="0" w:color="auto"/>
        <w:bottom w:val="none" w:sz="0" w:space="0" w:color="auto"/>
        <w:right w:val="none" w:sz="0" w:space="0" w:color="auto"/>
      </w:divBdr>
    </w:div>
    <w:div w:id="217978344">
      <w:bodyDiv w:val="1"/>
      <w:marLeft w:val="0"/>
      <w:marRight w:val="0"/>
      <w:marTop w:val="0"/>
      <w:marBottom w:val="0"/>
      <w:divBdr>
        <w:top w:val="none" w:sz="0" w:space="0" w:color="auto"/>
        <w:left w:val="none" w:sz="0" w:space="0" w:color="auto"/>
        <w:bottom w:val="none" w:sz="0" w:space="0" w:color="auto"/>
        <w:right w:val="none" w:sz="0" w:space="0" w:color="auto"/>
      </w:divBdr>
    </w:div>
    <w:div w:id="230121535">
      <w:bodyDiv w:val="1"/>
      <w:marLeft w:val="0"/>
      <w:marRight w:val="0"/>
      <w:marTop w:val="0"/>
      <w:marBottom w:val="0"/>
      <w:divBdr>
        <w:top w:val="none" w:sz="0" w:space="0" w:color="auto"/>
        <w:left w:val="none" w:sz="0" w:space="0" w:color="auto"/>
        <w:bottom w:val="none" w:sz="0" w:space="0" w:color="auto"/>
        <w:right w:val="none" w:sz="0" w:space="0" w:color="auto"/>
      </w:divBdr>
    </w:div>
    <w:div w:id="274408001">
      <w:bodyDiv w:val="1"/>
      <w:marLeft w:val="0"/>
      <w:marRight w:val="0"/>
      <w:marTop w:val="0"/>
      <w:marBottom w:val="0"/>
      <w:divBdr>
        <w:top w:val="none" w:sz="0" w:space="0" w:color="auto"/>
        <w:left w:val="none" w:sz="0" w:space="0" w:color="auto"/>
        <w:bottom w:val="none" w:sz="0" w:space="0" w:color="auto"/>
        <w:right w:val="none" w:sz="0" w:space="0" w:color="auto"/>
      </w:divBdr>
    </w:div>
    <w:div w:id="363094432">
      <w:bodyDiv w:val="1"/>
      <w:marLeft w:val="0"/>
      <w:marRight w:val="0"/>
      <w:marTop w:val="0"/>
      <w:marBottom w:val="0"/>
      <w:divBdr>
        <w:top w:val="none" w:sz="0" w:space="0" w:color="auto"/>
        <w:left w:val="none" w:sz="0" w:space="0" w:color="auto"/>
        <w:bottom w:val="none" w:sz="0" w:space="0" w:color="auto"/>
        <w:right w:val="none" w:sz="0" w:space="0" w:color="auto"/>
      </w:divBdr>
    </w:div>
    <w:div w:id="371198776">
      <w:bodyDiv w:val="1"/>
      <w:marLeft w:val="0"/>
      <w:marRight w:val="0"/>
      <w:marTop w:val="0"/>
      <w:marBottom w:val="0"/>
      <w:divBdr>
        <w:top w:val="none" w:sz="0" w:space="0" w:color="auto"/>
        <w:left w:val="none" w:sz="0" w:space="0" w:color="auto"/>
        <w:bottom w:val="none" w:sz="0" w:space="0" w:color="auto"/>
        <w:right w:val="none" w:sz="0" w:space="0" w:color="auto"/>
      </w:divBdr>
    </w:div>
    <w:div w:id="384835786">
      <w:bodyDiv w:val="1"/>
      <w:marLeft w:val="0"/>
      <w:marRight w:val="0"/>
      <w:marTop w:val="0"/>
      <w:marBottom w:val="0"/>
      <w:divBdr>
        <w:top w:val="none" w:sz="0" w:space="0" w:color="auto"/>
        <w:left w:val="none" w:sz="0" w:space="0" w:color="auto"/>
        <w:bottom w:val="none" w:sz="0" w:space="0" w:color="auto"/>
        <w:right w:val="none" w:sz="0" w:space="0" w:color="auto"/>
      </w:divBdr>
    </w:div>
    <w:div w:id="392239598">
      <w:bodyDiv w:val="1"/>
      <w:marLeft w:val="0"/>
      <w:marRight w:val="0"/>
      <w:marTop w:val="0"/>
      <w:marBottom w:val="0"/>
      <w:divBdr>
        <w:top w:val="none" w:sz="0" w:space="0" w:color="auto"/>
        <w:left w:val="none" w:sz="0" w:space="0" w:color="auto"/>
        <w:bottom w:val="none" w:sz="0" w:space="0" w:color="auto"/>
        <w:right w:val="none" w:sz="0" w:space="0" w:color="auto"/>
      </w:divBdr>
    </w:div>
    <w:div w:id="400642038">
      <w:bodyDiv w:val="1"/>
      <w:marLeft w:val="0"/>
      <w:marRight w:val="0"/>
      <w:marTop w:val="0"/>
      <w:marBottom w:val="0"/>
      <w:divBdr>
        <w:top w:val="none" w:sz="0" w:space="0" w:color="auto"/>
        <w:left w:val="none" w:sz="0" w:space="0" w:color="auto"/>
        <w:bottom w:val="none" w:sz="0" w:space="0" w:color="auto"/>
        <w:right w:val="none" w:sz="0" w:space="0" w:color="auto"/>
      </w:divBdr>
    </w:div>
    <w:div w:id="451021752">
      <w:bodyDiv w:val="1"/>
      <w:marLeft w:val="0"/>
      <w:marRight w:val="0"/>
      <w:marTop w:val="0"/>
      <w:marBottom w:val="0"/>
      <w:divBdr>
        <w:top w:val="none" w:sz="0" w:space="0" w:color="auto"/>
        <w:left w:val="none" w:sz="0" w:space="0" w:color="auto"/>
        <w:bottom w:val="none" w:sz="0" w:space="0" w:color="auto"/>
        <w:right w:val="none" w:sz="0" w:space="0" w:color="auto"/>
      </w:divBdr>
    </w:div>
    <w:div w:id="457187188">
      <w:bodyDiv w:val="1"/>
      <w:marLeft w:val="0"/>
      <w:marRight w:val="0"/>
      <w:marTop w:val="0"/>
      <w:marBottom w:val="0"/>
      <w:divBdr>
        <w:top w:val="none" w:sz="0" w:space="0" w:color="auto"/>
        <w:left w:val="none" w:sz="0" w:space="0" w:color="auto"/>
        <w:bottom w:val="none" w:sz="0" w:space="0" w:color="auto"/>
        <w:right w:val="none" w:sz="0" w:space="0" w:color="auto"/>
      </w:divBdr>
    </w:div>
    <w:div w:id="458884786">
      <w:bodyDiv w:val="1"/>
      <w:marLeft w:val="0"/>
      <w:marRight w:val="0"/>
      <w:marTop w:val="0"/>
      <w:marBottom w:val="0"/>
      <w:divBdr>
        <w:top w:val="none" w:sz="0" w:space="0" w:color="auto"/>
        <w:left w:val="none" w:sz="0" w:space="0" w:color="auto"/>
        <w:bottom w:val="none" w:sz="0" w:space="0" w:color="auto"/>
        <w:right w:val="none" w:sz="0" w:space="0" w:color="auto"/>
      </w:divBdr>
    </w:div>
    <w:div w:id="475487911">
      <w:bodyDiv w:val="1"/>
      <w:marLeft w:val="0"/>
      <w:marRight w:val="0"/>
      <w:marTop w:val="0"/>
      <w:marBottom w:val="0"/>
      <w:divBdr>
        <w:top w:val="none" w:sz="0" w:space="0" w:color="auto"/>
        <w:left w:val="none" w:sz="0" w:space="0" w:color="auto"/>
        <w:bottom w:val="none" w:sz="0" w:space="0" w:color="auto"/>
        <w:right w:val="none" w:sz="0" w:space="0" w:color="auto"/>
      </w:divBdr>
    </w:div>
    <w:div w:id="479931063">
      <w:bodyDiv w:val="1"/>
      <w:marLeft w:val="0"/>
      <w:marRight w:val="0"/>
      <w:marTop w:val="0"/>
      <w:marBottom w:val="0"/>
      <w:divBdr>
        <w:top w:val="none" w:sz="0" w:space="0" w:color="auto"/>
        <w:left w:val="none" w:sz="0" w:space="0" w:color="auto"/>
        <w:bottom w:val="none" w:sz="0" w:space="0" w:color="auto"/>
        <w:right w:val="none" w:sz="0" w:space="0" w:color="auto"/>
      </w:divBdr>
    </w:div>
    <w:div w:id="568001940">
      <w:bodyDiv w:val="1"/>
      <w:marLeft w:val="0"/>
      <w:marRight w:val="0"/>
      <w:marTop w:val="0"/>
      <w:marBottom w:val="0"/>
      <w:divBdr>
        <w:top w:val="none" w:sz="0" w:space="0" w:color="auto"/>
        <w:left w:val="none" w:sz="0" w:space="0" w:color="auto"/>
        <w:bottom w:val="none" w:sz="0" w:space="0" w:color="auto"/>
        <w:right w:val="none" w:sz="0" w:space="0" w:color="auto"/>
      </w:divBdr>
    </w:div>
    <w:div w:id="651716038">
      <w:bodyDiv w:val="1"/>
      <w:marLeft w:val="0"/>
      <w:marRight w:val="0"/>
      <w:marTop w:val="0"/>
      <w:marBottom w:val="0"/>
      <w:divBdr>
        <w:top w:val="none" w:sz="0" w:space="0" w:color="auto"/>
        <w:left w:val="none" w:sz="0" w:space="0" w:color="auto"/>
        <w:bottom w:val="none" w:sz="0" w:space="0" w:color="auto"/>
        <w:right w:val="none" w:sz="0" w:space="0" w:color="auto"/>
      </w:divBdr>
    </w:div>
    <w:div w:id="652224491">
      <w:bodyDiv w:val="1"/>
      <w:marLeft w:val="0"/>
      <w:marRight w:val="0"/>
      <w:marTop w:val="0"/>
      <w:marBottom w:val="0"/>
      <w:divBdr>
        <w:top w:val="none" w:sz="0" w:space="0" w:color="auto"/>
        <w:left w:val="none" w:sz="0" w:space="0" w:color="auto"/>
        <w:bottom w:val="none" w:sz="0" w:space="0" w:color="auto"/>
        <w:right w:val="none" w:sz="0" w:space="0" w:color="auto"/>
      </w:divBdr>
    </w:div>
    <w:div w:id="658273721">
      <w:bodyDiv w:val="1"/>
      <w:marLeft w:val="0"/>
      <w:marRight w:val="0"/>
      <w:marTop w:val="0"/>
      <w:marBottom w:val="0"/>
      <w:divBdr>
        <w:top w:val="none" w:sz="0" w:space="0" w:color="auto"/>
        <w:left w:val="none" w:sz="0" w:space="0" w:color="auto"/>
        <w:bottom w:val="none" w:sz="0" w:space="0" w:color="auto"/>
        <w:right w:val="none" w:sz="0" w:space="0" w:color="auto"/>
      </w:divBdr>
    </w:div>
    <w:div w:id="670108553">
      <w:bodyDiv w:val="1"/>
      <w:marLeft w:val="0"/>
      <w:marRight w:val="0"/>
      <w:marTop w:val="0"/>
      <w:marBottom w:val="0"/>
      <w:divBdr>
        <w:top w:val="none" w:sz="0" w:space="0" w:color="auto"/>
        <w:left w:val="none" w:sz="0" w:space="0" w:color="auto"/>
        <w:bottom w:val="none" w:sz="0" w:space="0" w:color="auto"/>
        <w:right w:val="none" w:sz="0" w:space="0" w:color="auto"/>
      </w:divBdr>
    </w:div>
    <w:div w:id="858543598">
      <w:bodyDiv w:val="1"/>
      <w:marLeft w:val="0"/>
      <w:marRight w:val="0"/>
      <w:marTop w:val="0"/>
      <w:marBottom w:val="0"/>
      <w:divBdr>
        <w:top w:val="none" w:sz="0" w:space="0" w:color="auto"/>
        <w:left w:val="none" w:sz="0" w:space="0" w:color="auto"/>
        <w:bottom w:val="none" w:sz="0" w:space="0" w:color="auto"/>
        <w:right w:val="none" w:sz="0" w:space="0" w:color="auto"/>
      </w:divBdr>
      <w:divsChild>
        <w:div w:id="1943948441">
          <w:marLeft w:val="0"/>
          <w:marRight w:val="0"/>
          <w:marTop w:val="0"/>
          <w:marBottom w:val="0"/>
          <w:divBdr>
            <w:top w:val="none" w:sz="0" w:space="0" w:color="auto"/>
            <w:left w:val="none" w:sz="0" w:space="0" w:color="auto"/>
            <w:bottom w:val="none" w:sz="0" w:space="0" w:color="auto"/>
            <w:right w:val="none" w:sz="0" w:space="0" w:color="auto"/>
          </w:divBdr>
          <w:divsChild>
            <w:div w:id="72902212">
              <w:marLeft w:val="0"/>
              <w:marRight w:val="0"/>
              <w:marTop w:val="0"/>
              <w:marBottom w:val="0"/>
              <w:divBdr>
                <w:top w:val="none" w:sz="0" w:space="0" w:color="auto"/>
                <w:left w:val="none" w:sz="0" w:space="0" w:color="auto"/>
                <w:bottom w:val="none" w:sz="0" w:space="0" w:color="auto"/>
                <w:right w:val="none" w:sz="0" w:space="0" w:color="auto"/>
              </w:divBdr>
              <w:divsChild>
                <w:div w:id="1824852442">
                  <w:marLeft w:val="0"/>
                  <w:marRight w:val="0"/>
                  <w:marTop w:val="0"/>
                  <w:marBottom w:val="0"/>
                  <w:divBdr>
                    <w:top w:val="none" w:sz="0" w:space="0" w:color="auto"/>
                    <w:left w:val="none" w:sz="0" w:space="0" w:color="auto"/>
                    <w:bottom w:val="none" w:sz="0" w:space="0" w:color="auto"/>
                    <w:right w:val="none" w:sz="0" w:space="0" w:color="auto"/>
                  </w:divBdr>
                  <w:divsChild>
                    <w:div w:id="186786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096898">
      <w:bodyDiv w:val="1"/>
      <w:marLeft w:val="0"/>
      <w:marRight w:val="0"/>
      <w:marTop w:val="0"/>
      <w:marBottom w:val="0"/>
      <w:divBdr>
        <w:top w:val="none" w:sz="0" w:space="0" w:color="auto"/>
        <w:left w:val="none" w:sz="0" w:space="0" w:color="auto"/>
        <w:bottom w:val="none" w:sz="0" w:space="0" w:color="auto"/>
        <w:right w:val="none" w:sz="0" w:space="0" w:color="auto"/>
      </w:divBdr>
    </w:div>
    <w:div w:id="889610104">
      <w:bodyDiv w:val="1"/>
      <w:marLeft w:val="0"/>
      <w:marRight w:val="0"/>
      <w:marTop w:val="0"/>
      <w:marBottom w:val="0"/>
      <w:divBdr>
        <w:top w:val="none" w:sz="0" w:space="0" w:color="auto"/>
        <w:left w:val="none" w:sz="0" w:space="0" w:color="auto"/>
        <w:bottom w:val="none" w:sz="0" w:space="0" w:color="auto"/>
        <w:right w:val="none" w:sz="0" w:space="0" w:color="auto"/>
      </w:divBdr>
    </w:div>
    <w:div w:id="898201399">
      <w:bodyDiv w:val="1"/>
      <w:marLeft w:val="0"/>
      <w:marRight w:val="0"/>
      <w:marTop w:val="0"/>
      <w:marBottom w:val="0"/>
      <w:divBdr>
        <w:top w:val="none" w:sz="0" w:space="0" w:color="auto"/>
        <w:left w:val="none" w:sz="0" w:space="0" w:color="auto"/>
        <w:bottom w:val="none" w:sz="0" w:space="0" w:color="auto"/>
        <w:right w:val="none" w:sz="0" w:space="0" w:color="auto"/>
      </w:divBdr>
    </w:div>
    <w:div w:id="1075468423">
      <w:bodyDiv w:val="1"/>
      <w:marLeft w:val="0"/>
      <w:marRight w:val="0"/>
      <w:marTop w:val="0"/>
      <w:marBottom w:val="0"/>
      <w:divBdr>
        <w:top w:val="none" w:sz="0" w:space="0" w:color="auto"/>
        <w:left w:val="none" w:sz="0" w:space="0" w:color="auto"/>
        <w:bottom w:val="none" w:sz="0" w:space="0" w:color="auto"/>
        <w:right w:val="none" w:sz="0" w:space="0" w:color="auto"/>
      </w:divBdr>
    </w:div>
    <w:div w:id="1117065289">
      <w:bodyDiv w:val="1"/>
      <w:marLeft w:val="0"/>
      <w:marRight w:val="0"/>
      <w:marTop w:val="0"/>
      <w:marBottom w:val="0"/>
      <w:divBdr>
        <w:top w:val="none" w:sz="0" w:space="0" w:color="auto"/>
        <w:left w:val="none" w:sz="0" w:space="0" w:color="auto"/>
        <w:bottom w:val="none" w:sz="0" w:space="0" w:color="auto"/>
        <w:right w:val="none" w:sz="0" w:space="0" w:color="auto"/>
      </w:divBdr>
    </w:div>
    <w:div w:id="1150907236">
      <w:bodyDiv w:val="1"/>
      <w:marLeft w:val="0"/>
      <w:marRight w:val="0"/>
      <w:marTop w:val="0"/>
      <w:marBottom w:val="0"/>
      <w:divBdr>
        <w:top w:val="none" w:sz="0" w:space="0" w:color="auto"/>
        <w:left w:val="none" w:sz="0" w:space="0" w:color="auto"/>
        <w:bottom w:val="none" w:sz="0" w:space="0" w:color="auto"/>
        <w:right w:val="none" w:sz="0" w:space="0" w:color="auto"/>
      </w:divBdr>
    </w:div>
    <w:div w:id="1231190516">
      <w:bodyDiv w:val="1"/>
      <w:marLeft w:val="0"/>
      <w:marRight w:val="0"/>
      <w:marTop w:val="0"/>
      <w:marBottom w:val="0"/>
      <w:divBdr>
        <w:top w:val="none" w:sz="0" w:space="0" w:color="auto"/>
        <w:left w:val="none" w:sz="0" w:space="0" w:color="auto"/>
        <w:bottom w:val="none" w:sz="0" w:space="0" w:color="auto"/>
        <w:right w:val="none" w:sz="0" w:space="0" w:color="auto"/>
      </w:divBdr>
    </w:div>
    <w:div w:id="1237595387">
      <w:bodyDiv w:val="1"/>
      <w:marLeft w:val="0"/>
      <w:marRight w:val="0"/>
      <w:marTop w:val="0"/>
      <w:marBottom w:val="0"/>
      <w:divBdr>
        <w:top w:val="none" w:sz="0" w:space="0" w:color="auto"/>
        <w:left w:val="none" w:sz="0" w:space="0" w:color="auto"/>
        <w:bottom w:val="none" w:sz="0" w:space="0" w:color="auto"/>
        <w:right w:val="none" w:sz="0" w:space="0" w:color="auto"/>
      </w:divBdr>
    </w:div>
    <w:div w:id="1308629709">
      <w:bodyDiv w:val="1"/>
      <w:marLeft w:val="0"/>
      <w:marRight w:val="0"/>
      <w:marTop w:val="0"/>
      <w:marBottom w:val="0"/>
      <w:divBdr>
        <w:top w:val="none" w:sz="0" w:space="0" w:color="auto"/>
        <w:left w:val="none" w:sz="0" w:space="0" w:color="auto"/>
        <w:bottom w:val="none" w:sz="0" w:space="0" w:color="auto"/>
        <w:right w:val="none" w:sz="0" w:space="0" w:color="auto"/>
      </w:divBdr>
    </w:div>
    <w:div w:id="1379427820">
      <w:bodyDiv w:val="1"/>
      <w:marLeft w:val="0"/>
      <w:marRight w:val="0"/>
      <w:marTop w:val="0"/>
      <w:marBottom w:val="0"/>
      <w:divBdr>
        <w:top w:val="none" w:sz="0" w:space="0" w:color="auto"/>
        <w:left w:val="none" w:sz="0" w:space="0" w:color="auto"/>
        <w:bottom w:val="none" w:sz="0" w:space="0" w:color="auto"/>
        <w:right w:val="none" w:sz="0" w:space="0" w:color="auto"/>
      </w:divBdr>
    </w:div>
    <w:div w:id="1537425339">
      <w:bodyDiv w:val="1"/>
      <w:marLeft w:val="0"/>
      <w:marRight w:val="0"/>
      <w:marTop w:val="0"/>
      <w:marBottom w:val="0"/>
      <w:divBdr>
        <w:top w:val="none" w:sz="0" w:space="0" w:color="auto"/>
        <w:left w:val="none" w:sz="0" w:space="0" w:color="auto"/>
        <w:bottom w:val="none" w:sz="0" w:space="0" w:color="auto"/>
        <w:right w:val="none" w:sz="0" w:space="0" w:color="auto"/>
      </w:divBdr>
    </w:div>
    <w:div w:id="1540819077">
      <w:bodyDiv w:val="1"/>
      <w:marLeft w:val="0"/>
      <w:marRight w:val="0"/>
      <w:marTop w:val="0"/>
      <w:marBottom w:val="0"/>
      <w:divBdr>
        <w:top w:val="none" w:sz="0" w:space="0" w:color="auto"/>
        <w:left w:val="none" w:sz="0" w:space="0" w:color="auto"/>
        <w:bottom w:val="none" w:sz="0" w:space="0" w:color="auto"/>
        <w:right w:val="none" w:sz="0" w:space="0" w:color="auto"/>
      </w:divBdr>
    </w:div>
    <w:div w:id="1556700119">
      <w:bodyDiv w:val="1"/>
      <w:marLeft w:val="0"/>
      <w:marRight w:val="0"/>
      <w:marTop w:val="0"/>
      <w:marBottom w:val="0"/>
      <w:divBdr>
        <w:top w:val="none" w:sz="0" w:space="0" w:color="auto"/>
        <w:left w:val="none" w:sz="0" w:space="0" w:color="auto"/>
        <w:bottom w:val="none" w:sz="0" w:space="0" w:color="auto"/>
        <w:right w:val="none" w:sz="0" w:space="0" w:color="auto"/>
      </w:divBdr>
    </w:div>
    <w:div w:id="1680231468">
      <w:bodyDiv w:val="1"/>
      <w:marLeft w:val="0"/>
      <w:marRight w:val="0"/>
      <w:marTop w:val="0"/>
      <w:marBottom w:val="0"/>
      <w:divBdr>
        <w:top w:val="none" w:sz="0" w:space="0" w:color="auto"/>
        <w:left w:val="none" w:sz="0" w:space="0" w:color="auto"/>
        <w:bottom w:val="none" w:sz="0" w:space="0" w:color="auto"/>
        <w:right w:val="none" w:sz="0" w:space="0" w:color="auto"/>
      </w:divBdr>
    </w:div>
    <w:div w:id="1687369253">
      <w:bodyDiv w:val="1"/>
      <w:marLeft w:val="0"/>
      <w:marRight w:val="0"/>
      <w:marTop w:val="0"/>
      <w:marBottom w:val="0"/>
      <w:divBdr>
        <w:top w:val="none" w:sz="0" w:space="0" w:color="auto"/>
        <w:left w:val="none" w:sz="0" w:space="0" w:color="auto"/>
        <w:bottom w:val="none" w:sz="0" w:space="0" w:color="auto"/>
        <w:right w:val="none" w:sz="0" w:space="0" w:color="auto"/>
      </w:divBdr>
    </w:div>
    <w:div w:id="1740396062">
      <w:bodyDiv w:val="1"/>
      <w:marLeft w:val="0"/>
      <w:marRight w:val="0"/>
      <w:marTop w:val="0"/>
      <w:marBottom w:val="0"/>
      <w:divBdr>
        <w:top w:val="none" w:sz="0" w:space="0" w:color="auto"/>
        <w:left w:val="none" w:sz="0" w:space="0" w:color="auto"/>
        <w:bottom w:val="none" w:sz="0" w:space="0" w:color="auto"/>
        <w:right w:val="none" w:sz="0" w:space="0" w:color="auto"/>
      </w:divBdr>
    </w:div>
    <w:div w:id="1784879541">
      <w:bodyDiv w:val="1"/>
      <w:marLeft w:val="0"/>
      <w:marRight w:val="0"/>
      <w:marTop w:val="0"/>
      <w:marBottom w:val="0"/>
      <w:divBdr>
        <w:top w:val="none" w:sz="0" w:space="0" w:color="auto"/>
        <w:left w:val="none" w:sz="0" w:space="0" w:color="auto"/>
        <w:bottom w:val="none" w:sz="0" w:space="0" w:color="auto"/>
        <w:right w:val="none" w:sz="0" w:space="0" w:color="auto"/>
      </w:divBdr>
    </w:div>
    <w:div w:id="1801994656">
      <w:bodyDiv w:val="1"/>
      <w:marLeft w:val="0"/>
      <w:marRight w:val="0"/>
      <w:marTop w:val="0"/>
      <w:marBottom w:val="0"/>
      <w:divBdr>
        <w:top w:val="none" w:sz="0" w:space="0" w:color="auto"/>
        <w:left w:val="none" w:sz="0" w:space="0" w:color="auto"/>
        <w:bottom w:val="none" w:sz="0" w:space="0" w:color="auto"/>
        <w:right w:val="none" w:sz="0" w:space="0" w:color="auto"/>
      </w:divBdr>
      <w:divsChild>
        <w:div w:id="935015340">
          <w:marLeft w:val="0"/>
          <w:marRight w:val="0"/>
          <w:marTop w:val="0"/>
          <w:marBottom w:val="0"/>
          <w:divBdr>
            <w:top w:val="none" w:sz="0" w:space="0" w:color="auto"/>
            <w:left w:val="none" w:sz="0" w:space="0" w:color="auto"/>
            <w:bottom w:val="none" w:sz="0" w:space="0" w:color="auto"/>
            <w:right w:val="none" w:sz="0" w:space="0" w:color="auto"/>
          </w:divBdr>
          <w:divsChild>
            <w:div w:id="1297836791">
              <w:marLeft w:val="0"/>
              <w:marRight w:val="0"/>
              <w:marTop w:val="0"/>
              <w:marBottom w:val="0"/>
              <w:divBdr>
                <w:top w:val="none" w:sz="0" w:space="0" w:color="auto"/>
                <w:left w:val="none" w:sz="0" w:space="0" w:color="auto"/>
                <w:bottom w:val="none" w:sz="0" w:space="0" w:color="auto"/>
                <w:right w:val="none" w:sz="0" w:space="0" w:color="auto"/>
              </w:divBdr>
              <w:divsChild>
                <w:div w:id="406533439">
                  <w:marLeft w:val="0"/>
                  <w:marRight w:val="0"/>
                  <w:marTop w:val="0"/>
                  <w:marBottom w:val="0"/>
                  <w:divBdr>
                    <w:top w:val="none" w:sz="0" w:space="0" w:color="auto"/>
                    <w:left w:val="none" w:sz="0" w:space="0" w:color="auto"/>
                    <w:bottom w:val="none" w:sz="0" w:space="0" w:color="auto"/>
                    <w:right w:val="none" w:sz="0" w:space="0" w:color="auto"/>
                  </w:divBdr>
                  <w:divsChild>
                    <w:div w:id="8815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049881">
      <w:bodyDiv w:val="1"/>
      <w:marLeft w:val="0"/>
      <w:marRight w:val="0"/>
      <w:marTop w:val="0"/>
      <w:marBottom w:val="0"/>
      <w:divBdr>
        <w:top w:val="none" w:sz="0" w:space="0" w:color="auto"/>
        <w:left w:val="none" w:sz="0" w:space="0" w:color="auto"/>
        <w:bottom w:val="none" w:sz="0" w:space="0" w:color="auto"/>
        <w:right w:val="none" w:sz="0" w:space="0" w:color="auto"/>
      </w:divBdr>
    </w:div>
    <w:div w:id="1832793658">
      <w:bodyDiv w:val="1"/>
      <w:marLeft w:val="0"/>
      <w:marRight w:val="0"/>
      <w:marTop w:val="0"/>
      <w:marBottom w:val="0"/>
      <w:divBdr>
        <w:top w:val="none" w:sz="0" w:space="0" w:color="auto"/>
        <w:left w:val="none" w:sz="0" w:space="0" w:color="auto"/>
        <w:bottom w:val="none" w:sz="0" w:space="0" w:color="auto"/>
        <w:right w:val="none" w:sz="0" w:space="0" w:color="auto"/>
      </w:divBdr>
    </w:div>
    <w:div w:id="1836608471">
      <w:bodyDiv w:val="1"/>
      <w:marLeft w:val="0"/>
      <w:marRight w:val="0"/>
      <w:marTop w:val="0"/>
      <w:marBottom w:val="0"/>
      <w:divBdr>
        <w:top w:val="none" w:sz="0" w:space="0" w:color="auto"/>
        <w:left w:val="none" w:sz="0" w:space="0" w:color="auto"/>
        <w:bottom w:val="none" w:sz="0" w:space="0" w:color="auto"/>
        <w:right w:val="none" w:sz="0" w:space="0" w:color="auto"/>
      </w:divBdr>
    </w:div>
    <w:div w:id="1843664638">
      <w:bodyDiv w:val="1"/>
      <w:marLeft w:val="0"/>
      <w:marRight w:val="0"/>
      <w:marTop w:val="0"/>
      <w:marBottom w:val="0"/>
      <w:divBdr>
        <w:top w:val="none" w:sz="0" w:space="0" w:color="auto"/>
        <w:left w:val="none" w:sz="0" w:space="0" w:color="auto"/>
        <w:bottom w:val="none" w:sz="0" w:space="0" w:color="auto"/>
        <w:right w:val="none" w:sz="0" w:space="0" w:color="auto"/>
      </w:divBdr>
    </w:div>
    <w:div w:id="1849514509">
      <w:bodyDiv w:val="1"/>
      <w:marLeft w:val="0"/>
      <w:marRight w:val="0"/>
      <w:marTop w:val="0"/>
      <w:marBottom w:val="0"/>
      <w:divBdr>
        <w:top w:val="none" w:sz="0" w:space="0" w:color="auto"/>
        <w:left w:val="none" w:sz="0" w:space="0" w:color="auto"/>
        <w:bottom w:val="none" w:sz="0" w:space="0" w:color="auto"/>
        <w:right w:val="none" w:sz="0" w:space="0" w:color="auto"/>
      </w:divBdr>
    </w:div>
    <w:div w:id="1868831489">
      <w:bodyDiv w:val="1"/>
      <w:marLeft w:val="0"/>
      <w:marRight w:val="0"/>
      <w:marTop w:val="0"/>
      <w:marBottom w:val="0"/>
      <w:divBdr>
        <w:top w:val="none" w:sz="0" w:space="0" w:color="auto"/>
        <w:left w:val="none" w:sz="0" w:space="0" w:color="auto"/>
        <w:bottom w:val="none" w:sz="0" w:space="0" w:color="auto"/>
        <w:right w:val="none" w:sz="0" w:space="0" w:color="auto"/>
      </w:divBdr>
    </w:div>
    <w:div w:id="1893809814">
      <w:bodyDiv w:val="1"/>
      <w:marLeft w:val="0"/>
      <w:marRight w:val="0"/>
      <w:marTop w:val="0"/>
      <w:marBottom w:val="0"/>
      <w:divBdr>
        <w:top w:val="none" w:sz="0" w:space="0" w:color="auto"/>
        <w:left w:val="none" w:sz="0" w:space="0" w:color="auto"/>
        <w:bottom w:val="none" w:sz="0" w:space="0" w:color="auto"/>
        <w:right w:val="none" w:sz="0" w:space="0" w:color="auto"/>
      </w:divBdr>
    </w:div>
    <w:div w:id="1902249817">
      <w:bodyDiv w:val="1"/>
      <w:marLeft w:val="0"/>
      <w:marRight w:val="0"/>
      <w:marTop w:val="0"/>
      <w:marBottom w:val="0"/>
      <w:divBdr>
        <w:top w:val="none" w:sz="0" w:space="0" w:color="auto"/>
        <w:left w:val="none" w:sz="0" w:space="0" w:color="auto"/>
        <w:bottom w:val="none" w:sz="0" w:space="0" w:color="auto"/>
        <w:right w:val="none" w:sz="0" w:space="0" w:color="auto"/>
      </w:divBdr>
    </w:div>
    <w:div w:id="1985773534">
      <w:bodyDiv w:val="1"/>
      <w:marLeft w:val="0"/>
      <w:marRight w:val="0"/>
      <w:marTop w:val="0"/>
      <w:marBottom w:val="0"/>
      <w:divBdr>
        <w:top w:val="none" w:sz="0" w:space="0" w:color="auto"/>
        <w:left w:val="none" w:sz="0" w:space="0" w:color="auto"/>
        <w:bottom w:val="none" w:sz="0" w:space="0" w:color="auto"/>
        <w:right w:val="none" w:sz="0" w:space="0" w:color="auto"/>
      </w:divBdr>
    </w:div>
    <w:div w:id="2012099688">
      <w:bodyDiv w:val="1"/>
      <w:marLeft w:val="0"/>
      <w:marRight w:val="0"/>
      <w:marTop w:val="0"/>
      <w:marBottom w:val="0"/>
      <w:divBdr>
        <w:top w:val="none" w:sz="0" w:space="0" w:color="auto"/>
        <w:left w:val="none" w:sz="0" w:space="0" w:color="auto"/>
        <w:bottom w:val="none" w:sz="0" w:space="0" w:color="auto"/>
        <w:right w:val="none" w:sz="0" w:space="0" w:color="auto"/>
      </w:divBdr>
    </w:div>
    <w:div w:id="2051757692">
      <w:bodyDiv w:val="1"/>
      <w:marLeft w:val="0"/>
      <w:marRight w:val="0"/>
      <w:marTop w:val="0"/>
      <w:marBottom w:val="0"/>
      <w:divBdr>
        <w:top w:val="none" w:sz="0" w:space="0" w:color="auto"/>
        <w:left w:val="none" w:sz="0" w:space="0" w:color="auto"/>
        <w:bottom w:val="none" w:sz="0" w:space="0" w:color="auto"/>
        <w:right w:val="none" w:sz="0" w:space="0" w:color="auto"/>
      </w:divBdr>
    </w:div>
    <w:div w:id="2085295804">
      <w:bodyDiv w:val="1"/>
      <w:marLeft w:val="0"/>
      <w:marRight w:val="0"/>
      <w:marTop w:val="0"/>
      <w:marBottom w:val="0"/>
      <w:divBdr>
        <w:top w:val="none" w:sz="0" w:space="0" w:color="auto"/>
        <w:left w:val="none" w:sz="0" w:space="0" w:color="auto"/>
        <w:bottom w:val="none" w:sz="0" w:space="0" w:color="auto"/>
        <w:right w:val="none" w:sz="0" w:space="0" w:color="auto"/>
      </w:divBdr>
    </w:div>
    <w:div w:id="211578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44293-7A54-4C3D-A2F5-8F9A0EFF7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2043</Words>
  <Characters>12874</Characters>
  <Application>Microsoft Office Word</Application>
  <DocSecurity>0</DocSecurity>
  <Lines>107</Lines>
  <Paragraphs>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W</dc:creator>
  <cp:keywords/>
  <dc:description/>
  <cp:lastModifiedBy>Wiederkehr Stefan</cp:lastModifiedBy>
  <cp:revision>16</cp:revision>
  <cp:lastPrinted>2025-08-18T14:26:00Z</cp:lastPrinted>
  <dcterms:created xsi:type="dcterms:W3CDTF">2025-08-18T14:46:00Z</dcterms:created>
  <dcterms:modified xsi:type="dcterms:W3CDTF">2025-08-18T14:48:00Z</dcterms:modified>
</cp:coreProperties>
</file>