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0E02C" w14:textId="77777777" w:rsidR="00A27127" w:rsidRDefault="00A27127" w:rsidP="00B231C3">
      <w:pPr>
        <w:rPr>
          <w:rFonts w:ascii="Times New Roman" w:eastAsia="Times New Roman" w:hAnsi="Times New Roman" w:cs="Times New Roman"/>
          <w:b/>
          <w:bCs/>
          <w:color w:val="002060"/>
          <w:sz w:val="24"/>
          <w:szCs w:val="24"/>
          <w:lang w:val="en-US"/>
        </w:rPr>
      </w:pPr>
    </w:p>
    <w:p w14:paraId="5F6FBEEF" w14:textId="69F76169" w:rsidR="00B231C3" w:rsidRDefault="00B231C3" w:rsidP="00B231C3">
      <w:pPr>
        <w:rPr>
          <w:rFonts w:ascii="Times New Roman" w:eastAsia="Times New Roman" w:hAnsi="Times New Roman" w:cs="Times New Roman"/>
          <w:b/>
          <w:bCs/>
          <w:color w:val="002060"/>
          <w:sz w:val="24"/>
          <w:szCs w:val="24"/>
          <w:lang w:val="en-US"/>
        </w:rPr>
      </w:pPr>
      <w:r w:rsidRPr="0039359A">
        <w:rPr>
          <w:rFonts w:ascii="Times New Roman" w:eastAsia="Times New Roman" w:hAnsi="Times New Roman" w:cs="Times New Roman"/>
          <w:b/>
          <w:bCs/>
          <w:color w:val="002060"/>
          <w:sz w:val="24"/>
          <w:szCs w:val="24"/>
          <w:lang w:val="en-US"/>
        </w:rPr>
        <w:t>IMP Global Megatrend Umbrella Fund Commentary</w:t>
      </w:r>
    </w:p>
    <w:p w14:paraId="27A7D34F" w14:textId="77EF773C" w:rsidR="00BE5AAA" w:rsidRPr="00A27127" w:rsidRDefault="00BE5AAA" w:rsidP="00BE5AAA">
      <w:pPr>
        <w:jc w:val="both"/>
        <w:rPr>
          <w:rFonts w:ascii="Times New Roman" w:hAnsi="Times New Roman" w:cs="Times New Roman"/>
          <w:sz w:val="24"/>
          <w:szCs w:val="24"/>
          <w:lang w:val="en-US"/>
        </w:rPr>
      </w:pPr>
      <w:r w:rsidRPr="00A27127">
        <w:rPr>
          <w:rFonts w:ascii="Times New Roman" w:hAnsi="Times New Roman" w:cs="Times New Roman"/>
          <w:sz w:val="24"/>
          <w:szCs w:val="24"/>
          <w:lang w:val="en-US"/>
        </w:rPr>
        <w:t>Global markets ended October on a strong note, underscoring the resilience of the current bull market despite recurring political and geopolitical challenges. The S&amp;P 500 gained 2.3% for the month, marking its seventh consecutive monthly advance and reaching a new all-time high, while the MSCI All Country World Index also rose for a seventh straight month, the longest winning streak for both benchmarks since 2021. Even as the U.S.</w:t>
      </w:r>
      <w:r w:rsidR="002D78C5" w:rsidRPr="00A27127">
        <w:rPr>
          <w:rFonts w:ascii="Times New Roman" w:hAnsi="Times New Roman" w:cs="Times New Roman"/>
          <w:sz w:val="24"/>
          <w:szCs w:val="24"/>
          <w:lang w:val="en-US"/>
        </w:rPr>
        <w:t>-</w:t>
      </w:r>
      <w:r w:rsidRPr="00A27127">
        <w:rPr>
          <w:rFonts w:ascii="Times New Roman" w:hAnsi="Times New Roman" w:cs="Times New Roman"/>
          <w:sz w:val="24"/>
          <w:szCs w:val="24"/>
          <w:lang w:val="en-US"/>
        </w:rPr>
        <w:t>China trade relationship briefly came under renewed pressure and the U.S. government shutdown extended into its fifth week, investors largely looked through the noise. Robust corporate earnings, solid consumer spending, and further moderation in inflation provided reassurance that the expansion remain</w:t>
      </w:r>
      <w:r w:rsidR="002D78C5" w:rsidRPr="00A27127">
        <w:rPr>
          <w:rFonts w:ascii="Times New Roman" w:hAnsi="Times New Roman" w:cs="Times New Roman"/>
          <w:sz w:val="24"/>
          <w:szCs w:val="24"/>
          <w:lang w:val="en-US"/>
        </w:rPr>
        <w:t>ed</w:t>
      </w:r>
      <w:r w:rsidRPr="00A27127">
        <w:rPr>
          <w:rFonts w:ascii="Times New Roman" w:hAnsi="Times New Roman" w:cs="Times New Roman"/>
          <w:sz w:val="24"/>
          <w:szCs w:val="24"/>
          <w:lang w:val="en-US"/>
        </w:rPr>
        <w:t xml:space="preserve"> intact. Institutional strategists from UBS, Morgan Stanley, BlackRock, and J.P. Morgan broadly agreed that the greatest risk to investors lies in overreacting to short-term events rather than remaining aligned with enduring structural trends. Across leading investment firms, the consensus view for October was clear</w:t>
      </w:r>
      <w:r w:rsidR="002D78C5" w:rsidRPr="00A27127">
        <w:rPr>
          <w:rFonts w:ascii="Times New Roman" w:hAnsi="Times New Roman" w:cs="Times New Roman"/>
          <w:sz w:val="24"/>
          <w:szCs w:val="24"/>
          <w:lang w:val="en-US"/>
        </w:rPr>
        <w:t>:</w:t>
      </w:r>
      <w:r w:rsidRPr="00A27127">
        <w:rPr>
          <w:rFonts w:ascii="Times New Roman" w:hAnsi="Times New Roman" w:cs="Times New Roman"/>
          <w:sz w:val="24"/>
          <w:szCs w:val="24"/>
          <w:lang w:val="en-US"/>
        </w:rPr>
        <w:t xml:space="preserve"> earnings strength, policy discipline, and secular innovation, particularly in artificial intelligence, continue to underpin U.S. equity market leadership. Against this backdrop, the IMP Global Megatrend Umbrella Fund delivered a 2.62% return for the month, bringing its year-to-date gain to 15.32% as of October 31, 2025, net of fees.</w:t>
      </w:r>
    </w:p>
    <w:p w14:paraId="3094E2BB" w14:textId="7EEB7A68" w:rsidR="002D78C5" w:rsidRDefault="002D78C5" w:rsidP="00BE5AAA">
      <w:pPr>
        <w:jc w:val="both"/>
        <w:rPr>
          <w:rFonts w:ascii="Times New Roman" w:hAnsi="Times New Roman" w:cs="Times New Roman"/>
          <w:sz w:val="24"/>
          <w:szCs w:val="24"/>
          <w:lang w:val="en-US"/>
        </w:rPr>
      </w:pPr>
      <w:r w:rsidRPr="002D78C5">
        <w:rPr>
          <w:rFonts w:ascii="Times New Roman" w:hAnsi="Times New Roman" w:cs="Times New Roman"/>
          <w:sz w:val="24"/>
          <w:szCs w:val="24"/>
          <w:lang w:val="en-US"/>
        </w:rPr>
        <w:t xml:space="preserve">This positive market momentum was reinforced by third-quarter earnings results, which exceeded expectations across most sectors. Mega-cap technology firms once again delivered standout performances, confirming that corporate America’s investment cycle in AI, cloud computing, and digital infrastructure continues to accelerate. Alphabet, Apple, and other </w:t>
      </w:r>
      <w:r w:rsidR="00853A81" w:rsidRPr="002D78C5">
        <w:rPr>
          <w:rFonts w:ascii="Times New Roman" w:hAnsi="Times New Roman" w:cs="Times New Roman"/>
          <w:sz w:val="24"/>
          <w:szCs w:val="24"/>
          <w:lang w:val="en-US"/>
        </w:rPr>
        <w:t>top ten</w:t>
      </w:r>
      <w:r w:rsidRPr="002D78C5">
        <w:rPr>
          <w:rFonts w:ascii="Times New Roman" w:hAnsi="Times New Roman" w:cs="Times New Roman"/>
          <w:sz w:val="24"/>
          <w:szCs w:val="24"/>
          <w:lang w:val="en-US"/>
        </w:rPr>
        <w:t xml:space="preserve"> holdings predominantly reported stronger-than-forecast revenue growth and expanded 2026 capital expenditure guidance tied to AI data center </w:t>
      </w:r>
      <w:proofErr w:type="gramStart"/>
      <w:r w:rsidRPr="002D78C5">
        <w:rPr>
          <w:rFonts w:ascii="Times New Roman" w:hAnsi="Times New Roman" w:cs="Times New Roman"/>
          <w:sz w:val="24"/>
          <w:szCs w:val="24"/>
          <w:lang w:val="en-US"/>
        </w:rPr>
        <w:t>build-outs</w:t>
      </w:r>
      <w:proofErr w:type="gramEnd"/>
      <w:r w:rsidRPr="002D78C5">
        <w:rPr>
          <w:rFonts w:ascii="Times New Roman" w:hAnsi="Times New Roman" w:cs="Times New Roman"/>
          <w:sz w:val="24"/>
          <w:szCs w:val="24"/>
          <w:lang w:val="en-US"/>
        </w:rPr>
        <w:t>. Collectively, these companies invested over USD 60 billion in capital expenditures last quarter</w:t>
      </w:r>
      <w:r w:rsidR="000259C5">
        <w:rPr>
          <w:rFonts w:ascii="Times New Roman" w:hAnsi="Times New Roman" w:cs="Times New Roman"/>
          <w:sz w:val="24"/>
          <w:szCs w:val="24"/>
          <w:lang w:val="en-US"/>
        </w:rPr>
        <w:t>, a</w:t>
      </w:r>
      <w:r w:rsidRPr="002D78C5">
        <w:rPr>
          <w:rFonts w:ascii="Times New Roman" w:hAnsi="Times New Roman" w:cs="Times New Roman"/>
          <w:sz w:val="24"/>
          <w:szCs w:val="24"/>
          <w:lang w:val="en-US"/>
        </w:rPr>
        <w:t xml:space="preserve"> record level highlighting their commitment to long-term innovation and the rapid scaling of next-generation technologies</w:t>
      </w:r>
      <w:r w:rsidR="00BE5AAA" w:rsidRPr="00A27127">
        <w:rPr>
          <w:rFonts w:ascii="Times New Roman" w:hAnsi="Times New Roman" w:cs="Times New Roman"/>
          <w:sz w:val="24"/>
          <w:szCs w:val="24"/>
          <w:lang w:val="en-US"/>
        </w:rPr>
        <w:t xml:space="preserve">. </w:t>
      </w:r>
      <w:r w:rsidR="000259C5" w:rsidRPr="00A27127">
        <w:rPr>
          <w:rFonts w:ascii="Times New Roman" w:hAnsi="Times New Roman" w:cs="Times New Roman"/>
          <w:sz w:val="24"/>
          <w:szCs w:val="24"/>
          <w:lang w:val="en-US"/>
        </w:rPr>
        <w:t>Strength also</w:t>
      </w:r>
      <w:r w:rsidRPr="002D78C5">
        <w:rPr>
          <w:rFonts w:ascii="Times New Roman" w:hAnsi="Times New Roman" w:cs="Times New Roman"/>
          <w:sz w:val="24"/>
          <w:szCs w:val="24"/>
          <w:lang w:val="en-US"/>
        </w:rPr>
        <w:t xml:space="preserve"> extended beyond technology. According to UBS data, revenue growth across the S&amp;P 500 is tracking above 7</w:t>
      </w:r>
      <w:r>
        <w:rPr>
          <w:rFonts w:ascii="Times New Roman" w:hAnsi="Times New Roman" w:cs="Times New Roman"/>
          <w:sz w:val="24"/>
          <w:szCs w:val="24"/>
          <w:lang w:val="en-US"/>
        </w:rPr>
        <w:t>%</w:t>
      </w:r>
      <w:r w:rsidRPr="002D78C5">
        <w:rPr>
          <w:rFonts w:ascii="Times New Roman" w:hAnsi="Times New Roman" w:cs="Times New Roman"/>
          <w:sz w:val="24"/>
          <w:szCs w:val="24"/>
          <w:lang w:val="en-US"/>
        </w:rPr>
        <w:t xml:space="preserve"> year-on-year, and third-quarter earnings per share are estimated to have risen about 12</w:t>
      </w:r>
      <w:r>
        <w:rPr>
          <w:rFonts w:ascii="Times New Roman" w:hAnsi="Times New Roman" w:cs="Times New Roman"/>
          <w:sz w:val="24"/>
          <w:szCs w:val="24"/>
          <w:lang w:val="en-US"/>
        </w:rPr>
        <w:t>%</w:t>
      </w:r>
      <w:r w:rsidRPr="002D78C5">
        <w:rPr>
          <w:rFonts w:ascii="Times New Roman" w:hAnsi="Times New Roman" w:cs="Times New Roman"/>
          <w:sz w:val="24"/>
          <w:szCs w:val="24"/>
          <w:lang w:val="en-US"/>
        </w:rPr>
        <w:t>, compared with initial forecasts of 10</w:t>
      </w:r>
      <w:r>
        <w:rPr>
          <w:rFonts w:ascii="Times New Roman" w:hAnsi="Times New Roman" w:cs="Times New Roman"/>
          <w:sz w:val="24"/>
          <w:szCs w:val="24"/>
          <w:lang w:val="en-US"/>
        </w:rPr>
        <w:t>%</w:t>
      </w:r>
      <w:r w:rsidRPr="002D78C5">
        <w:rPr>
          <w:rFonts w:ascii="Times New Roman" w:hAnsi="Times New Roman" w:cs="Times New Roman"/>
          <w:sz w:val="24"/>
          <w:szCs w:val="24"/>
          <w:lang w:val="en-US"/>
        </w:rPr>
        <w:t>. Roughly 80</w:t>
      </w:r>
      <w:r>
        <w:rPr>
          <w:rFonts w:ascii="Times New Roman" w:hAnsi="Times New Roman" w:cs="Times New Roman"/>
          <w:sz w:val="24"/>
          <w:szCs w:val="24"/>
          <w:lang w:val="en-US"/>
        </w:rPr>
        <w:t>%</w:t>
      </w:r>
      <w:r w:rsidRPr="002D78C5">
        <w:rPr>
          <w:rFonts w:ascii="Times New Roman" w:hAnsi="Times New Roman" w:cs="Times New Roman"/>
          <w:sz w:val="24"/>
          <w:szCs w:val="24"/>
          <w:lang w:val="en-US"/>
        </w:rPr>
        <w:t xml:space="preserve"> of reporting firms beat consensus earnings estimates, one of the highest ratios in the past five years. Sectors tied to domestic demand, including consumer</w:t>
      </w:r>
      <w:r w:rsidR="000259C5">
        <w:rPr>
          <w:rFonts w:ascii="Times New Roman" w:hAnsi="Times New Roman" w:cs="Times New Roman"/>
          <w:sz w:val="24"/>
          <w:szCs w:val="24"/>
          <w:lang w:val="en-US"/>
        </w:rPr>
        <w:t xml:space="preserve"> </w:t>
      </w:r>
      <w:r w:rsidRPr="002D78C5">
        <w:rPr>
          <w:rFonts w:ascii="Times New Roman" w:hAnsi="Times New Roman" w:cs="Times New Roman"/>
          <w:sz w:val="24"/>
          <w:szCs w:val="24"/>
          <w:lang w:val="en-US"/>
        </w:rPr>
        <w:t>discretionary, health</w:t>
      </w:r>
      <w:r w:rsidR="000259C5">
        <w:rPr>
          <w:rFonts w:ascii="Times New Roman" w:hAnsi="Times New Roman" w:cs="Times New Roman"/>
          <w:sz w:val="24"/>
          <w:szCs w:val="24"/>
          <w:lang w:val="en-US"/>
        </w:rPr>
        <w:t xml:space="preserve"> </w:t>
      </w:r>
      <w:r w:rsidRPr="002D78C5">
        <w:rPr>
          <w:rFonts w:ascii="Times New Roman" w:hAnsi="Times New Roman" w:cs="Times New Roman"/>
          <w:sz w:val="24"/>
          <w:szCs w:val="24"/>
          <w:lang w:val="en-US"/>
        </w:rPr>
        <w:t xml:space="preserve">care, and industrials, also showed </w:t>
      </w:r>
      <w:r>
        <w:rPr>
          <w:rFonts w:ascii="Times New Roman" w:hAnsi="Times New Roman" w:cs="Times New Roman"/>
          <w:sz w:val="24"/>
          <w:szCs w:val="24"/>
          <w:lang w:val="en-US"/>
        </w:rPr>
        <w:t>solid</w:t>
      </w:r>
      <w:r w:rsidRPr="002D78C5">
        <w:rPr>
          <w:rFonts w:ascii="Times New Roman" w:hAnsi="Times New Roman" w:cs="Times New Roman"/>
          <w:sz w:val="24"/>
          <w:szCs w:val="24"/>
          <w:lang w:val="en-US"/>
        </w:rPr>
        <w:t xml:space="preserve"> trends.</w:t>
      </w:r>
    </w:p>
    <w:p w14:paraId="62580360" w14:textId="77777777" w:rsidR="00A27127" w:rsidRDefault="007F05ED" w:rsidP="00BE5AAA">
      <w:pPr>
        <w:jc w:val="both"/>
        <w:rPr>
          <w:rFonts w:ascii="Times New Roman" w:hAnsi="Times New Roman" w:cs="Times New Roman"/>
          <w:sz w:val="24"/>
          <w:szCs w:val="24"/>
          <w:lang w:val="en-US"/>
        </w:rPr>
      </w:pPr>
      <w:r>
        <w:rPr>
          <w:rFonts w:ascii="Times New Roman" w:hAnsi="Times New Roman" w:cs="Times New Roman"/>
          <w:sz w:val="24"/>
          <w:szCs w:val="24"/>
          <w:lang w:val="en-US"/>
        </w:rPr>
        <w:t>Even a</w:t>
      </w:r>
      <w:r w:rsidR="00BE5AAA" w:rsidRPr="00A27127">
        <w:rPr>
          <w:rFonts w:ascii="Times New Roman" w:hAnsi="Times New Roman" w:cs="Times New Roman"/>
          <w:sz w:val="24"/>
          <w:szCs w:val="24"/>
          <w:lang w:val="en-US"/>
        </w:rPr>
        <w:t>mid</w:t>
      </w:r>
      <w:r>
        <w:rPr>
          <w:rFonts w:ascii="Times New Roman" w:hAnsi="Times New Roman" w:cs="Times New Roman"/>
          <w:sz w:val="24"/>
          <w:szCs w:val="24"/>
          <w:lang w:val="en-US"/>
        </w:rPr>
        <w:t xml:space="preserve"> this environment</w:t>
      </w:r>
      <w:r w:rsidR="00BE5AAA" w:rsidRPr="00A27127">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of resilient </w:t>
      </w:r>
      <w:r w:rsidR="00BE5AAA" w:rsidRPr="00A27127">
        <w:rPr>
          <w:rFonts w:ascii="Times New Roman" w:hAnsi="Times New Roman" w:cs="Times New Roman"/>
          <w:sz w:val="24"/>
          <w:szCs w:val="24"/>
          <w:lang w:val="en-US"/>
        </w:rPr>
        <w:t>fundamentals,</w:t>
      </w:r>
      <w:r w:rsidR="000710AB" w:rsidRPr="00A27127">
        <w:rPr>
          <w:rFonts w:ascii="Times New Roman" w:hAnsi="Times New Roman" w:cs="Times New Roman"/>
          <w:sz w:val="24"/>
          <w:szCs w:val="24"/>
          <w:lang w:val="en-US"/>
        </w:rPr>
        <w:t xml:space="preserve"> </w:t>
      </w:r>
      <w:r w:rsidR="005A1F97">
        <w:rPr>
          <w:rFonts w:ascii="Times New Roman" w:hAnsi="Times New Roman" w:cs="Times New Roman"/>
          <w:sz w:val="24"/>
          <w:szCs w:val="24"/>
          <w:lang w:val="en-US"/>
        </w:rPr>
        <w:t xml:space="preserve">stretched </w:t>
      </w:r>
      <w:r w:rsidR="000710AB" w:rsidRPr="00A27127">
        <w:rPr>
          <w:rFonts w:ascii="Times New Roman" w:hAnsi="Times New Roman" w:cs="Times New Roman"/>
          <w:sz w:val="24"/>
          <w:szCs w:val="24"/>
          <w:lang w:val="en-US"/>
        </w:rPr>
        <w:t>tech</w:t>
      </w:r>
      <w:r w:rsidR="00BE5AAA" w:rsidRPr="00A27127">
        <w:rPr>
          <w:rFonts w:ascii="Times New Roman" w:hAnsi="Times New Roman" w:cs="Times New Roman"/>
          <w:sz w:val="24"/>
          <w:szCs w:val="24"/>
          <w:lang w:val="en-US"/>
        </w:rPr>
        <w:t xml:space="preserve"> valuations have drawn </w:t>
      </w:r>
      <w:r>
        <w:rPr>
          <w:rFonts w:ascii="Times New Roman" w:hAnsi="Times New Roman" w:cs="Times New Roman"/>
          <w:sz w:val="24"/>
          <w:szCs w:val="24"/>
          <w:lang w:val="en-US"/>
        </w:rPr>
        <w:t>greater</w:t>
      </w:r>
      <w:r w:rsidR="00BE5AAA" w:rsidRPr="00A27127">
        <w:rPr>
          <w:rFonts w:ascii="Times New Roman" w:hAnsi="Times New Roman" w:cs="Times New Roman"/>
          <w:sz w:val="24"/>
          <w:szCs w:val="24"/>
          <w:lang w:val="en-US"/>
        </w:rPr>
        <w:t xml:space="preserve"> scrutiny. While </w:t>
      </w:r>
      <w:r w:rsidR="000710AB" w:rsidRPr="00A27127">
        <w:rPr>
          <w:rFonts w:ascii="Times New Roman" w:hAnsi="Times New Roman" w:cs="Times New Roman"/>
          <w:sz w:val="24"/>
          <w:szCs w:val="24"/>
          <w:lang w:val="en-US"/>
        </w:rPr>
        <w:t>intensified skepticism</w:t>
      </w:r>
      <w:r w:rsidR="00BE5AAA" w:rsidRPr="00A27127">
        <w:rPr>
          <w:rFonts w:ascii="Times New Roman" w:hAnsi="Times New Roman" w:cs="Times New Roman"/>
          <w:sz w:val="24"/>
          <w:szCs w:val="24"/>
          <w:lang w:val="en-US"/>
        </w:rPr>
        <w:t xml:space="preserve"> has grown, </w:t>
      </w:r>
      <w:r w:rsidR="000710AB" w:rsidRPr="00A27127">
        <w:rPr>
          <w:rFonts w:ascii="Times New Roman" w:hAnsi="Times New Roman" w:cs="Times New Roman"/>
          <w:sz w:val="24"/>
          <w:szCs w:val="24"/>
          <w:lang w:val="en-US"/>
        </w:rPr>
        <w:t xml:space="preserve">we deem the </w:t>
      </w:r>
      <w:r w:rsidR="00BE5AAA" w:rsidRPr="00A27127">
        <w:rPr>
          <w:rFonts w:ascii="Times New Roman" w:hAnsi="Times New Roman" w:cs="Times New Roman"/>
          <w:sz w:val="24"/>
          <w:szCs w:val="24"/>
          <w:lang w:val="en-US"/>
        </w:rPr>
        <w:t xml:space="preserve">current levels </w:t>
      </w:r>
      <w:r w:rsidR="000710AB" w:rsidRPr="00A27127">
        <w:rPr>
          <w:rFonts w:ascii="Times New Roman" w:hAnsi="Times New Roman" w:cs="Times New Roman"/>
          <w:sz w:val="24"/>
          <w:szCs w:val="24"/>
          <w:lang w:val="en-US"/>
        </w:rPr>
        <w:t xml:space="preserve">as </w:t>
      </w:r>
      <w:r>
        <w:rPr>
          <w:rFonts w:ascii="Times New Roman" w:hAnsi="Times New Roman" w:cs="Times New Roman"/>
          <w:sz w:val="24"/>
          <w:szCs w:val="24"/>
          <w:lang w:val="en-US"/>
        </w:rPr>
        <w:t>warranted</w:t>
      </w:r>
      <w:r w:rsidR="00BE5AAA" w:rsidRPr="00A27127">
        <w:rPr>
          <w:rFonts w:ascii="Times New Roman" w:hAnsi="Times New Roman" w:cs="Times New Roman"/>
          <w:sz w:val="24"/>
          <w:szCs w:val="24"/>
          <w:lang w:val="en-US"/>
        </w:rPr>
        <w:t xml:space="preserve">, underpinned by earnings strength and structural profitability. </w:t>
      </w:r>
      <w:r w:rsidR="000710AB" w:rsidRPr="00A27127">
        <w:rPr>
          <w:rFonts w:ascii="Times New Roman" w:hAnsi="Times New Roman" w:cs="Times New Roman"/>
          <w:sz w:val="24"/>
          <w:szCs w:val="24"/>
          <w:lang w:val="en-US"/>
        </w:rPr>
        <w:t>Additionally, v</w:t>
      </w:r>
      <w:r w:rsidR="00BE5AAA" w:rsidRPr="00A27127">
        <w:rPr>
          <w:rFonts w:ascii="Times New Roman" w:hAnsi="Times New Roman" w:cs="Times New Roman"/>
          <w:sz w:val="24"/>
          <w:szCs w:val="24"/>
          <w:lang w:val="en-US"/>
        </w:rPr>
        <w:t xml:space="preserve">aluations have historically had limited predictive power for 12-month returns, </w:t>
      </w:r>
      <w:r w:rsidR="00803C36" w:rsidRPr="00A27127">
        <w:rPr>
          <w:rFonts w:ascii="Times New Roman" w:hAnsi="Times New Roman" w:cs="Times New Roman"/>
          <w:sz w:val="24"/>
          <w:szCs w:val="24"/>
          <w:lang w:val="en-US"/>
        </w:rPr>
        <w:t xml:space="preserve">as </w:t>
      </w:r>
      <w:r w:rsidR="00BE5AAA" w:rsidRPr="00A27127">
        <w:rPr>
          <w:rFonts w:ascii="Times New Roman" w:hAnsi="Times New Roman" w:cs="Times New Roman"/>
          <w:sz w:val="24"/>
          <w:szCs w:val="24"/>
          <w:lang w:val="en-US"/>
        </w:rPr>
        <w:t xml:space="preserve">earnings momentum and the policy backdrop remain more reliable drivers. Headline forward P/E ratios also reflect the evolving composition of modern indices, with Information Technology and Communication Services now making up roughly 40% of the S&amp;P 500, up from less than 20% two decades ago. Adjusted for this structural shift, the forward P/E of the MSCI All Country World Index is near its long-term </w:t>
      </w:r>
      <w:proofErr w:type="gramStart"/>
      <w:r w:rsidR="00BE5AAA" w:rsidRPr="00A27127">
        <w:rPr>
          <w:rFonts w:ascii="Times New Roman" w:hAnsi="Times New Roman" w:cs="Times New Roman"/>
          <w:sz w:val="24"/>
          <w:szCs w:val="24"/>
          <w:lang w:val="en-US"/>
        </w:rPr>
        <w:t>mean</w:t>
      </w:r>
      <w:proofErr w:type="gramEnd"/>
      <w:r w:rsidR="00BE5AAA" w:rsidRPr="00A27127">
        <w:rPr>
          <w:rFonts w:ascii="Times New Roman" w:hAnsi="Times New Roman" w:cs="Times New Roman"/>
          <w:sz w:val="24"/>
          <w:szCs w:val="24"/>
          <w:lang w:val="en-US"/>
        </w:rPr>
        <w:t>, with today’s tech leaders trading around 30× forward earnings, well below the late 1990</w:t>
      </w:r>
      <w:r w:rsidR="00803C36" w:rsidRPr="00A27127">
        <w:rPr>
          <w:rFonts w:ascii="Times New Roman" w:hAnsi="Times New Roman" w:cs="Times New Roman"/>
          <w:sz w:val="24"/>
          <w:szCs w:val="24"/>
          <w:lang w:val="en-US"/>
        </w:rPr>
        <w:t>’</w:t>
      </w:r>
      <w:r w:rsidR="00BE5AAA" w:rsidRPr="00A27127">
        <w:rPr>
          <w:rFonts w:ascii="Times New Roman" w:hAnsi="Times New Roman" w:cs="Times New Roman"/>
          <w:sz w:val="24"/>
          <w:szCs w:val="24"/>
          <w:lang w:val="en-US"/>
        </w:rPr>
        <w:t>s dot-com peak. That said</w:t>
      </w:r>
      <w:r w:rsidR="00803C36" w:rsidRPr="00A27127">
        <w:rPr>
          <w:rFonts w:ascii="Times New Roman" w:hAnsi="Times New Roman" w:cs="Times New Roman"/>
          <w:sz w:val="24"/>
          <w:szCs w:val="24"/>
          <w:lang w:val="en-US"/>
        </w:rPr>
        <w:t xml:space="preserve"> caution is warranted</w:t>
      </w:r>
      <w:r w:rsidR="00BE5AAA" w:rsidRPr="00A27127">
        <w:rPr>
          <w:rFonts w:ascii="Times New Roman" w:hAnsi="Times New Roman" w:cs="Times New Roman"/>
          <w:sz w:val="24"/>
          <w:szCs w:val="24"/>
          <w:lang w:val="en-US"/>
        </w:rPr>
        <w:t xml:space="preserve">, </w:t>
      </w:r>
      <w:r w:rsidR="00803C36" w:rsidRPr="00A27127">
        <w:rPr>
          <w:rFonts w:ascii="Times New Roman" w:hAnsi="Times New Roman" w:cs="Times New Roman"/>
          <w:sz w:val="24"/>
          <w:szCs w:val="24"/>
          <w:lang w:val="en-US"/>
        </w:rPr>
        <w:t xml:space="preserve">as </w:t>
      </w:r>
      <w:r w:rsidR="00BE5AAA" w:rsidRPr="00A27127">
        <w:rPr>
          <w:rFonts w:ascii="Times New Roman" w:hAnsi="Times New Roman" w:cs="Times New Roman"/>
          <w:sz w:val="24"/>
          <w:szCs w:val="24"/>
          <w:lang w:val="en-US"/>
        </w:rPr>
        <w:t xml:space="preserve">frothier </w:t>
      </w:r>
    </w:p>
    <w:p w14:paraId="6DE47E09" w14:textId="77777777" w:rsidR="00A27127" w:rsidRDefault="00A27127" w:rsidP="00BE5AAA">
      <w:pPr>
        <w:jc w:val="both"/>
        <w:rPr>
          <w:rFonts w:ascii="Times New Roman" w:hAnsi="Times New Roman" w:cs="Times New Roman"/>
          <w:sz w:val="24"/>
          <w:szCs w:val="24"/>
          <w:lang w:val="en-US"/>
        </w:rPr>
      </w:pPr>
    </w:p>
    <w:p w14:paraId="0C6E1154" w14:textId="77777777" w:rsidR="00A27127" w:rsidRDefault="00A27127" w:rsidP="00BE5AAA">
      <w:pPr>
        <w:jc w:val="both"/>
        <w:rPr>
          <w:rFonts w:ascii="Times New Roman" w:hAnsi="Times New Roman" w:cs="Times New Roman"/>
          <w:sz w:val="24"/>
          <w:szCs w:val="24"/>
          <w:lang w:val="en-US"/>
        </w:rPr>
      </w:pPr>
    </w:p>
    <w:p w14:paraId="1010857C" w14:textId="71C4228B" w:rsidR="00BE5AAA" w:rsidRPr="00A27127" w:rsidRDefault="00BE5AAA" w:rsidP="00BE5AAA">
      <w:pPr>
        <w:jc w:val="both"/>
        <w:rPr>
          <w:rFonts w:ascii="Times New Roman" w:hAnsi="Times New Roman" w:cs="Times New Roman"/>
          <w:sz w:val="24"/>
          <w:szCs w:val="24"/>
          <w:lang w:val="en-US"/>
        </w:rPr>
      </w:pPr>
      <w:r w:rsidRPr="00A27127">
        <w:rPr>
          <w:rFonts w:ascii="Times New Roman" w:hAnsi="Times New Roman" w:cs="Times New Roman"/>
          <w:sz w:val="24"/>
          <w:szCs w:val="24"/>
          <w:lang w:val="en-US"/>
        </w:rPr>
        <w:t>pockets of the market,</w:t>
      </w:r>
      <w:r w:rsidR="005A1F97">
        <w:rPr>
          <w:rFonts w:ascii="Times New Roman" w:hAnsi="Times New Roman" w:cs="Times New Roman"/>
          <w:sz w:val="24"/>
          <w:szCs w:val="24"/>
          <w:lang w:val="en-US"/>
        </w:rPr>
        <w:t xml:space="preserve"> </w:t>
      </w:r>
      <w:r w:rsidRPr="00A27127">
        <w:rPr>
          <w:rFonts w:ascii="Times New Roman" w:hAnsi="Times New Roman" w:cs="Times New Roman"/>
          <w:sz w:val="24"/>
          <w:szCs w:val="24"/>
          <w:lang w:val="en-US"/>
        </w:rPr>
        <w:t xml:space="preserve">particularly unprofitable companies, remain susceptible to </w:t>
      </w:r>
      <w:r w:rsidR="00803C36" w:rsidRPr="00A27127">
        <w:rPr>
          <w:rFonts w:ascii="Times New Roman" w:hAnsi="Times New Roman" w:cs="Times New Roman"/>
          <w:sz w:val="24"/>
          <w:szCs w:val="24"/>
          <w:lang w:val="en-US"/>
        </w:rPr>
        <w:t>drawdowns</w:t>
      </w:r>
      <w:r w:rsidRPr="00A27127">
        <w:rPr>
          <w:rFonts w:ascii="Times New Roman" w:hAnsi="Times New Roman" w:cs="Times New Roman"/>
          <w:sz w:val="24"/>
          <w:szCs w:val="24"/>
          <w:lang w:val="en-US"/>
        </w:rPr>
        <w:t>, as certain price trajectories have become unconvincingly elevated.</w:t>
      </w:r>
    </w:p>
    <w:p w14:paraId="7CD9056A" w14:textId="2E87A517" w:rsidR="006B6F16" w:rsidRDefault="006B6F16" w:rsidP="00BE5AAA">
      <w:pPr>
        <w:jc w:val="both"/>
        <w:rPr>
          <w:rFonts w:ascii="Times New Roman" w:hAnsi="Times New Roman" w:cs="Times New Roman"/>
          <w:sz w:val="24"/>
          <w:szCs w:val="24"/>
          <w:lang w:val="en-US"/>
        </w:rPr>
      </w:pPr>
      <w:r w:rsidRPr="006B6F16">
        <w:rPr>
          <w:rFonts w:ascii="Times New Roman" w:hAnsi="Times New Roman" w:cs="Times New Roman"/>
          <w:sz w:val="24"/>
          <w:szCs w:val="24"/>
          <w:lang w:val="en-US"/>
        </w:rPr>
        <w:t>Monetary policy and structural trends shaped markets in October. The Federal Reserve cut rates by 25 basis points to 3.75</w:t>
      </w:r>
      <w:r>
        <w:rPr>
          <w:rFonts w:ascii="Times New Roman" w:hAnsi="Times New Roman" w:cs="Times New Roman"/>
          <w:sz w:val="24"/>
          <w:szCs w:val="24"/>
          <w:lang w:val="en-US"/>
        </w:rPr>
        <w:t>-%</w:t>
      </w:r>
      <w:r w:rsidR="007F05ED">
        <w:rPr>
          <w:rFonts w:ascii="Times New Roman" w:hAnsi="Times New Roman" w:cs="Times New Roman"/>
          <w:sz w:val="24"/>
          <w:szCs w:val="24"/>
          <w:lang w:val="en-US"/>
        </w:rPr>
        <w:t xml:space="preserve"> - </w:t>
      </w:r>
      <w:r w:rsidRPr="006B6F16">
        <w:rPr>
          <w:rFonts w:ascii="Times New Roman" w:hAnsi="Times New Roman" w:cs="Times New Roman"/>
          <w:sz w:val="24"/>
          <w:szCs w:val="24"/>
          <w:lang w:val="en-US"/>
        </w:rPr>
        <w:t>4.00%, with September inflation slowing to 3.0%</w:t>
      </w:r>
      <w:r>
        <w:rPr>
          <w:rFonts w:ascii="Times New Roman" w:hAnsi="Times New Roman" w:cs="Times New Roman"/>
          <w:sz w:val="24"/>
          <w:szCs w:val="24"/>
          <w:lang w:val="en-US"/>
        </w:rPr>
        <w:t xml:space="preserve"> year-on-year</w:t>
      </w:r>
      <w:r w:rsidRPr="006B6F16">
        <w:rPr>
          <w:rFonts w:ascii="Times New Roman" w:hAnsi="Times New Roman" w:cs="Times New Roman"/>
          <w:sz w:val="24"/>
          <w:szCs w:val="24"/>
          <w:lang w:val="en-US"/>
        </w:rPr>
        <w:t xml:space="preserve">, below consensus but </w:t>
      </w:r>
      <w:r w:rsidR="005A1F97">
        <w:rPr>
          <w:rFonts w:ascii="Times New Roman" w:hAnsi="Times New Roman" w:cs="Times New Roman"/>
          <w:sz w:val="24"/>
          <w:szCs w:val="24"/>
          <w:lang w:val="en-US"/>
        </w:rPr>
        <w:t xml:space="preserve">still </w:t>
      </w:r>
      <w:r w:rsidRPr="006B6F16">
        <w:rPr>
          <w:rFonts w:ascii="Times New Roman" w:hAnsi="Times New Roman" w:cs="Times New Roman"/>
          <w:sz w:val="24"/>
          <w:szCs w:val="24"/>
          <w:lang w:val="en-US"/>
        </w:rPr>
        <w:t xml:space="preserve">above the 2% target. With the government shutdown disrupting </w:t>
      </w:r>
      <w:r w:rsidR="005A1F97">
        <w:rPr>
          <w:rFonts w:ascii="Times New Roman" w:hAnsi="Times New Roman" w:cs="Times New Roman"/>
          <w:sz w:val="24"/>
          <w:szCs w:val="24"/>
          <w:lang w:val="en-US"/>
        </w:rPr>
        <w:t xml:space="preserve">official </w:t>
      </w:r>
      <w:r w:rsidRPr="006B6F16">
        <w:rPr>
          <w:rFonts w:ascii="Times New Roman" w:hAnsi="Times New Roman" w:cs="Times New Roman"/>
          <w:sz w:val="24"/>
          <w:szCs w:val="24"/>
          <w:lang w:val="en-US"/>
        </w:rPr>
        <w:t>data, the Fed relied on alternative indicators showing continued moderation in headline and core inflation</w:t>
      </w:r>
      <w:r w:rsidR="005A1F97">
        <w:rPr>
          <w:rFonts w:ascii="Times New Roman" w:hAnsi="Times New Roman" w:cs="Times New Roman"/>
          <w:sz w:val="24"/>
          <w:szCs w:val="24"/>
          <w:lang w:val="en-US"/>
        </w:rPr>
        <w:t xml:space="preserve">. </w:t>
      </w:r>
      <w:r w:rsidRPr="006B6F16">
        <w:rPr>
          <w:rFonts w:ascii="Times New Roman" w:hAnsi="Times New Roman" w:cs="Times New Roman"/>
          <w:sz w:val="24"/>
          <w:szCs w:val="24"/>
          <w:lang w:val="en-US"/>
        </w:rPr>
        <w:t xml:space="preserve">Chair Powell emphasized that further easing is </w:t>
      </w:r>
      <w:proofErr w:type="gramStart"/>
      <w:r w:rsidRPr="006B6F16">
        <w:rPr>
          <w:rFonts w:ascii="Times New Roman" w:hAnsi="Times New Roman" w:cs="Times New Roman"/>
          <w:sz w:val="24"/>
          <w:szCs w:val="24"/>
          <w:lang w:val="en-US"/>
        </w:rPr>
        <w:t>data-dependent</w:t>
      </w:r>
      <w:proofErr w:type="gramEnd"/>
      <w:r w:rsidRPr="006B6F16">
        <w:rPr>
          <w:rFonts w:ascii="Times New Roman" w:hAnsi="Times New Roman" w:cs="Times New Roman"/>
          <w:sz w:val="24"/>
          <w:szCs w:val="24"/>
          <w:lang w:val="en-US"/>
        </w:rPr>
        <w:t xml:space="preserve">. Quantitative tightening ended </w:t>
      </w:r>
      <w:proofErr w:type="gramStart"/>
      <w:r w:rsidRPr="006B6F16">
        <w:rPr>
          <w:rFonts w:ascii="Times New Roman" w:hAnsi="Times New Roman" w:cs="Times New Roman"/>
          <w:sz w:val="24"/>
          <w:szCs w:val="24"/>
          <w:lang w:val="en-US"/>
        </w:rPr>
        <w:t>to preserve</w:t>
      </w:r>
      <w:proofErr w:type="gramEnd"/>
      <w:r w:rsidRPr="006B6F16">
        <w:rPr>
          <w:rFonts w:ascii="Times New Roman" w:hAnsi="Times New Roman" w:cs="Times New Roman"/>
          <w:sz w:val="24"/>
          <w:szCs w:val="24"/>
          <w:lang w:val="en-US"/>
        </w:rPr>
        <w:t xml:space="preserve"> liquidity and </w:t>
      </w:r>
      <w:proofErr w:type="gramStart"/>
      <w:r w:rsidRPr="006B6F16">
        <w:rPr>
          <w:rFonts w:ascii="Times New Roman" w:hAnsi="Times New Roman" w:cs="Times New Roman"/>
          <w:sz w:val="24"/>
          <w:szCs w:val="24"/>
          <w:lang w:val="en-US"/>
        </w:rPr>
        <w:t>support</w:t>
      </w:r>
      <w:proofErr w:type="gramEnd"/>
      <w:r w:rsidRPr="006B6F16">
        <w:rPr>
          <w:rFonts w:ascii="Times New Roman" w:hAnsi="Times New Roman" w:cs="Times New Roman"/>
          <w:sz w:val="24"/>
          <w:szCs w:val="24"/>
          <w:lang w:val="en-US"/>
        </w:rPr>
        <w:t xml:space="preserve"> stable bank funding, signaling confi</w:t>
      </w:r>
      <w:r w:rsidR="00803C36">
        <w:rPr>
          <w:rFonts w:ascii="Times New Roman" w:hAnsi="Times New Roman" w:cs="Times New Roman"/>
          <w:sz w:val="24"/>
          <w:szCs w:val="24"/>
          <w:lang w:val="en-US"/>
        </w:rPr>
        <w:t>d</w:t>
      </w:r>
      <w:r w:rsidRPr="006B6F16">
        <w:rPr>
          <w:rFonts w:ascii="Times New Roman" w:hAnsi="Times New Roman" w:cs="Times New Roman"/>
          <w:sz w:val="24"/>
          <w:szCs w:val="24"/>
          <w:lang w:val="en-US"/>
        </w:rPr>
        <w:t xml:space="preserve">ence amid </w:t>
      </w:r>
      <w:r w:rsidR="00DF77AB">
        <w:rPr>
          <w:rFonts w:ascii="Times New Roman" w:hAnsi="Times New Roman" w:cs="Times New Roman"/>
          <w:sz w:val="24"/>
          <w:szCs w:val="24"/>
          <w:lang w:val="en-US"/>
        </w:rPr>
        <w:t xml:space="preserve">ongoing </w:t>
      </w:r>
      <w:r w:rsidRPr="006B6F16">
        <w:rPr>
          <w:rFonts w:ascii="Times New Roman" w:hAnsi="Times New Roman" w:cs="Times New Roman"/>
          <w:sz w:val="24"/>
          <w:szCs w:val="24"/>
          <w:lang w:val="en-US"/>
        </w:rPr>
        <w:t>uncertainty. The shutdown had a modest drag on GDP, while markets viewed the Fed’s stance as balanced</w:t>
      </w:r>
      <w:r w:rsidR="00D2580D">
        <w:rPr>
          <w:rFonts w:ascii="Times New Roman" w:hAnsi="Times New Roman" w:cs="Times New Roman"/>
          <w:sz w:val="24"/>
          <w:szCs w:val="24"/>
          <w:lang w:val="en-US"/>
        </w:rPr>
        <w:t xml:space="preserve">; </w:t>
      </w:r>
      <w:r w:rsidRPr="006B6F16">
        <w:rPr>
          <w:rFonts w:ascii="Times New Roman" w:hAnsi="Times New Roman" w:cs="Times New Roman"/>
          <w:sz w:val="24"/>
          <w:szCs w:val="24"/>
          <w:lang w:val="en-US"/>
        </w:rPr>
        <w:t>restrictive enough to anchor inflation yet supportive of growth. Structural factors, including the U.S.</w:t>
      </w:r>
      <w:r w:rsidR="00D2580D">
        <w:rPr>
          <w:rFonts w:ascii="Times New Roman" w:hAnsi="Times New Roman" w:cs="Times New Roman"/>
          <w:sz w:val="24"/>
          <w:szCs w:val="24"/>
          <w:lang w:val="en-US"/>
        </w:rPr>
        <w:t>-</w:t>
      </w:r>
      <w:r w:rsidRPr="006B6F16">
        <w:rPr>
          <w:rFonts w:ascii="Times New Roman" w:hAnsi="Times New Roman" w:cs="Times New Roman"/>
          <w:sz w:val="24"/>
          <w:szCs w:val="24"/>
          <w:lang w:val="en-US"/>
        </w:rPr>
        <w:t>China trade truce and strong U.S. tech earnings, highlight</w:t>
      </w:r>
      <w:r w:rsidR="00D2580D">
        <w:rPr>
          <w:rFonts w:ascii="Times New Roman" w:hAnsi="Times New Roman" w:cs="Times New Roman"/>
          <w:sz w:val="24"/>
          <w:szCs w:val="24"/>
          <w:lang w:val="en-US"/>
        </w:rPr>
        <w:t>ed</w:t>
      </w:r>
      <w:r w:rsidRPr="006B6F16">
        <w:rPr>
          <w:rFonts w:ascii="Times New Roman" w:hAnsi="Times New Roman" w:cs="Times New Roman"/>
          <w:sz w:val="24"/>
          <w:szCs w:val="24"/>
          <w:lang w:val="en-US"/>
        </w:rPr>
        <w:t xml:space="preserve"> how AI, digitalization and supply-chain shifts </w:t>
      </w:r>
      <w:r w:rsidR="00D2580D">
        <w:rPr>
          <w:rFonts w:ascii="Times New Roman" w:hAnsi="Times New Roman" w:cs="Times New Roman"/>
          <w:sz w:val="24"/>
          <w:szCs w:val="24"/>
          <w:lang w:val="en-US"/>
        </w:rPr>
        <w:t xml:space="preserve">are </w:t>
      </w:r>
      <w:r w:rsidRPr="006B6F16">
        <w:rPr>
          <w:rFonts w:ascii="Times New Roman" w:hAnsi="Times New Roman" w:cs="Times New Roman"/>
          <w:sz w:val="24"/>
          <w:szCs w:val="24"/>
          <w:lang w:val="en-US"/>
        </w:rPr>
        <w:t>increasingly influenc</w:t>
      </w:r>
      <w:r w:rsidR="00D2580D">
        <w:rPr>
          <w:rFonts w:ascii="Times New Roman" w:hAnsi="Times New Roman" w:cs="Times New Roman"/>
          <w:sz w:val="24"/>
          <w:szCs w:val="24"/>
          <w:lang w:val="en-US"/>
        </w:rPr>
        <w:t>ing</w:t>
      </w:r>
      <w:r w:rsidRPr="006B6F16">
        <w:rPr>
          <w:rFonts w:ascii="Times New Roman" w:hAnsi="Times New Roman" w:cs="Times New Roman"/>
          <w:sz w:val="24"/>
          <w:szCs w:val="24"/>
          <w:lang w:val="en-US"/>
        </w:rPr>
        <w:t xml:space="preserve"> returns. </w:t>
      </w:r>
    </w:p>
    <w:p w14:paraId="23C5F54E" w14:textId="3CCD692C" w:rsidR="008D2B02" w:rsidRPr="008D2B02" w:rsidRDefault="008D2B02" w:rsidP="00BE5AAA">
      <w:pPr>
        <w:jc w:val="both"/>
        <w:rPr>
          <w:rFonts w:ascii="Times New Roman" w:hAnsi="Times New Roman" w:cs="Times New Roman"/>
          <w:sz w:val="24"/>
          <w:szCs w:val="24"/>
          <w:lang w:val="en-US"/>
        </w:rPr>
      </w:pPr>
      <w:r w:rsidRPr="008D2B02">
        <w:rPr>
          <w:rFonts w:ascii="Times New Roman" w:hAnsi="Times New Roman" w:cs="Times New Roman"/>
          <w:sz w:val="24"/>
          <w:szCs w:val="24"/>
          <w:lang w:val="en-US"/>
        </w:rPr>
        <w:t>This backdrop allowed us to maintain a disciplined investment approach, selectively realizing gains from strong performers and redeploying capital into high-conviction opportunities aligned with our long-term megatrend themes</w:t>
      </w:r>
      <w:r w:rsidR="005A1F97">
        <w:rPr>
          <w:rFonts w:ascii="Times New Roman" w:hAnsi="Times New Roman" w:cs="Times New Roman"/>
          <w:sz w:val="24"/>
          <w:szCs w:val="24"/>
          <w:lang w:val="en-US"/>
        </w:rPr>
        <w:t xml:space="preserve"> of</w:t>
      </w:r>
      <w:r w:rsidRPr="008D2B02">
        <w:rPr>
          <w:rFonts w:ascii="Times New Roman" w:hAnsi="Times New Roman" w:cs="Times New Roman"/>
          <w:sz w:val="24"/>
          <w:szCs w:val="24"/>
          <w:lang w:val="en-US"/>
        </w:rPr>
        <w:t xml:space="preserve"> Healthcare Innovation, Shifts in Economic Power, and Smart Infrastructure</w:t>
      </w:r>
      <w:r w:rsidR="00E24296">
        <w:rPr>
          <w:rFonts w:ascii="Times New Roman" w:hAnsi="Times New Roman" w:cs="Times New Roman"/>
          <w:sz w:val="24"/>
          <w:szCs w:val="24"/>
          <w:lang w:val="en-US"/>
        </w:rPr>
        <w:t>/</w:t>
      </w:r>
      <w:r w:rsidRPr="008D2B02">
        <w:rPr>
          <w:rFonts w:ascii="Times New Roman" w:hAnsi="Times New Roman" w:cs="Times New Roman"/>
          <w:sz w:val="24"/>
          <w:szCs w:val="24"/>
          <w:lang w:val="en-US"/>
        </w:rPr>
        <w:t xml:space="preserve">Smart City. October was marked by active portfolio rotation, tactical accumulation at attractive valuations, and </w:t>
      </w:r>
      <w:r>
        <w:rPr>
          <w:rFonts w:ascii="Times New Roman" w:hAnsi="Times New Roman" w:cs="Times New Roman"/>
          <w:sz w:val="24"/>
          <w:szCs w:val="24"/>
          <w:lang w:val="en-US"/>
        </w:rPr>
        <w:t>p</w:t>
      </w:r>
      <w:r w:rsidRPr="008D2B02">
        <w:rPr>
          <w:rFonts w:ascii="Times New Roman" w:hAnsi="Times New Roman" w:cs="Times New Roman"/>
          <w:sz w:val="24"/>
          <w:szCs w:val="24"/>
          <w:lang w:val="en-US"/>
        </w:rPr>
        <w:t>rudent de-risking as markets are likely to experience heightened volatility into year-end. While momentum in the market remains sustained</w:t>
      </w:r>
      <w:r>
        <w:rPr>
          <w:rFonts w:ascii="Times New Roman" w:hAnsi="Times New Roman" w:cs="Times New Roman"/>
          <w:sz w:val="24"/>
          <w:szCs w:val="24"/>
          <w:lang w:val="en-US"/>
        </w:rPr>
        <w:t xml:space="preserve"> for the time being</w:t>
      </w:r>
      <w:r w:rsidRPr="008D2B02">
        <w:rPr>
          <w:rFonts w:ascii="Times New Roman" w:hAnsi="Times New Roman" w:cs="Times New Roman"/>
          <w:sz w:val="24"/>
          <w:szCs w:val="24"/>
          <w:lang w:val="en-US"/>
        </w:rPr>
        <w:t>, we continue to exercise caution, recognizing that periods of unusually strong performance often call for disciplined profit-taking. Within Healthcare Innovation, we increased our position in Novo Nordisk A/S, taking advantage of share-price consolidation to re-enter at an attractive level, supported by expanding channels and growing optimism around its Alzheimer’s pipeline.</w:t>
      </w:r>
    </w:p>
    <w:p w14:paraId="728001C0" w14:textId="7AEE51D3" w:rsidR="00BE5AAA" w:rsidRPr="00A27127" w:rsidRDefault="00BE5AAA" w:rsidP="00BE5AAA">
      <w:pPr>
        <w:jc w:val="both"/>
        <w:rPr>
          <w:rFonts w:ascii="Times New Roman" w:hAnsi="Times New Roman" w:cs="Times New Roman"/>
          <w:sz w:val="24"/>
          <w:szCs w:val="24"/>
          <w:lang w:val="en-US"/>
        </w:rPr>
      </w:pPr>
      <w:r w:rsidRPr="00A27127">
        <w:rPr>
          <w:rFonts w:ascii="Times New Roman" w:hAnsi="Times New Roman" w:cs="Times New Roman"/>
          <w:sz w:val="24"/>
          <w:szCs w:val="24"/>
          <w:lang w:val="en-US"/>
        </w:rPr>
        <w:t xml:space="preserve">Under Shifts in Economic Power, we added to </w:t>
      </w:r>
      <w:proofErr w:type="spellStart"/>
      <w:r w:rsidRPr="00A27127">
        <w:rPr>
          <w:rFonts w:ascii="Times New Roman" w:hAnsi="Times New Roman" w:cs="Times New Roman"/>
          <w:sz w:val="24"/>
          <w:szCs w:val="24"/>
          <w:lang w:val="en-US"/>
        </w:rPr>
        <w:t>MercadoLibre</w:t>
      </w:r>
      <w:proofErr w:type="spellEnd"/>
      <w:r w:rsidRPr="00A27127">
        <w:rPr>
          <w:rFonts w:ascii="Times New Roman" w:hAnsi="Times New Roman" w:cs="Times New Roman"/>
          <w:sz w:val="24"/>
          <w:szCs w:val="24"/>
          <w:lang w:val="en-US"/>
        </w:rPr>
        <w:t xml:space="preserve"> Inc. following a short-term pullback, viewing it as an opportunity to accumulate a market leader at a compelling valuation. We also increased exposure to Klarna Group PLC after its partnership with Google Cloud to enhance AI-powered shopping experiences, strengthening its position within the BNPL market. Within Smart Infrastructure, Smart City, we </w:t>
      </w:r>
      <w:proofErr w:type="gramStart"/>
      <w:r w:rsidRPr="00A27127">
        <w:rPr>
          <w:rFonts w:ascii="Times New Roman" w:hAnsi="Times New Roman" w:cs="Times New Roman"/>
          <w:sz w:val="24"/>
          <w:szCs w:val="24"/>
          <w:lang w:val="en-US"/>
        </w:rPr>
        <w:t>added to</w:t>
      </w:r>
      <w:proofErr w:type="gramEnd"/>
      <w:r w:rsidRPr="00A27127">
        <w:rPr>
          <w:rFonts w:ascii="Times New Roman" w:hAnsi="Times New Roman" w:cs="Times New Roman"/>
          <w:sz w:val="24"/>
          <w:szCs w:val="24"/>
          <w:lang w:val="en-US"/>
        </w:rPr>
        <w:t xml:space="preserve"> </w:t>
      </w:r>
      <w:proofErr w:type="spellStart"/>
      <w:r w:rsidRPr="00A27127">
        <w:rPr>
          <w:rFonts w:ascii="Times New Roman" w:hAnsi="Times New Roman" w:cs="Times New Roman"/>
          <w:sz w:val="24"/>
          <w:szCs w:val="24"/>
          <w:lang w:val="en-US"/>
        </w:rPr>
        <w:t>NuScale</w:t>
      </w:r>
      <w:proofErr w:type="spellEnd"/>
      <w:r w:rsidRPr="00A27127">
        <w:rPr>
          <w:rFonts w:ascii="Times New Roman" w:hAnsi="Times New Roman" w:cs="Times New Roman"/>
          <w:sz w:val="24"/>
          <w:szCs w:val="24"/>
          <w:lang w:val="en-US"/>
        </w:rPr>
        <w:t xml:space="preserve"> Power Corporation, benefiting from renewed investor interest in nuclear energy driven by surging electricity demand from AI-related infrastructure. We also accumulated shares in Prysmian S.p.A. after an earnings-related dip, maintaining confidence in the company’s ability to capture growth from Europe’s electrification and data center expansion trends.</w:t>
      </w:r>
    </w:p>
    <w:p w14:paraId="33D0091A" w14:textId="59FDC3E2" w:rsidR="00BE5AAA" w:rsidRPr="00A27127" w:rsidRDefault="00BE5AAA" w:rsidP="00BE5AAA">
      <w:pPr>
        <w:jc w:val="both"/>
        <w:rPr>
          <w:rFonts w:ascii="Times New Roman" w:hAnsi="Times New Roman" w:cs="Times New Roman"/>
          <w:sz w:val="24"/>
          <w:szCs w:val="24"/>
          <w:lang w:val="en-US"/>
        </w:rPr>
      </w:pPr>
      <w:r w:rsidRPr="00A27127">
        <w:rPr>
          <w:rFonts w:ascii="Times New Roman" w:hAnsi="Times New Roman" w:cs="Times New Roman"/>
          <w:sz w:val="24"/>
          <w:szCs w:val="24"/>
          <w:lang w:val="en-US"/>
        </w:rPr>
        <w:t xml:space="preserve">On the divestment side, we executed partial sales in Tesla Inc., Constellation Energy Corp., Coinbase Global Inc., </w:t>
      </w:r>
      <w:proofErr w:type="spellStart"/>
      <w:r w:rsidRPr="00A27127">
        <w:rPr>
          <w:rFonts w:ascii="Times New Roman" w:hAnsi="Times New Roman" w:cs="Times New Roman"/>
          <w:sz w:val="24"/>
          <w:szCs w:val="24"/>
          <w:lang w:val="en-US"/>
        </w:rPr>
        <w:t>Nebius</w:t>
      </w:r>
      <w:proofErr w:type="spellEnd"/>
      <w:r w:rsidRPr="00A27127">
        <w:rPr>
          <w:rFonts w:ascii="Times New Roman" w:hAnsi="Times New Roman" w:cs="Times New Roman"/>
          <w:sz w:val="24"/>
          <w:szCs w:val="24"/>
          <w:lang w:val="en-US"/>
        </w:rPr>
        <w:t xml:space="preserve"> Group NV, Galderma Group AG, Schneider Electric SE, Alphabet Inc., and NVIDIA Corp., realizing strong year-to-date gains while managing concentration risk. To enhance portfolio stability, we also initiated and expanded a position in the iShares $ Treasury Bond 0 to 1 Year UCITS ETF, redeploying liquidity into short-term U.S. government bonds, a de-risking measure that allows us to maintain flexibility and capture yield amid </w:t>
      </w:r>
      <w:r w:rsidR="008D2B02" w:rsidRPr="00A27127">
        <w:rPr>
          <w:rFonts w:ascii="Times New Roman" w:hAnsi="Times New Roman" w:cs="Times New Roman"/>
          <w:sz w:val="24"/>
          <w:szCs w:val="24"/>
          <w:lang w:val="en-US"/>
        </w:rPr>
        <w:t xml:space="preserve">potential </w:t>
      </w:r>
      <w:r w:rsidRPr="00A27127">
        <w:rPr>
          <w:rFonts w:ascii="Times New Roman" w:hAnsi="Times New Roman" w:cs="Times New Roman"/>
          <w:sz w:val="24"/>
          <w:szCs w:val="24"/>
          <w:lang w:val="en-US"/>
        </w:rPr>
        <w:t xml:space="preserve">heightened </w:t>
      </w:r>
      <w:r w:rsidR="008D2B02" w:rsidRPr="00A27127">
        <w:rPr>
          <w:rFonts w:ascii="Times New Roman" w:hAnsi="Times New Roman" w:cs="Times New Roman"/>
          <w:sz w:val="24"/>
          <w:szCs w:val="24"/>
          <w:lang w:val="en-US"/>
        </w:rPr>
        <w:t>volatility</w:t>
      </w:r>
      <w:r w:rsidRPr="00A27127">
        <w:rPr>
          <w:rFonts w:ascii="Times New Roman" w:hAnsi="Times New Roman" w:cs="Times New Roman"/>
          <w:sz w:val="24"/>
          <w:szCs w:val="24"/>
          <w:lang w:val="en-US"/>
        </w:rPr>
        <w:t>.</w:t>
      </w:r>
    </w:p>
    <w:p w14:paraId="0B8AD44C" w14:textId="77777777" w:rsidR="006B6F16" w:rsidRDefault="006B6F16" w:rsidP="00BE5AAA">
      <w:pPr>
        <w:jc w:val="both"/>
        <w:rPr>
          <w:rFonts w:ascii="Times New Roman" w:hAnsi="Times New Roman" w:cs="Times New Roman"/>
          <w:sz w:val="24"/>
          <w:szCs w:val="24"/>
          <w:lang w:val="en-US"/>
        </w:rPr>
      </w:pPr>
    </w:p>
    <w:p w14:paraId="260B0D7E" w14:textId="77777777" w:rsidR="00A27127" w:rsidRPr="00A27127" w:rsidRDefault="00A27127" w:rsidP="00BE5AAA">
      <w:pPr>
        <w:jc w:val="both"/>
        <w:rPr>
          <w:rFonts w:ascii="Times New Roman" w:hAnsi="Times New Roman" w:cs="Times New Roman"/>
          <w:sz w:val="24"/>
          <w:szCs w:val="24"/>
          <w:lang w:val="en-US"/>
        </w:rPr>
      </w:pPr>
    </w:p>
    <w:p w14:paraId="6B8F1925" w14:textId="77777777" w:rsidR="00A27127" w:rsidRDefault="00A27127" w:rsidP="00BE5AAA">
      <w:pPr>
        <w:jc w:val="both"/>
        <w:rPr>
          <w:rFonts w:ascii="Times New Roman" w:hAnsi="Times New Roman" w:cs="Times New Roman"/>
          <w:sz w:val="24"/>
          <w:szCs w:val="24"/>
          <w:lang w:val="en-US"/>
        </w:rPr>
      </w:pPr>
    </w:p>
    <w:p w14:paraId="4EFA0914" w14:textId="759B8D78" w:rsidR="00BE5AAA" w:rsidRPr="00BE5AAA" w:rsidRDefault="006B6F16" w:rsidP="00BE5AAA">
      <w:pPr>
        <w:jc w:val="both"/>
        <w:rPr>
          <w:rFonts w:ascii="Times New Roman" w:hAnsi="Times New Roman" w:cs="Times New Roman"/>
          <w:sz w:val="24"/>
          <w:szCs w:val="24"/>
          <w:lang w:val="en-US"/>
        </w:rPr>
      </w:pPr>
      <w:r w:rsidRPr="006B6F16">
        <w:rPr>
          <w:rFonts w:ascii="Times New Roman" w:hAnsi="Times New Roman" w:cs="Times New Roman"/>
          <w:sz w:val="24"/>
          <w:szCs w:val="24"/>
          <w:lang w:val="en-US"/>
        </w:rPr>
        <w:t xml:space="preserve">Looking ahead, October reaffirmed that the U.S. economy remains the anchor of global market leadership. Inflation continues to moderate without derailing growth, consumers remain broadly resilient, and corporate investment in transformative technologies shows little sign of slowing. </w:t>
      </w:r>
      <w:r>
        <w:rPr>
          <w:rFonts w:ascii="Times New Roman" w:hAnsi="Times New Roman" w:cs="Times New Roman"/>
          <w:sz w:val="24"/>
          <w:szCs w:val="24"/>
          <w:lang w:val="en-US"/>
        </w:rPr>
        <w:t>Additionally, a more than probable</w:t>
      </w:r>
      <w:r w:rsidRPr="006B6F16">
        <w:rPr>
          <w:rFonts w:ascii="Times New Roman" w:hAnsi="Times New Roman" w:cs="Times New Roman"/>
          <w:sz w:val="24"/>
          <w:szCs w:val="24"/>
          <w:lang w:val="en-US"/>
        </w:rPr>
        <w:t xml:space="preserve"> resolution to the U.S. government shutdown would </w:t>
      </w:r>
      <w:r w:rsidR="00853A81">
        <w:rPr>
          <w:rFonts w:ascii="Times New Roman" w:hAnsi="Times New Roman" w:cs="Times New Roman"/>
          <w:sz w:val="24"/>
          <w:szCs w:val="24"/>
          <w:lang w:val="en-US"/>
        </w:rPr>
        <w:t xml:space="preserve">likely </w:t>
      </w:r>
      <w:r>
        <w:rPr>
          <w:rFonts w:ascii="Times New Roman" w:hAnsi="Times New Roman" w:cs="Times New Roman"/>
          <w:sz w:val="24"/>
          <w:szCs w:val="24"/>
          <w:lang w:val="en-US"/>
        </w:rPr>
        <w:t xml:space="preserve">reinforce market sentiment. </w:t>
      </w:r>
      <w:r w:rsidR="00BE5AAA" w:rsidRPr="00A27127">
        <w:rPr>
          <w:rFonts w:ascii="Times New Roman" w:hAnsi="Times New Roman" w:cs="Times New Roman"/>
          <w:sz w:val="24"/>
          <w:szCs w:val="24"/>
          <w:lang w:val="en-US"/>
        </w:rPr>
        <w:t xml:space="preserve">While policy uncertainty and intermittent volatility persist, the underlying narrative is coherent, steady disinflation, robust earnings, and long-duration growth drivers continue to support a constructive view on risk assets. We expect the Federal Reserve to proceed cautiously, cutting rates further only if warranted by data, while maintaining ample liquidity to ensure smooth financial conditions. In this environment, we continue to favor U.S. equities, particularly AI, infrastructure, utilities, and healthcare, alongside selective short-duration fixed income as portfolio ballast. Ultimately, </w:t>
      </w:r>
      <w:r w:rsidR="00C00A22">
        <w:rPr>
          <w:rFonts w:ascii="Times New Roman" w:hAnsi="Times New Roman" w:cs="Times New Roman"/>
          <w:sz w:val="24"/>
          <w:szCs w:val="24"/>
          <w:lang w:val="en-US"/>
        </w:rPr>
        <w:t xml:space="preserve">achieving </w:t>
      </w:r>
      <w:proofErr w:type="gramStart"/>
      <w:r w:rsidR="00BE5AAA" w:rsidRPr="00A27127">
        <w:rPr>
          <w:rFonts w:ascii="Times New Roman" w:hAnsi="Times New Roman" w:cs="Times New Roman"/>
          <w:sz w:val="24"/>
          <w:szCs w:val="24"/>
          <w:lang w:val="en-US"/>
        </w:rPr>
        <w:t>sustainable</w:t>
      </w:r>
      <w:proofErr w:type="gramEnd"/>
      <w:r w:rsidR="00BE5AAA" w:rsidRPr="00A27127">
        <w:rPr>
          <w:rFonts w:ascii="Times New Roman" w:hAnsi="Times New Roman" w:cs="Times New Roman"/>
          <w:sz w:val="24"/>
          <w:szCs w:val="24"/>
          <w:lang w:val="en-US"/>
        </w:rPr>
        <w:t xml:space="preserve"> re</w:t>
      </w:r>
      <w:r w:rsidR="00C00A22">
        <w:rPr>
          <w:rFonts w:ascii="Times New Roman" w:hAnsi="Times New Roman" w:cs="Times New Roman"/>
          <w:sz w:val="24"/>
          <w:szCs w:val="24"/>
          <w:lang w:val="en-US"/>
        </w:rPr>
        <w:t>quires</w:t>
      </w:r>
      <w:r w:rsidR="00BE5AAA" w:rsidRPr="00A27127">
        <w:rPr>
          <w:rFonts w:ascii="Times New Roman" w:hAnsi="Times New Roman" w:cs="Times New Roman"/>
          <w:sz w:val="24"/>
          <w:szCs w:val="24"/>
          <w:lang w:val="en-US"/>
        </w:rPr>
        <w:t xml:space="preserve"> </w:t>
      </w:r>
      <w:r w:rsidR="00C00A22">
        <w:rPr>
          <w:rFonts w:ascii="Times New Roman" w:hAnsi="Times New Roman" w:cs="Times New Roman"/>
          <w:sz w:val="24"/>
          <w:szCs w:val="24"/>
          <w:lang w:val="en-US"/>
        </w:rPr>
        <w:t>equanimity</w:t>
      </w:r>
      <w:r w:rsidR="00BE5AAA" w:rsidRPr="00A27127">
        <w:rPr>
          <w:rFonts w:ascii="Times New Roman" w:hAnsi="Times New Roman" w:cs="Times New Roman"/>
          <w:sz w:val="24"/>
          <w:szCs w:val="24"/>
          <w:lang w:val="en-US"/>
        </w:rPr>
        <w:t>, discipline</w:t>
      </w:r>
      <w:r w:rsidR="00C00A22">
        <w:rPr>
          <w:rFonts w:ascii="Times New Roman" w:hAnsi="Times New Roman" w:cs="Times New Roman"/>
          <w:sz w:val="24"/>
          <w:szCs w:val="24"/>
          <w:lang w:val="en-US"/>
        </w:rPr>
        <w:t>d decision-making</w:t>
      </w:r>
      <w:r w:rsidR="00BE5AAA" w:rsidRPr="00A27127">
        <w:rPr>
          <w:rFonts w:ascii="Times New Roman" w:hAnsi="Times New Roman" w:cs="Times New Roman"/>
          <w:sz w:val="24"/>
          <w:szCs w:val="24"/>
          <w:lang w:val="en-US"/>
        </w:rPr>
        <w:t xml:space="preserve">, and </w:t>
      </w:r>
      <w:r w:rsidR="00C00A22">
        <w:rPr>
          <w:rFonts w:ascii="Times New Roman" w:hAnsi="Times New Roman" w:cs="Times New Roman"/>
          <w:sz w:val="24"/>
          <w:szCs w:val="24"/>
          <w:lang w:val="en-US"/>
        </w:rPr>
        <w:t xml:space="preserve">the </w:t>
      </w:r>
      <w:r w:rsidR="00BE5AAA" w:rsidRPr="00A27127">
        <w:rPr>
          <w:rFonts w:ascii="Times New Roman" w:hAnsi="Times New Roman" w:cs="Times New Roman"/>
          <w:sz w:val="24"/>
          <w:szCs w:val="24"/>
          <w:lang w:val="en-US"/>
        </w:rPr>
        <w:t>humility</w:t>
      </w:r>
      <w:r w:rsidR="00C00A22">
        <w:rPr>
          <w:rFonts w:ascii="Times New Roman" w:hAnsi="Times New Roman" w:cs="Times New Roman"/>
          <w:sz w:val="24"/>
          <w:szCs w:val="24"/>
          <w:lang w:val="en-US"/>
        </w:rPr>
        <w:t xml:space="preserve"> to recognize </w:t>
      </w:r>
      <w:r w:rsidR="00BE5AAA" w:rsidRPr="00A27127">
        <w:rPr>
          <w:rFonts w:ascii="Times New Roman" w:hAnsi="Times New Roman" w:cs="Times New Roman"/>
          <w:sz w:val="24"/>
          <w:szCs w:val="24"/>
          <w:lang w:val="en-US"/>
        </w:rPr>
        <w:t xml:space="preserve">when to let </w:t>
      </w:r>
      <w:r w:rsidR="00853A81" w:rsidRPr="00A27127">
        <w:rPr>
          <w:rFonts w:ascii="Times New Roman" w:hAnsi="Times New Roman" w:cs="Times New Roman"/>
          <w:sz w:val="24"/>
          <w:szCs w:val="24"/>
          <w:lang w:val="en-US"/>
        </w:rPr>
        <w:t>gains</w:t>
      </w:r>
      <w:r w:rsidR="00BE5AAA" w:rsidRPr="00A27127">
        <w:rPr>
          <w:rFonts w:ascii="Times New Roman" w:hAnsi="Times New Roman" w:cs="Times New Roman"/>
          <w:sz w:val="24"/>
          <w:szCs w:val="24"/>
          <w:lang w:val="en-US"/>
        </w:rPr>
        <w:t xml:space="preserve"> </w:t>
      </w:r>
      <w:r w:rsidR="00C00A22">
        <w:rPr>
          <w:rFonts w:ascii="Times New Roman" w:hAnsi="Times New Roman" w:cs="Times New Roman"/>
          <w:sz w:val="24"/>
          <w:szCs w:val="24"/>
          <w:lang w:val="en-US"/>
        </w:rPr>
        <w:t>compound</w:t>
      </w:r>
      <w:r w:rsidR="00BE5AAA" w:rsidRPr="00A27127">
        <w:rPr>
          <w:rFonts w:ascii="Times New Roman" w:hAnsi="Times New Roman" w:cs="Times New Roman"/>
          <w:sz w:val="24"/>
          <w:szCs w:val="24"/>
          <w:lang w:val="en-US"/>
        </w:rPr>
        <w:t xml:space="preserve"> and when to </w:t>
      </w:r>
      <w:r w:rsidR="00C00A22">
        <w:rPr>
          <w:rFonts w:ascii="Times New Roman" w:hAnsi="Times New Roman" w:cs="Times New Roman"/>
          <w:sz w:val="24"/>
          <w:szCs w:val="24"/>
          <w:lang w:val="en-US"/>
        </w:rPr>
        <w:t>reduce exposure</w:t>
      </w:r>
      <w:r w:rsidR="00BE5AAA" w:rsidRPr="00A27127">
        <w:rPr>
          <w:rFonts w:ascii="Times New Roman" w:hAnsi="Times New Roman" w:cs="Times New Roman"/>
          <w:sz w:val="24"/>
          <w:szCs w:val="24"/>
          <w:lang w:val="en-US"/>
        </w:rPr>
        <w:t xml:space="preserve">. The </w:t>
      </w:r>
      <w:r w:rsidR="00E24296">
        <w:rPr>
          <w:rFonts w:ascii="Times New Roman" w:hAnsi="Times New Roman" w:cs="Times New Roman"/>
          <w:sz w:val="24"/>
          <w:szCs w:val="24"/>
          <w:lang w:val="en-US"/>
        </w:rPr>
        <w:t xml:space="preserve">identified </w:t>
      </w:r>
      <w:r w:rsidR="00BE5AAA" w:rsidRPr="00A27127">
        <w:rPr>
          <w:rFonts w:ascii="Times New Roman" w:hAnsi="Times New Roman" w:cs="Times New Roman"/>
          <w:sz w:val="24"/>
          <w:szCs w:val="24"/>
          <w:lang w:val="en-US"/>
        </w:rPr>
        <w:t>megatrends shaping this cycl</w:t>
      </w:r>
      <w:r w:rsidR="00E24296">
        <w:rPr>
          <w:rFonts w:ascii="Times New Roman" w:hAnsi="Times New Roman" w:cs="Times New Roman"/>
          <w:sz w:val="24"/>
          <w:szCs w:val="24"/>
          <w:lang w:val="en-US"/>
        </w:rPr>
        <w:t>e</w:t>
      </w:r>
      <w:r w:rsidR="00BE5AAA" w:rsidRPr="00A27127">
        <w:rPr>
          <w:rFonts w:ascii="Times New Roman" w:hAnsi="Times New Roman" w:cs="Times New Roman"/>
          <w:sz w:val="24"/>
          <w:szCs w:val="24"/>
          <w:lang w:val="en-US"/>
        </w:rPr>
        <w:t xml:space="preserve">, continue to define the </w:t>
      </w:r>
      <w:r w:rsidR="00E24296">
        <w:rPr>
          <w:rFonts w:ascii="Times New Roman" w:hAnsi="Times New Roman" w:cs="Times New Roman"/>
          <w:sz w:val="24"/>
          <w:szCs w:val="24"/>
          <w:lang w:val="en-US"/>
        </w:rPr>
        <w:t xml:space="preserve">evolving </w:t>
      </w:r>
      <w:r w:rsidR="00BE5AAA" w:rsidRPr="00A27127">
        <w:rPr>
          <w:rFonts w:ascii="Times New Roman" w:hAnsi="Times New Roman" w:cs="Times New Roman"/>
          <w:sz w:val="24"/>
          <w:szCs w:val="24"/>
          <w:lang w:val="en-US"/>
        </w:rPr>
        <w:t xml:space="preserve">opportunity set, </w:t>
      </w:r>
      <w:r w:rsidR="00E24296">
        <w:rPr>
          <w:rFonts w:ascii="Times New Roman" w:hAnsi="Times New Roman" w:cs="Times New Roman"/>
          <w:sz w:val="24"/>
          <w:szCs w:val="24"/>
          <w:lang w:val="en-US"/>
        </w:rPr>
        <w:t>underscoring the importance of staying invested</w:t>
      </w:r>
      <w:r w:rsidR="00BE5AAA" w:rsidRPr="00A27127">
        <w:rPr>
          <w:rFonts w:ascii="Times New Roman" w:hAnsi="Times New Roman" w:cs="Times New Roman"/>
          <w:sz w:val="24"/>
          <w:szCs w:val="24"/>
          <w:lang w:val="en-US"/>
        </w:rPr>
        <w:t xml:space="preserve">, </w:t>
      </w:r>
      <w:r w:rsidR="00E24296">
        <w:rPr>
          <w:rFonts w:ascii="Times New Roman" w:hAnsi="Times New Roman" w:cs="Times New Roman"/>
          <w:sz w:val="24"/>
          <w:szCs w:val="24"/>
          <w:lang w:val="en-US"/>
        </w:rPr>
        <w:t xml:space="preserve">remaining </w:t>
      </w:r>
      <w:r w:rsidR="00BE5AAA" w:rsidRPr="00A27127">
        <w:rPr>
          <w:rFonts w:ascii="Times New Roman" w:hAnsi="Times New Roman" w:cs="Times New Roman"/>
          <w:sz w:val="24"/>
          <w:szCs w:val="24"/>
          <w:lang w:val="en-US"/>
        </w:rPr>
        <w:t>diversified, and never mistaking momentum for immunity.</w:t>
      </w:r>
    </w:p>
    <w:p w14:paraId="57987017" w14:textId="77777777" w:rsidR="003F2574" w:rsidRPr="003F2574" w:rsidRDefault="003F2574" w:rsidP="003F2574">
      <w:pPr>
        <w:jc w:val="both"/>
        <w:rPr>
          <w:rFonts w:ascii="Times New Roman" w:hAnsi="Times New Roman" w:cs="Times New Roman"/>
          <w:sz w:val="24"/>
          <w:szCs w:val="24"/>
          <w:lang w:val="en-US"/>
        </w:rPr>
      </w:pPr>
      <w:r w:rsidRPr="003F2574">
        <w:rPr>
          <w:rFonts w:ascii="Times New Roman" w:hAnsi="Times New Roman" w:cs="Times New Roman"/>
          <w:sz w:val="24"/>
          <w:szCs w:val="24"/>
          <w:lang w:val="en-US"/>
        </w:rPr>
        <w:t xml:space="preserve">Thank you for your continued trust and support. </w:t>
      </w:r>
    </w:p>
    <w:p w14:paraId="0E10FD19" w14:textId="77777777" w:rsidR="003F2574" w:rsidRPr="003F2574" w:rsidRDefault="003F2574" w:rsidP="003F2574">
      <w:pPr>
        <w:jc w:val="both"/>
        <w:rPr>
          <w:rFonts w:ascii="Times New Roman" w:hAnsi="Times New Roman" w:cs="Times New Roman"/>
          <w:sz w:val="24"/>
          <w:szCs w:val="24"/>
          <w:lang w:val="en-US"/>
        </w:rPr>
      </w:pPr>
      <w:r w:rsidRPr="003F2574">
        <w:rPr>
          <w:rFonts w:ascii="Times New Roman" w:hAnsi="Times New Roman" w:cs="Times New Roman"/>
          <w:sz w:val="24"/>
          <w:szCs w:val="24"/>
          <w:lang w:val="en-US"/>
        </w:rPr>
        <w:t xml:space="preserve">Stefan Wiederkehr &amp; Karin Wiederkehr </w:t>
      </w:r>
    </w:p>
    <w:p w14:paraId="3CCA5A49" w14:textId="77777777" w:rsidR="003F2574" w:rsidRPr="003F2574" w:rsidRDefault="003F2574" w:rsidP="003F2574">
      <w:pPr>
        <w:jc w:val="both"/>
        <w:rPr>
          <w:rFonts w:ascii="Times New Roman" w:hAnsi="Times New Roman" w:cs="Times New Roman"/>
          <w:sz w:val="24"/>
          <w:szCs w:val="24"/>
          <w:lang w:val="en-US"/>
        </w:rPr>
      </w:pPr>
    </w:p>
    <w:p w14:paraId="2EAE6931" w14:textId="77777777" w:rsidR="00E62FFC" w:rsidRDefault="00E62FFC" w:rsidP="00E62FFC">
      <w:pPr>
        <w:jc w:val="both"/>
        <w:rPr>
          <w:rFonts w:ascii="Times New Roman" w:hAnsi="Times New Roman" w:cs="Times New Roman"/>
          <w:sz w:val="24"/>
          <w:szCs w:val="24"/>
          <w:lang w:val="en-US"/>
        </w:rPr>
      </w:pPr>
    </w:p>
    <w:p w14:paraId="32871FA1" w14:textId="77777777" w:rsidR="00E62FFC" w:rsidRDefault="00E62FFC" w:rsidP="00E62FFC">
      <w:pPr>
        <w:jc w:val="both"/>
        <w:rPr>
          <w:rFonts w:ascii="Times New Roman" w:hAnsi="Times New Roman" w:cs="Times New Roman"/>
          <w:sz w:val="24"/>
          <w:szCs w:val="24"/>
          <w:lang w:val="en-US"/>
        </w:rPr>
      </w:pPr>
    </w:p>
    <w:p w14:paraId="0387923A" w14:textId="77777777" w:rsidR="00E62FFC" w:rsidRDefault="00E62FFC" w:rsidP="00E62FFC">
      <w:pPr>
        <w:jc w:val="both"/>
        <w:rPr>
          <w:rFonts w:ascii="Times New Roman" w:hAnsi="Times New Roman" w:cs="Times New Roman"/>
          <w:sz w:val="24"/>
          <w:szCs w:val="24"/>
          <w:lang w:val="en-US"/>
        </w:rPr>
      </w:pPr>
    </w:p>
    <w:p w14:paraId="681A8C9E" w14:textId="77777777" w:rsidR="00E62FFC" w:rsidRDefault="00E62FFC" w:rsidP="00E62FFC">
      <w:pPr>
        <w:jc w:val="both"/>
        <w:rPr>
          <w:rFonts w:ascii="Times New Roman" w:hAnsi="Times New Roman" w:cs="Times New Roman"/>
          <w:sz w:val="24"/>
          <w:szCs w:val="24"/>
          <w:lang w:val="en-US"/>
        </w:rPr>
      </w:pPr>
    </w:p>
    <w:p w14:paraId="2FB56B86" w14:textId="77777777" w:rsidR="00E62FFC" w:rsidRDefault="00E62FFC" w:rsidP="00E62FFC">
      <w:pPr>
        <w:jc w:val="both"/>
        <w:rPr>
          <w:rFonts w:ascii="Times New Roman" w:hAnsi="Times New Roman" w:cs="Times New Roman"/>
          <w:sz w:val="24"/>
          <w:szCs w:val="24"/>
          <w:lang w:val="en-US"/>
        </w:rPr>
      </w:pPr>
    </w:p>
    <w:p w14:paraId="114EB659" w14:textId="77777777" w:rsidR="00E62FFC" w:rsidRDefault="00E62FFC" w:rsidP="00E62FFC">
      <w:pPr>
        <w:jc w:val="both"/>
        <w:rPr>
          <w:rFonts w:ascii="Times New Roman" w:hAnsi="Times New Roman" w:cs="Times New Roman"/>
          <w:sz w:val="24"/>
          <w:szCs w:val="24"/>
          <w:lang w:val="en-US"/>
        </w:rPr>
      </w:pPr>
    </w:p>
    <w:p w14:paraId="5047092B" w14:textId="77777777" w:rsidR="00E62FFC" w:rsidRDefault="00E62FFC" w:rsidP="00E62FFC">
      <w:pPr>
        <w:jc w:val="both"/>
        <w:rPr>
          <w:rFonts w:ascii="Times New Roman" w:hAnsi="Times New Roman" w:cs="Times New Roman"/>
          <w:sz w:val="24"/>
          <w:szCs w:val="24"/>
          <w:lang w:val="en-US"/>
        </w:rPr>
      </w:pPr>
    </w:p>
    <w:p w14:paraId="01629160" w14:textId="77777777" w:rsidR="00E62FFC" w:rsidRDefault="00E62FFC" w:rsidP="00E62FFC">
      <w:pPr>
        <w:jc w:val="both"/>
        <w:rPr>
          <w:rFonts w:ascii="Times New Roman" w:hAnsi="Times New Roman" w:cs="Times New Roman"/>
          <w:sz w:val="24"/>
          <w:szCs w:val="24"/>
          <w:lang w:val="en-US"/>
        </w:rPr>
      </w:pPr>
    </w:p>
    <w:p w14:paraId="0438BEC7" w14:textId="77777777" w:rsidR="00E62FFC" w:rsidRDefault="00E62FFC" w:rsidP="00E62FFC">
      <w:pPr>
        <w:jc w:val="both"/>
        <w:rPr>
          <w:rFonts w:ascii="Times New Roman" w:hAnsi="Times New Roman" w:cs="Times New Roman"/>
          <w:sz w:val="24"/>
          <w:szCs w:val="24"/>
          <w:lang w:val="en-US"/>
        </w:rPr>
      </w:pPr>
    </w:p>
    <w:p w14:paraId="3F1422EA" w14:textId="77777777" w:rsidR="00E62FFC" w:rsidRDefault="00E62FFC" w:rsidP="00E62FFC">
      <w:pPr>
        <w:jc w:val="both"/>
        <w:rPr>
          <w:rFonts w:ascii="Times New Roman" w:hAnsi="Times New Roman" w:cs="Times New Roman"/>
          <w:sz w:val="24"/>
          <w:szCs w:val="24"/>
          <w:lang w:val="en-US"/>
        </w:rPr>
      </w:pPr>
    </w:p>
    <w:p w14:paraId="57712A93" w14:textId="77777777" w:rsidR="00E62FFC" w:rsidRDefault="00E62FFC" w:rsidP="00E62FFC">
      <w:pPr>
        <w:jc w:val="both"/>
        <w:rPr>
          <w:rFonts w:ascii="Times New Roman" w:hAnsi="Times New Roman" w:cs="Times New Roman"/>
          <w:sz w:val="24"/>
          <w:szCs w:val="24"/>
          <w:lang w:val="en-US"/>
        </w:rPr>
      </w:pPr>
    </w:p>
    <w:p w14:paraId="31A1808E" w14:textId="77777777" w:rsidR="00E62FFC" w:rsidRDefault="00E62FFC" w:rsidP="00E62FFC">
      <w:pPr>
        <w:jc w:val="both"/>
        <w:rPr>
          <w:rFonts w:ascii="Times New Roman" w:hAnsi="Times New Roman" w:cs="Times New Roman"/>
          <w:sz w:val="24"/>
          <w:szCs w:val="24"/>
          <w:lang w:val="en-US"/>
        </w:rPr>
      </w:pPr>
    </w:p>
    <w:p w14:paraId="3BA53989" w14:textId="77777777" w:rsidR="00E62FFC" w:rsidRDefault="00E62FFC" w:rsidP="00E62FFC">
      <w:pPr>
        <w:jc w:val="both"/>
        <w:rPr>
          <w:rFonts w:ascii="Times New Roman" w:hAnsi="Times New Roman" w:cs="Times New Roman"/>
          <w:sz w:val="24"/>
          <w:szCs w:val="24"/>
          <w:lang w:val="en-US"/>
        </w:rPr>
      </w:pPr>
    </w:p>
    <w:p w14:paraId="41E38B8F" w14:textId="77777777" w:rsidR="00E62FFC" w:rsidRDefault="00E62FFC" w:rsidP="00E62FFC">
      <w:pPr>
        <w:jc w:val="both"/>
        <w:rPr>
          <w:rFonts w:ascii="Times New Roman" w:hAnsi="Times New Roman" w:cs="Times New Roman"/>
          <w:sz w:val="24"/>
          <w:szCs w:val="24"/>
          <w:lang w:val="en-US"/>
        </w:rPr>
      </w:pPr>
    </w:p>
    <w:p w14:paraId="7B842425" w14:textId="77777777" w:rsidR="00E62FFC" w:rsidRDefault="00E62FFC" w:rsidP="00E62FFC">
      <w:pPr>
        <w:jc w:val="both"/>
        <w:rPr>
          <w:rFonts w:ascii="Times New Roman" w:hAnsi="Times New Roman" w:cs="Times New Roman"/>
          <w:sz w:val="24"/>
          <w:szCs w:val="24"/>
          <w:lang w:val="en-US"/>
        </w:rPr>
      </w:pPr>
    </w:p>
    <w:p w14:paraId="18341EF8" w14:textId="77777777" w:rsidR="00E62FFC" w:rsidRDefault="00E62FFC" w:rsidP="00E62FFC">
      <w:pPr>
        <w:jc w:val="both"/>
        <w:rPr>
          <w:rFonts w:ascii="Times New Roman" w:hAnsi="Times New Roman" w:cs="Times New Roman"/>
          <w:sz w:val="24"/>
          <w:szCs w:val="24"/>
          <w:lang w:val="en-US"/>
        </w:rPr>
      </w:pPr>
    </w:p>
    <w:p w14:paraId="0067D892" w14:textId="176BA8B6" w:rsidR="00E62FFC" w:rsidRPr="00793B66" w:rsidRDefault="00E62FFC" w:rsidP="00E62FFC">
      <w:pPr>
        <w:jc w:val="both"/>
        <w:rPr>
          <w:rFonts w:ascii="Times New Roman" w:hAnsi="Times New Roman" w:cs="Times New Roman"/>
          <w:sz w:val="24"/>
          <w:szCs w:val="24"/>
          <w:lang w:val="en-US"/>
        </w:rPr>
      </w:pPr>
      <w:r w:rsidRPr="00793B66">
        <w:rPr>
          <w:rFonts w:ascii="Times New Roman" w:hAnsi="Times New Roman" w:cs="Times New Roman"/>
          <w:sz w:val="24"/>
          <w:szCs w:val="24"/>
          <w:lang w:val="en-US"/>
        </w:rPr>
        <w:lastRenderedPageBreak/>
        <w:t xml:space="preserve">This document is a marketing advertisement and has been prepared by MRB Fund Partners AG for information and marketing purposes only. All information and contents of this fund commentary are based on carefully selected sources that have been deemed reliable. Nevertheless, despite careful compilation of the information and content, MRB Fund Partners AG cannot assume any liability or guarantee for its correctness, completeness, accuracy, timeliness or availability. Furthermore, this fund commentary has neither been reviewed nor approved by a supervisory authority. The information and content legally constitute advertising messages that do not fulfil all legal requirements. This fund commentary is aimed at retail clients within the meaning of the European Financial Markets Directive and presents this investment opportunity as an entrepreneurial investment which, in addition to opportunities for returns, also involves risks up to and including the total loss of the invested capital. An investment decision may only be made </w:t>
      </w:r>
      <w:proofErr w:type="gramStart"/>
      <w:r w:rsidRPr="00793B66">
        <w:rPr>
          <w:rFonts w:ascii="Times New Roman" w:hAnsi="Times New Roman" w:cs="Times New Roman"/>
          <w:sz w:val="24"/>
          <w:szCs w:val="24"/>
          <w:lang w:val="en-US"/>
        </w:rPr>
        <w:t>on the basis of</w:t>
      </w:r>
      <w:proofErr w:type="gramEnd"/>
      <w:r w:rsidRPr="00793B66">
        <w:rPr>
          <w:rFonts w:ascii="Times New Roman" w:hAnsi="Times New Roman" w:cs="Times New Roman"/>
          <w:sz w:val="24"/>
          <w:szCs w:val="24"/>
          <w:lang w:val="en-US"/>
        </w:rPr>
        <w:t xml:space="preserve"> the information provided to investors as required by law. Please read the constituent documents, the prospectus and the key information documents before making a final investment decision. This fund commentary must be read in conjunction with the constituent documents or the prospectus and the key information documents for packaged investment products and insurance-based investment products (PRIIPs), if available under the relevant fund law, as these documents alone are authoritative. It is therefore necessary to read these documents carefully and in full before purchasing units </w:t>
      </w:r>
      <w:proofErr w:type="gramStart"/>
      <w:r w:rsidRPr="00793B66">
        <w:rPr>
          <w:rFonts w:ascii="Times New Roman" w:hAnsi="Times New Roman" w:cs="Times New Roman"/>
          <w:sz w:val="24"/>
          <w:szCs w:val="24"/>
          <w:lang w:val="en-US"/>
        </w:rPr>
        <w:t>in</w:t>
      </w:r>
      <w:proofErr w:type="gramEnd"/>
      <w:r w:rsidRPr="00793B66">
        <w:rPr>
          <w:rFonts w:ascii="Times New Roman" w:hAnsi="Times New Roman" w:cs="Times New Roman"/>
          <w:sz w:val="24"/>
          <w:szCs w:val="24"/>
          <w:lang w:val="en-US"/>
        </w:rPr>
        <w:t xml:space="preserve"> this fund. A subscription for units will only be accepted </w:t>
      </w:r>
      <w:proofErr w:type="gramStart"/>
      <w:r w:rsidRPr="00793B66">
        <w:rPr>
          <w:rFonts w:ascii="Times New Roman" w:hAnsi="Times New Roman" w:cs="Times New Roman"/>
          <w:sz w:val="24"/>
          <w:szCs w:val="24"/>
          <w:lang w:val="en-US"/>
        </w:rPr>
        <w:t>on the basis of</w:t>
      </w:r>
      <w:proofErr w:type="gramEnd"/>
      <w:r w:rsidRPr="00793B66">
        <w:rPr>
          <w:rFonts w:ascii="Times New Roman" w:hAnsi="Times New Roman" w:cs="Times New Roman"/>
          <w:sz w:val="24"/>
          <w:szCs w:val="24"/>
          <w:lang w:val="en-US"/>
        </w:rPr>
        <w:t xml:space="preserve"> the constituent documents, the prospectus and the key information documents for packaged investment products and insurance-based investment products (PRIIPs). No one should act </w:t>
      </w:r>
      <w:proofErr w:type="gramStart"/>
      <w:r w:rsidRPr="00793B66">
        <w:rPr>
          <w:rFonts w:ascii="Times New Roman" w:hAnsi="Times New Roman" w:cs="Times New Roman"/>
          <w:sz w:val="24"/>
          <w:szCs w:val="24"/>
          <w:lang w:val="en-US"/>
        </w:rPr>
        <w:t>on the basis of</w:t>
      </w:r>
      <w:proofErr w:type="gramEnd"/>
      <w:r w:rsidRPr="00793B66">
        <w:rPr>
          <w:rFonts w:ascii="Times New Roman" w:hAnsi="Times New Roman" w:cs="Times New Roman"/>
          <w:sz w:val="24"/>
          <w:szCs w:val="24"/>
          <w:lang w:val="en-US"/>
        </w:rPr>
        <w:t xml:space="preserve"> the information contained in this fund commentary without thoroughly analyzing the situation in question and obtaining appropriate professional advice from competent third parties. If available under the relevant fund law, the constitutive documents, the prospectus and the key information documents for packaged investment products and insurance-based investment products (PRIIPs) as well as the current annual and semi-annual reports can be obtained free of charge from the management company, the depositary and all authorized distributors in Switzerland and abroad. The information in this fund commentary is for information purposes only and does not contain any contractual or other obligations. It should not be construed as an offer or an advertisement soliciting the purchase of shares in this fund. Furthermore, this fund commentary does not constitute investment advice. The information and contents of this fund commentary may also be unsuitable or inapplicable for certain investors. It is intended solely for the purpose of providing information on your own responsibility and cannot replace individual advice. This fund commentary does not </w:t>
      </w:r>
      <w:proofErr w:type="gramStart"/>
      <w:r w:rsidRPr="00793B66">
        <w:rPr>
          <w:rFonts w:ascii="Times New Roman" w:hAnsi="Times New Roman" w:cs="Times New Roman"/>
          <w:sz w:val="24"/>
          <w:szCs w:val="24"/>
          <w:lang w:val="en-US"/>
        </w:rPr>
        <w:t>take into account</w:t>
      </w:r>
      <w:proofErr w:type="gramEnd"/>
      <w:r w:rsidRPr="00793B66">
        <w:rPr>
          <w:rFonts w:ascii="Times New Roman" w:hAnsi="Times New Roman" w:cs="Times New Roman"/>
          <w:sz w:val="24"/>
          <w:szCs w:val="24"/>
          <w:lang w:val="en-US"/>
        </w:rPr>
        <w:t xml:space="preserve"> specific or future investment objectives, financial or tax circumstances or other special needs of an investor. The value and income of the fund described in this fund commentary may go down as well as up. It is possible that an investor may not get back the amount originally invested or may not get it back in full. Past performance is not a reliable indicator of future results and the performance shown does not </w:t>
      </w:r>
      <w:proofErr w:type="gramStart"/>
      <w:r w:rsidRPr="00793B66">
        <w:rPr>
          <w:rFonts w:ascii="Times New Roman" w:hAnsi="Times New Roman" w:cs="Times New Roman"/>
          <w:sz w:val="24"/>
          <w:szCs w:val="24"/>
          <w:lang w:val="en-US"/>
        </w:rPr>
        <w:t>take into account</w:t>
      </w:r>
      <w:proofErr w:type="gramEnd"/>
      <w:r w:rsidRPr="00793B66">
        <w:rPr>
          <w:rFonts w:ascii="Times New Roman" w:hAnsi="Times New Roman" w:cs="Times New Roman"/>
          <w:sz w:val="24"/>
          <w:szCs w:val="24"/>
          <w:lang w:val="en-US"/>
        </w:rPr>
        <w:t xml:space="preserve"> the commissions and costs incurred on the subscription and redemption of fund units. Furthermore, the fund currency is subject to exchange rate fluctuations if the reference currency of a unit class is not the same as the fund currency. This fund commentary may contain forward-looking statements, in particular statements about future market developments. Future performance is neither expressly nor implicitly guaranteed or promised. Although all forward-looking statements contained in this fund commentary are based on our carefully reasoned judgements and expectations, uncertainties and various risk </w:t>
      </w:r>
      <w:r w:rsidRPr="00793B66">
        <w:rPr>
          <w:rFonts w:ascii="Times New Roman" w:hAnsi="Times New Roman" w:cs="Times New Roman"/>
          <w:sz w:val="24"/>
          <w:szCs w:val="24"/>
          <w:lang w:val="en-US"/>
        </w:rPr>
        <w:lastRenderedPageBreak/>
        <w:t>factors could cause actual developments and results to differ materially from our statements. Further information on public distribution in the individual countries can be found in the constituent documents, the prospectus and the key information documents for packaged investment products and insurance-based investment products (PRIIPs), if available under the respective fund law. Due to different authorization procedures, no guarantee can be given that the fund or any of its sub-funds are or will be authorized for distribution in every country at the same time. In countries in which the fund is not authorized for public distribution, it can only be distributed - in accordance with local regulations - as a "private placement" or to institutional investors. Fund units are not offered for sale in countries in which such a sale is not permitted by law. This fund is not registered under the United States Securities Act of 1933. Fund units may therefore not be offered or distributed in the USA for or on behalf of a US person (in accordance with the definitions in US federal laws relating to securities, commodities and taxes, including "Regulation S" under the United States Securities Act of 1993). Subsequent transfers of fund units to the United States and/or to US persons are not permitted. Any documents relating to this fund may not be circulated in the United States.</w:t>
      </w:r>
    </w:p>
    <w:p w14:paraId="2AEC1CA0" w14:textId="77777777" w:rsidR="00E62FFC" w:rsidRPr="00793B66" w:rsidRDefault="00E62FFC" w:rsidP="00E62FFC">
      <w:pPr>
        <w:jc w:val="both"/>
        <w:rPr>
          <w:rFonts w:ascii="Times New Roman" w:hAnsi="Times New Roman" w:cs="Times New Roman"/>
          <w:sz w:val="24"/>
          <w:szCs w:val="24"/>
          <w:lang w:val="en-US"/>
        </w:rPr>
      </w:pPr>
      <w:proofErr w:type="gramStart"/>
      <w:r w:rsidRPr="00793B66">
        <w:rPr>
          <w:rFonts w:ascii="Times New Roman" w:hAnsi="Times New Roman" w:cs="Times New Roman"/>
          <w:sz w:val="24"/>
          <w:szCs w:val="24"/>
          <w:lang w:val="en-US"/>
        </w:rPr>
        <w:t>@MRB</w:t>
      </w:r>
      <w:proofErr w:type="gramEnd"/>
      <w:r w:rsidRPr="00793B66">
        <w:rPr>
          <w:rFonts w:ascii="Times New Roman" w:hAnsi="Times New Roman" w:cs="Times New Roman"/>
          <w:sz w:val="24"/>
          <w:szCs w:val="24"/>
          <w:lang w:val="en-US"/>
        </w:rPr>
        <w:t xml:space="preserve"> FUND PARTNERS AG. All rights reserved.</w:t>
      </w:r>
    </w:p>
    <w:p w14:paraId="5454C951" w14:textId="77777777" w:rsidR="00B231C3" w:rsidRPr="00E62FFC" w:rsidRDefault="00B231C3" w:rsidP="003F2574">
      <w:pPr>
        <w:jc w:val="both"/>
        <w:rPr>
          <w:lang w:val="en-US"/>
        </w:rPr>
      </w:pPr>
    </w:p>
    <w:sectPr w:rsidR="00B231C3" w:rsidRPr="00E62FFC">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AC9DB" w14:textId="77777777" w:rsidR="00B231C3" w:rsidRDefault="00B231C3" w:rsidP="00B231C3">
      <w:pPr>
        <w:spacing w:after="0" w:line="240" w:lineRule="auto"/>
      </w:pPr>
      <w:r>
        <w:separator/>
      </w:r>
    </w:p>
  </w:endnote>
  <w:endnote w:type="continuationSeparator" w:id="0">
    <w:p w14:paraId="78868C0F" w14:textId="77777777" w:rsidR="00B231C3" w:rsidRDefault="00B231C3" w:rsidP="00B231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2BAE6" w14:textId="77777777" w:rsidR="00B231C3" w:rsidRDefault="00B231C3" w:rsidP="00B231C3">
      <w:pPr>
        <w:spacing w:after="0" w:line="240" w:lineRule="auto"/>
      </w:pPr>
      <w:r>
        <w:separator/>
      </w:r>
    </w:p>
  </w:footnote>
  <w:footnote w:type="continuationSeparator" w:id="0">
    <w:p w14:paraId="6F816308" w14:textId="77777777" w:rsidR="00B231C3" w:rsidRDefault="00B231C3" w:rsidP="00B231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5E8B7" w14:textId="6E732644" w:rsidR="00B231C3" w:rsidRPr="00B5274F" w:rsidRDefault="00B231C3" w:rsidP="00B231C3">
    <w:pPr>
      <w:spacing w:after="0"/>
      <w:jc w:val="center"/>
      <w:rPr>
        <w:rFonts w:ascii="Times New Roman" w:hAnsi="Times New Roman" w:cs="Times New Roman"/>
        <w:sz w:val="20"/>
        <w:szCs w:val="20"/>
        <w:lang w:val="en-US"/>
      </w:rPr>
    </w:pPr>
    <w:r w:rsidRPr="00B5274F">
      <w:rPr>
        <w:rFonts w:ascii="Times New Roman" w:hAnsi="Times New Roman" w:cs="Times New Roman"/>
        <w:sz w:val="20"/>
        <w:szCs w:val="20"/>
        <w:lang w:val="en-US"/>
      </w:rPr>
      <w:t xml:space="preserve">Data as of </w:t>
    </w:r>
    <w:r>
      <w:rPr>
        <w:rFonts w:ascii="Times New Roman" w:hAnsi="Times New Roman" w:cs="Times New Roman"/>
        <w:sz w:val="20"/>
        <w:szCs w:val="20"/>
        <w:lang w:val="en-US"/>
      </w:rPr>
      <w:t>3</w:t>
    </w:r>
    <w:r w:rsidR="007B52AB">
      <w:rPr>
        <w:rFonts w:ascii="Times New Roman" w:hAnsi="Times New Roman" w:cs="Times New Roman"/>
        <w:sz w:val="20"/>
        <w:szCs w:val="20"/>
        <w:lang w:val="en-US"/>
      </w:rPr>
      <w:t>1</w:t>
    </w:r>
    <w:r>
      <w:rPr>
        <w:rFonts w:ascii="Times New Roman" w:hAnsi="Times New Roman" w:cs="Times New Roman"/>
        <w:sz w:val="20"/>
        <w:szCs w:val="20"/>
        <w:lang w:val="en-US"/>
      </w:rPr>
      <w:t>.</w:t>
    </w:r>
    <w:r w:rsidR="007B52AB">
      <w:rPr>
        <w:rFonts w:ascii="Times New Roman" w:hAnsi="Times New Roman" w:cs="Times New Roman"/>
        <w:sz w:val="20"/>
        <w:szCs w:val="20"/>
        <w:lang w:val="en-US"/>
      </w:rPr>
      <w:t>10</w:t>
    </w:r>
    <w:r w:rsidRPr="00B5274F">
      <w:rPr>
        <w:rFonts w:ascii="Times New Roman" w:hAnsi="Times New Roman" w:cs="Times New Roman"/>
        <w:sz w:val="20"/>
        <w:szCs w:val="20"/>
        <w:lang w:val="en-US"/>
      </w:rPr>
      <w:t>.2025 - Marketing Communication</w:t>
    </w:r>
  </w:p>
  <w:p w14:paraId="274D6F27" w14:textId="77777777" w:rsidR="00B231C3" w:rsidRPr="00B5274F" w:rsidRDefault="00B231C3" w:rsidP="00B231C3">
    <w:pPr>
      <w:spacing w:after="0"/>
      <w:jc w:val="center"/>
      <w:rPr>
        <w:rFonts w:ascii="Times New Roman" w:hAnsi="Times New Roman" w:cs="Times New Roman"/>
        <w:sz w:val="20"/>
        <w:szCs w:val="20"/>
        <w:lang w:val="en-US"/>
      </w:rPr>
    </w:pPr>
  </w:p>
  <w:p w14:paraId="0B38F4FB" w14:textId="60ADE742" w:rsidR="00B231C3" w:rsidRDefault="00B231C3" w:rsidP="00B231C3">
    <w:pPr>
      <w:pStyle w:val="Kopfzeile"/>
      <w:jc w:val="center"/>
    </w:pPr>
    <w:r>
      <w:rPr>
        <w:noProof/>
      </w:rPr>
      <w:drawing>
        <wp:inline distT="0" distB="0" distL="0" distR="0" wp14:anchorId="0A8DC2BF" wp14:editId="7B74BED9">
          <wp:extent cx="1609725" cy="349885"/>
          <wp:effectExtent l="0" t="0" r="952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9725" cy="34988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1C3"/>
    <w:rsid w:val="000259C5"/>
    <w:rsid w:val="000710AB"/>
    <w:rsid w:val="001A4FF7"/>
    <w:rsid w:val="002B7BB5"/>
    <w:rsid w:val="002D78C5"/>
    <w:rsid w:val="003A237E"/>
    <w:rsid w:val="003F2574"/>
    <w:rsid w:val="004832F3"/>
    <w:rsid w:val="004D6C18"/>
    <w:rsid w:val="004E3331"/>
    <w:rsid w:val="005A1F97"/>
    <w:rsid w:val="00684478"/>
    <w:rsid w:val="006B167A"/>
    <w:rsid w:val="006B6F16"/>
    <w:rsid w:val="007B52AB"/>
    <w:rsid w:val="007F05ED"/>
    <w:rsid w:val="00803C36"/>
    <w:rsid w:val="00853A81"/>
    <w:rsid w:val="008D2B02"/>
    <w:rsid w:val="009556E4"/>
    <w:rsid w:val="00A27127"/>
    <w:rsid w:val="00B231C3"/>
    <w:rsid w:val="00B95F33"/>
    <w:rsid w:val="00BE5AAA"/>
    <w:rsid w:val="00C00A22"/>
    <w:rsid w:val="00C24C40"/>
    <w:rsid w:val="00C25CE3"/>
    <w:rsid w:val="00C71A95"/>
    <w:rsid w:val="00CA28C8"/>
    <w:rsid w:val="00D2580D"/>
    <w:rsid w:val="00DF77AB"/>
    <w:rsid w:val="00E24296"/>
    <w:rsid w:val="00E62FFC"/>
    <w:rsid w:val="00E712E7"/>
    <w:rsid w:val="00EC319E"/>
  </w:rsids>
  <m:mathPr>
    <m:mathFont m:val="Cambria Math"/>
    <m:brkBin m:val="before"/>
    <m:brkBinSub m:val="--"/>
    <m:smallFrac m:val="0"/>
    <m:dispDef/>
    <m:lMargin m:val="0"/>
    <m:rMargin m:val="0"/>
    <m:defJc m:val="centerGroup"/>
    <m:wrapIndent m:val="1440"/>
    <m:intLim m:val="subSup"/>
    <m:naryLim m:val="undOvr"/>
  </m:mathPr>
  <w:themeFontLang w:val="de-L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399E6"/>
  <w15:chartTrackingRefBased/>
  <w15:docId w15:val="{7535ED2F-C610-4CD6-BAFA-E3454D621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L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231C3"/>
    <w:rPr>
      <w:lang w:val="de-CH"/>
    </w:rPr>
  </w:style>
  <w:style w:type="paragraph" w:styleId="berschrift1">
    <w:name w:val="heading 1"/>
    <w:basedOn w:val="Standard"/>
    <w:next w:val="Standard"/>
    <w:link w:val="berschrift1Zchn"/>
    <w:uiPriority w:val="9"/>
    <w:qFormat/>
    <w:rsid w:val="00B231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231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231C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231C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231C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231C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231C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231C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231C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231C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231C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231C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231C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231C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231C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231C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231C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231C3"/>
    <w:rPr>
      <w:rFonts w:eastAsiaTheme="majorEastAsia" w:cstheme="majorBidi"/>
      <w:color w:val="272727" w:themeColor="text1" w:themeTint="D8"/>
    </w:rPr>
  </w:style>
  <w:style w:type="paragraph" w:styleId="Titel">
    <w:name w:val="Title"/>
    <w:basedOn w:val="Standard"/>
    <w:next w:val="Standard"/>
    <w:link w:val="TitelZchn"/>
    <w:uiPriority w:val="10"/>
    <w:qFormat/>
    <w:rsid w:val="00B231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231C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231C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231C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231C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231C3"/>
    <w:rPr>
      <w:i/>
      <w:iCs/>
      <w:color w:val="404040" w:themeColor="text1" w:themeTint="BF"/>
    </w:rPr>
  </w:style>
  <w:style w:type="paragraph" w:styleId="Listenabsatz">
    <w:name w:val="List Paragraph"/>
    <w:basedOn w:val="Standard"/>
    <w:uiPriority w:val="34"/>
    <w:qFormat/>
    <w:rsid w:val="00B231C3"/>
    <w:pPr>
      <w:ind w:left="720"/>
      <w:contextualSpacing/>
    </w:pPr>
  </w:style>
  <w:style w:type="character" w:styleId="IntensiveHervorhebung">
    <w:name w:val="Intense Emphasis"/>
    <w:basedOn w:val="Absatz-Standardschriftart"/>
    <w:uiPriority w:val="21"/>
    <w:qFormat/>
    <w:rsid w:val="00B231C3"/>
    <w:rPr>
      <w:i/>
      <w:iCs/>
      <w:color w:val="0F4761" w:themeColor="accent1" w:themeShade="BF"/>
    </w:rPr>
  </w:style>
  <w:style w:type="paragraph" w:styleId="IntensivesZitat">
    <w:name w:val="Intense Quote"/>
    <w:basedOn w:val="Standard"/>
    <w:next w:val="Standard"/>
    <w:link w:val="IntensivesZitatZchn"/>
    <w:uiPriority w:val="30"/>
    <w:qFormat/>
    <w:rsid w:val="00B231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231C3"/>
    <w:rPr>
      <w:i/>
      <w:iCs/>
      <w:color w:val="0F4761" w:themeColor="accent1" w:themeShade="BF"/>
    </w:rPr>
  </w:style>
  <w:style w:type="character" w:styleId="IntensiverVerweis">
    <w:name w:val="Intense Reference"/>
    <w:basedOn w:val="Absatz-Standardschriftart"/>
    <w:uiPriority w:val="32"/>
    <w:qFormat/>
    <w:rsid w:val="00B231C3"/>
    <w:rPr>
      <w:b/>
      <w:bCs/>
      <w:smallCaps/>
      <w:color w:val="0F4761" w:themeColor="accent1" w:themeShade="BF"/>
      <w:spacing w:val="5"/>
    </w:rPr>
  </w:style>
  <w:style w:type="paragraph" w:styleId="Kopfzeile">
    <w:name w:val="header"/>
    <w:basedOn w:val="Standard"/>
    <w:link w:val="KopfzeileZchn"/>
    <w:uiPriority w:val="99"/>
    <w:unhideWhenUsed/>
    <w:rsid w:val="00B231C3"/>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B231C3"/>
    <w:rPr>
      <w:lang w:val="de-CH"/>
    </w:rPr>
  </w:style>
  <w:style w:type="paragraph" w:styleId="Fuzeile">
    <w:name w:val="footer"/>
    <w:basedOn w:val="Standard"/>
    <w:link w:val="FuzeileZchn"/>
    <w:uiPriority w:val="99"/>
    <w:unhideWhenUsed/>
    <w:rsid w:val="00B231C3"/>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B231C3"/>
    <w:rPr>
      <w:lang w:val="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1918</Words>
  <Characters>12090</Characters>
  <Application>Microsoft Office Word</Application>
  <DocSecurity>0</DocSecurity>
  <Lines>100</Lines>
  <Paragraphs>27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W</dc:creator>
  <cp:keywords/>
  <dc:description/>
  <cp:lastModifiedBy>Wiederkehr Karin</cp:lastModifiedBy>
  <cp:revision>35</cp:revision>
  <dcterms:created xsi:type="dcterms:W3CDTF">2025-11-06T10:14:00Z</dcterms:created>
  <dcterms:modified xsi:type="dcterms:W3CDTF">2025-11-11T15:12:00Z</dcterms:modified>
</cp:coreProperties>
</file>