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23C1D" w14:textId="77777777" w:rsidR="00FC6E09" w:rsidRDefault="00FC6E09" w:rsidP="007675EB">
      <w:pPr>
        <w:rPr>
          <w:rFonts w:ascii="Times New Roman" w:eastAsia="Times New Roman" w:hAnsi="Times New Roman" w:cs="Times New Roman"/>
          <w:b/>
          <w:bCs/>
          <w:color w:val="002060"/>
          <w:sz w:val="24"/>
          <w:szCs w:val="24"/>
          <w:lang w:val="en-US"/>
        </w:rPr>
      </w:pPr>
    </w:p>
    <w:p w14:paraId="5C1EBAF1" w14:textId="32F07E1F" w:rsidR="007675EB" w:rsidRPr="007675EB" w:rsidRDefault="007675EB" w:rsidP="007675EB">
      <w:pPr>
        <w:rPr>
          <w:rFonts w:ascii="Times New Roman" w:eastAsia="Times New Roman" w:hAnsi="Times New Roman" w:cs="Times New Roman"/>
          <w:b/>
          <w:bCs/>
          <w:color w:val="002060"/>
          <w:sz w:val="24"/>
          <w:szCs w:val="24"/>
          <w:lang w:val="en-US"/>
        </w:rPr>
      </w:pPr>
      <w:r w:rsidRPr="007675EB">
        <w:rPr>
          <w:rFonts w:ascii="Times New Roman" w:eastAsia="Times New Roman" w:hAnsi="Times New Roman" w:cs="Times New Roman"/>
          <w:b/>
          <w:bCs/>
          <w:color w:val="002060"/>
          <w:sz w:val="24"/>
          <w:szCs w:val="24"/>
          <w:lang w:val="en-US"/>
        </w:rPr>
        <w:t>IMP Global Megatrend Umbrella Fund Commentary</w:t>
      </w:r>
    </w:p>
    <w:p w14:paraId="18EFE45B" w14:textId="239FCD20" w:rsidR="00A70275" w:rsidRPr="00A70275" w:rsidRDefault="00A70275" w:rsidP="00A70275">
      <w:pPr>
        <w:jc w:val="both"/>
        <w:rPr>
          <w:rFonts w:ascii="Times New Roman" w:hAnsi="Times New Roman" w:cs="Times New Roman"/>
          <w:sz w:val="24"/>
          <w:szCs w:val="24"/>
          <w:lang w:val="en-US"/>
        </w:rPr>
      </w:pPr>
      <w:r w:rsidRPr="00A70275">
        <w:rPr>
          <w:rFonts w:ascii="Times New Roman" w:hAnsi="Times New Roman" w:cs="Times New Roman"/>
          <w:sz w:val="24"/>
          <w:szCs w:val="24"/>
          <w:lang w:val="en-US"/>
        </w:rPr>
        <w:t>Global equities paused in December amid rising volatility, reflecting a mix of investor caution and broader macroeconomic uncertainties. Following a strong earnings season, markets saw a period of profit-taking as investors reassessed valuations and rotated capital. Emerging questions around AI monetization also contributed to short-term market jitters, as investors sought clarity on which companies could translate innovation into sustainable earnings. To a lesser extent, uncertainty over the timing and magnitude of potential Fed rate cuts added further pressure. Major U.S. indices, including the S&amp;P 500 and Nasdaq Composite, largely stalled, continuing the trend observed since late October. While this slowdown may have caused short-term concern, it ultimately acted as a healthy consolidation, giving investors the opportunity to adjust positions, reassess risk, and take advantage of selective opportunities across regions and sectors. Within this context, the IMP Global Megatrend Umbrella Fund returned -2.01% in December, bringing its year-to-date performance to 8.53% net of fees</w:t>
      </w:r>
      <w:r w:rsidR="000675BC">
        <w:rPr>
          <w:rFonts w:ascii="Times New Roman" w:hAnsi="Times New Roman" w:cs="Times New Roman"/>
          <w:sz w:val="24"/>
          <w:szCs w:val="24"/>
          <w:lang w:val="en-US"/>
        </w:rPr>
        <w:t>.</w:t>
      </w:r>
    </w:p>
    <w:p w14:paraId="56D9AD19" w14:textId="640990E2" w:rsidR="006320B3" w:rsidRPr="006320B3" w:rsidRDefault="006320B3" w:rsidP="006320B3">
      <w:pPr>
        <w:jc w:val="both"/>
        <w:rPr>
          <w:rFonts w:ascii="Times New Roman" w:hAnsi="Times New Roman" w:cs="Times New Roman"/>
          <w:sz w:val="24"/>
          <w:szCs w:val="24"/>
          <w:lang w:val="en-US"/>
        </w:rPr>
      </w:pPr>
      <w:r w:rsidRPr="006320B3">
        <w:rPr>
          <w:rFonts w:ascii="Times New Roman" w:hAnsi="Times New Roman" w:cs="Times New Roman"/>
          <w:sz w:val="24"/>
          <w:szCs w:val="24"/>
          <w:lang w:val="en-US"/>
        </w:rPr>
        <w:t>A combination of strong structural trends, anticipated Fed rate cuts, and more supportive fiscal policies underpins a favorable backdrop for 2026. Elevated valuations are reinforced by momentum in AI, the resilience of the U.S. economy, and ongoing interest rate reductions. Investor attention has increasingly turned to equity valuations and concerns around a potential AI-driven market bubble. While market bubbles have historically coincided with major technological shifts, they typically evolve over time and only become obvious after they burst.</w:t>
      </w:r>
      <w:r w:rsidR="000E05FD">
        <w:rPr>
          <w:rFonts w:ascii="Times New Roman" w:hAnsi="Times New Roman" w:cs="Times New Roman"/>
          <w:sz w:val="24"/>
          <w:szCs w:val="24"/>
          <w:lang w:val="en-US"/>
        </w:rPr>
        <w:t xml:space="preserve"> </w:t>
      </w:r>
      <w:r w:rsidRPr="006320B3">
        <w:rPr>
          <w:rFonts w:ascii="Times New Roman" w:hAnsi="Times New Roman" w:cs="Times New Roman"/>
          <w:sz w:val="24"/>
          <w:szCs w:val="24"/>
          <w:lang w:val="en-US"/>
        </w:rPr>
        <w:t>Our approach evaluates the potential scale of investment and returns, providing a framework for tracking the AI transformation. We remain pro-risk and continue to see AI as a primary driver of U.S. equities. This environment is particularly favorable for active investing, allowing investors to identify winners among AI developers as adoption expands. The recent earnings season confirmed robust capital expenditure, reinforcing our positive assessment on AI-linked equities. Within technology, we advocate diversification across the AI value chain, with the application layer emerging as particularly attractive. Companies that successfully monetize investments are likely to gain market favor. While divergences will arise due to differing business models, we believe monetization can accelerate quickly if investor expectations increase.</w:t>
      </w:r>
    </w:p>
    <w:p w14:paraId="59071B55" w14:textId="5E8B8688" w:rsidR="00A70275" w:rsidRPr="006320B3" w:rsidRDefault="006320B3" w:rsidP="00A70275">
      <w:pPr>
        <w:jc w:val="both"/>
        <w:rPr>
          <w:rFonts w:ascii="Times New Roman" w:hAnsi="Times New Roman" w:cs="Times New Roman"/>
          <w:sz w:val="24"/>
          <w:szCs w:val="24"/>
          <w:lang w:val="en-US"/>
        </w:rPr>
      </w:pPr>
      <w:r w:rsidRPr="006320B3">
        <w:rPr>
          <w:rFonts w:ascii="Times New Roman" w:hAnsi="Times New Roman" w:cs="Times New Roman"/>
          <w:sz w:val="24"/>
          <w:szCs w:val="24"/>
          <w:lang w:val="en-US"/>
        </w:rPr>
        <w:t xml:space="preserve">Beyond AI, improving earnings momentum across U.S. equity sectors is driving a broader and more constructive market environment. As reiterated in earlier fund commentaries, we view current valuation levels as a secondary consideration for near-term performance. Global equities trade near 19× forward earnings, around 25% above the two-decade average, while </w:t>
      </w:r>
      <w:proofErr w:type="gramStart"/>
      <w:r w:rsidRPr="006320B3">
        <w:rPr>
          <w:rFonts w:ascii="Times New Roman" w:hAnsi="Times New Roman" w:cs="Times New Roman"/>
          <w:sz w:val="24"/>
          <w:szCs w:val="24"/>
          <w:lang w:val="en-US"/>
        </w:rPr>
        <w:t>the S</w:t>
      </w:r>
      <w:proofErr w:type="gramEnd"/>
      <w:r w:rsidRPr="006320B3">
        <w:rPr>
          <w:rFonts w:ascii="Times New Roman" w:hAnsi="Times New Roman" w:cs="Times New Roman"/>
          <w:sz w:val="24"/>
          <w:szCs w:val="24"/>
          <w:lang w:val="en-US"/>
        </w:rPr>
        <w:t xml:space="preserve">&amp;P 500 trades near 22× forward P/E, close to the upper end of its historical range. Significant </w:t>
      </w:r>
      <w:proofErr w:type="gramStart"/>
      <w:r w:rsidRPr="006320B3">
        <w:rPr>
          <w:rFonts w:ascii="Times New Roman" w:hAnsi="Times New Roman" w:cs="Times New Roman"/>
          <w:sz w:val="24"/>
          <w:szCs w:val="24"/>
          <w:lang w:val="en-US"/>
        </w:rPr>
        <w:t>deratings</w:t>
      </w:r>
      <w:proofErr w:type="gramEnd"/>
      <w:r w:rsidRPr="006320B3">
        <w:rPr>
          <w:rFonts w:ascii="Times New Roman" w:hAnsi="Times New Roman" w:cs="Times New Roman"/>
          <w:sz w:val="24"/>
          <w:szCs w:val="24"/>
          <w:lang w:val="en-US"/>
        </w:rPr>
        <w:t xml:space="preserve"> typically require a clear trigger, such as disappointing </w:t>
      </w:r>
      <w:proofErr w:type="gramStart"/>
      <w:r w:rsidRPr="006320B3">
        <w:rPr>
          <w:rFonts w:ascii="Times New Roman" w:hAnsi="Times New Roman" w:cs="Times New Roman"/>
          <w:sz w:val="24"/>
          <w:szCs w:val="24"/>
          <w:lang w:val="en-US"/>
        </w:rPr>
        <w:t>technology</w:t>
      </w:r>
      <w:proofErr w:type="gramEnd"/>
      <w:r w:rsidRPr="006320B3">
        <w:rPr>
          <w:rFonts w:ascii="Times New Roman" w:hAnsi="Times New Roman" w:cs="Times New Roman"/>
          <w:sz w:val="24"/>
          <w:szCs w:val="24"/>
          <w:lang w:val="en-US"/>
        </w:rPr>
        <w:t xml:space="preserve"> results or a shift from Fed cuts to hikes</w:t>
      </w:r>
      <w:r>
        <w:rPr>
          <w:rFonts w:ascii="Times New Roman" w:hAnsi="Times New Roman" w:cs="Times New Roman"/>
          <w:sz w:val="24"/>
          <w:szCs w:val="24"/>
          <w:lang w:val="en-US"/>
        </w:rPr>
        <w:t xml:space="preserve">; </w:t>
      </w:r>
      <w:r w:rsidRPr="006320B3">
        <w:rPr>
          <w:rFonts w:ascii="Times New Roman" w:hAnsi="Times New Roman" w:cs="Times New Roman"/>
          <w:sz w:val="24"/>
          <w:szCs w:val="24"/>
          <w:lang w:val="en-US"/>
        </w:rPr>
        <w:t>both currently low-probability scenarios.</w:t>
      </w:r>
      <w:r>
        <w:rPr>
          <w:rFonts w:ascii="Times New Roman" w:hAnsi="Times New Roman" w:cs="Times New Roman"/>
          <w:sz w:val="24"/>
          <w:szCs w:val="24"/>
          <w:lang w:val="en-US"/>
        </w:rPr>
        <w:t xml:space="preserve"> </w:t>
      </w:r>
      <w:r w:rsidRPr="006320B3">
        <w:rPr>
          <w:rFonts w:ascii="Times New Roman" w:hAnsi="Times New Roman" w:cs="Times New Roman"/>
          <w:sz w:val="24"/>
          <w:szCs w:val="24"/>
          <w:lang w:val="en-US"/>
        </w:rPr>
        <w:t xml:space="preserve">Against this backdrop, we favor a blend of markets exposed to megatrends, including technological innovation in the U.S. and China, alongside cyclical opportunities in emerging markets and Europe. Beyond technology and utilities, we maintain a preference for healthcare and industrials across both the U.S. and Europe. Heading into 2026, our positioning reflects a </w:t>
      </w:r>
      <w:r w:rsidR="00A66CF3">
        <w:rPr>
          <w:rFonts w:ascii="Times New Roman" w:hAnsi="Times New Roman" w:cs="Times New Roman"/>
          <w:sz w:val="24"/>
          <w:szCs w:val="24"/>
          <w:lang w:val="en-US"/>
        </w:rPr>
        <w:t>favorable</w:t>
      </w:r>
      <w:r w:rsidRPr="006320B3">
        <w:rPr>
          <w:rFonts w:ascii="Times New Roman" w:hAnsi="Times New Roman" w:cs="Times New Roman"/>
          <w:sz w:val="24"/>
          <w:szCs w:val="24"/>
          <w:lang w:val="en-US"/>
        </w:rPr>
        <w:t xml:space="preserve"> stance, underpinned by strong structural trends and accommodative monetary and fiscal policy.</w:t>
      </w:r>
      <w:r>
        <w:rPr>
          <w:rFonts w:ascii="Times New Roman" w:hAnsi="Times New Roman" w:cs="Times New Roman"/>
          <w:sz w:val="24"/>
          <w:szCs w:val="24"/>
          <w:lang w:val="en-US"/>
        </w:rPr>
        <w:t xml:space="preserve"> </w:t>
      </w:r>
      <w:r w:rsidRPr="006320B3">
        <w:rPr>
          <w:rFonts w:ascii="Times New Roman" w:hAnsi="Times New Roman" w:cs="Times New Roman"/>
          <w:sz w:val="24"/>
          <w:szCs w:val="24"/>
          <w:lang w:val="en-US"/>
        </w:rPr>
        <w:t xml:space="preserve">Within this environment, monetary policy continues to be a decisive factor for market sentiment. With the </w:t>
      </w:r>
      <w:r w:rsidRPr="006320B3">
        <w:rPr>
          <w:rFonts w:ascii="Times New Roman" w:hAnsi="Times New Roman" w:cs="Times New Roman"/>
          <w:sz w:val="24"/>
          <w:szCs w:val="24"/>
          <w:lang w:val="en-US"/>
        </w:rPr>
        <w:lastRenderedPageBreak/>
        <w:t>Fed expected to gradually lower rates and economic indicators softening, markets currently price in a high likelihood of cuts. Fiscal and macro improvements across regions further strengthen confidence in a favorable policy backdrop.</w:t>
      </w:r>
    </w:p>
    <w:p w14:paraId="2958020B" w14:textId="55382354" w:rsidR="00F4110E" w:rsidRDefault="00A70275" w:rsidP="001D766B">
      <w:pPr>
        <w:jc w:val="both"/>
        <w:rPr>
          <w:rFonts w:ascii="Times New Roman" w:hAnsi="Times New Roman" w:cs="Times New Roman"/>
          <w:sz w:val="24"/>
          <w:szCs w:val="24"/>
          <w:lang w:val="en-US"/>
        </w:rPr>
      </w:pPr>
      <w:r w:rsidRPr="00A70275">
        <w:rPr>
          <w:rFonts w:ascii="Times New Roman" w:hAnsi="Times New Roman" w:cs="Times New Roman"/>
          <w:sz w:val="24"/>
          <w:szCs w:val="24"/>
          <w:lang w:val="en-US"/>
        </w:rPr>
        <w:t xml:space="preserve">Currency markets are reflecting these dynamics. </w:t>
      </w:r>
      <w:r w:rsidR="00DA5CE0" w:rsidRPr="005B32A1">
        <w:rPr>
          <w:rFonts w:ascii="Times New Roman" w:hAnsi="Times New Roman" w:cs="Times New Roman"/>
          <w:sz w:val="24"/>
          <w:szCs w:val="24"/>
          <w:lang w:val="en-US"/>
        </w:rPr>
        <w:t>The U.S. dollar is expected to weaken modestly after its poorest annual performance since 2017, weighed down by persistent fiscal and current account deficits, a fading interest-rate advantage as Fed easing progresses, and continued reserve diversification by global investors. Together, these factors reduce the strategic appeal of concentrated dollar exposure at this stage of the cycle, favoring a more diversified currency approach. In contrast, the Swiss franc remains well supported by its safe-haven status, Switzerland’s strong external balance, low inflation, and limited SNB intervention, alongside tariff reductions that improve trade competitiveness. These structural and policy-related supports are likely to sustain franc strength into early 2026, particularly during periods of heightened market volatility and geopolitical tensions.</w:t>
      </w:r>
      <w:r w:rsidR="00FB58A2" w:rsidRPr="005B32A1">
        <w:rPr>
          <w:rFonts w:ascii="Times New Roman" w:hAnsi="Times New Roman" w:cs="Times New Roman"/>
          <w:sz w:val="24"/>
          <w:szCs w:val="24"/>
          <w:lang w:val="en-US"/>
        </w:rPr>
        <w:t xml:space="preserve"> </w:t>
      </w:r>
    </w:p>
    <w:p w14:paraId="7597D04B" w14:textId="0C4162B9" w:rsidR="007675EB" w:rsidRPr="001F1425" w:rsidRDefault="00917E1B" w:rsidP="001D766B">
      <w:pPr>
        <w:jc w:val="both"/>
        <w:rPr>
          <w:rFonts w:ascii="Times New Roman" w:hAnsi="Times New Roman" w:cs="Times New Roman"/>
          <w:sz w:val="24"/>
          <w:szCs w:val="24"/>
          <w:lang w:val="en-US"/>
        </w:rPr>
      </w:pPr>
      <w:r w:rsidRPr="00917E1B">
        <w:rPr>
          <w:rFonts w:ascii="Times New Roman" w:hAnsi="Times New Roman" w:cs="Times New Roman"/>
          <w:sz w:val="24"/>
          <w:szCs w:val="24"/>
          <w:lang w:val="en-US"/>
        </w:rPr>
        <w:t>In December, we largely maintained our portfolio positioning, reflecting continued confidence in the current asset allocation. This approach remained consistent with our overarching megatrend strategy, ensuring that the portfolio retained meaningful exposure to high</w:t>
      </w:r>
      <w:r w:rsidRPr="00917E1B">
        <w:rPr>
          <w:rFonts w:ascii="Times New Roman" w:hAnsi="Times New Roman" w:cs="Times New Roman"/>
          <w:sz w:val="24"/>
          <w:szCs w:val="24"/>
          <w:lang w:val="en-US"/>
        </w:rPr>
        <w:noBreakHyphen/>
        <w:t xml:space="preserve">conviction themes while avoiding unnecessary dilution. Although several new opportunities were identified, we elected not to initiate additional positions, prioritizing focus and discipline over broadening the portfolio too </w:t>
      </w:r>
      <w:r w:rsidR="001D1906">
        <w:rPr>
          <w:rFonts w:ascii="Times New Roman" w:hAnsi="Times New Roman" w:cs="Times New Roman"/>
          <w:sz w:val="24"/>
          <w:szCs w:val="24"/>
          <w:lang w:val="en-US"/>
        </w:rPr>
        <w:t>rapidly</w:t>
      </w:r>
      <w:r w:rsidRPr="00917E1B">
        <w:rPr>
          <w:rFonts w:ascii="Times New Roman" w:hAnsi="Times New Roman" w:cs="Times New Roman"/>
          <w:sz w:val="24"/>
          <w:szCs w:val="24"/>
          <w:lang w:val="en-US"/>
        </w:rPr>
        <w:t xml:space="preserve">. In line with our thematic emphasis on Mobility and Transportation, we continued to accumulate shares in our recently initiated holding in BYD Company Ltd., taking advantage of an attractive </w:t>
      </w:r>
      <w:r w:rsidR="001D1906">
        <w:rPr>
          <w:rFonts w:ascii="Times New Roman" w:hAnsi="Times New Roman" w:cs="Times New Roman"/>
          <w:sz w:val="24"/>
          <w:szCs w:val="24"/>
          <w:lang w:val="en-US"/>
        </w:rPr>
        <w:t>valuation</w:t>
      </w:r>
      <w:r w:rsidRPr="00917E1B">
        <w:rPr>
          <w:rFonts w:ascii="Times New Roman" w:hAnsi="Times New Roman" w:cs="Times New Roman"/>
          <w:sz w:val="24"/>
          <w:szCs w:val="24"/>
          <w:lang w:val="en-US"/>
        </w:rPr>
        <w:t xml:space="preserve"> and reinforcing our constructive view on the company’s long</w:t>
      </w:r>
      <w:r w:rsidRPr="00917E1B">
        <w:rPr>
          <w:rFonts w:ascii="Times New Roman" w:hAnsi="Times New Roman" w:cs="Times New Roman"/>
          <w:sz w:val="24"/>
          <w:szCs w:val="24"/>
          <w:lang w:val="en-US"/>
        </w:rPr>
        <w:noBreakHyphen/>
        <w:t>term prospects. BYD has emerged as a dominant force in the global EV market, with significant year</w:t>
      </w:r>
      <w:r w:rsidRPr="00917E1B">
        <w:rPr>
          <w:rFonts w:ascii="Times New Roman" w:hAnsi="Times New Roman" w:cs="Times New Roman"/>
          <w:sz w:val="24"/>
          <w:szCs w:val="24"/>
          <w:lang w:val="en-US"/>
        </w:rPr>
        <w:noBreakHyphen/>
        <w:t>on</w:t>
      </w:r>
      <w:r w:rsidRPr="00917E1B">
        <w:rPr>
          <w:rFonts w:ascii="Times New Roman" w:hAnsi="Times New Roman" w:cs="Times New Roman"/>
          <w:sz w:val="24"/>
          <w:szCs w:val="24"/>
          <w:lang w:val="en-US"/>
        </w:rPr>
        <w:noBreakHyphen/>
        <w:t>year vehicle delivery growth and expanding overseas sales that analysts see as a key driver of future profit expansion. The company’s vertically integrated production model, strong innovation pipeline, and broadening global footprint support its ability to sustain competitive advantages over the long term. In addition to automotive growth, BYD is advancing into consumer robotics, with humanoid household robots approaching commercial reality, offering an additional avenue for secular growth. These developments contribute</w:t>
      </w:r>
      <w:r w:rsidR="00FD03B4">
        <w:rPr>
          <w:rFonts w:ascii="Times New Roman" w:hAnsi="Times New Roman" w:cs="Times New Roman"/>
          <w:sz w:val="24"/>
          <w:szCs w:val="24"/>
          <w:lang w:val="en-US"/>
        </w:rPr>
        <w:t xml:space="preserve"> and</w:t>
      </w:r>
      <w:r w:rsidRPr="00917E1B">
        <w:rPr>
          <w:rFonts w:ascii="Times New Roman" w:hAnsi="Times New Roman" w:cs="Times New Roman"/>
          <w:sz w:val="24"/>
          <w:szCs w:val="24"/>
          <w:lang w:val="en-US"/>
        </w:rPr>
        <w:t xml:space="preserve"> reinforce our conviction in BYD as a strategic, high</w:t>
      </w:r>
      <w:r w:rsidRPr="00917E1B">
        <w:rPr>
          <w:rFonts w:ascii="Times New Roman" w:hAnsi="Times New Roman" w:cs="Times New Roman"/>
          <w:sz w:val="24"/>
          <w:szCs w:val="24"/>
          <w:lang w:val="en-US"/>
        </w:rPr>
        <w:noBreakHyphen/>
        <w:t xml:space="preserve">conviction holding. </w:t>
      </w:r>
    </w:p>
    <w:p w14:paraId="7ECC4D14" w14:textId="380321E7" w:rsidR="008F4C06" w:rsidRPr="008F4C06" w:rsidRDefault="008F4C06" w:rsidP="008F4C06">
      <w:pPr>
        <w:jc w:val="both"/>
        <w:rPr>
          <w:rFonts w:ascii="Times New Roman" w:hAnsi="Times New Roman" w:cs="Times New Roman"/>
          <w:sz w:val="24"/>
          <w:szCs w:val="24"/>
          <w:lang w:val="en-US"/>
        </w:rPr>
      </w:pPr>
      <w:r w:rsidRPr="008F4C06">
        <w:rPr>
          <w:rFonts w:ascii="Times New Roman" w:hAnsi="Times New Roman" w:cs="Times New Roman"/>
          <w:sz w:val="24"/>
          <w:szCs w:val="24"/>
          <w:lang w:val="en-US"/>
        </w:rPr>
        <w:t xml:space="preserve">2026 has begun with a renewed reminder that geopolitical uncertainty remains elevated, highlighted by the U.S. arrest of Venezuelan President Nicolás Maduro and President Donald Trump’s tariff threats against European countries related to Greenland. Tensions also remain high in other regions, including between NATO and Russia, as well as in the Middle East. Historically, however, such geopolitical risks have not had a lasting impact on financial markets, and we expect investor focus to remain anchored on solid economic conditions </w:t>
      </w:r>
      <w:proofErr w:type="gramStart"/>
      <w:r w:rsidRPr="008F4C06">
        <w:rPr>
          <w:rFonts w:ascii="Times New Roman" w:hAnsi="Times New Roman" w:cs="Times New Roman"/>
          <w:sz w:val="24"/>
          <w:szCs w:val="24"/>
          <w:lang w:val="en-US"/>
        </w:rPr>
        <w:t>and earnings</w:t>
      </w:r>
      <w:proofErr w:type="gramEnd"/>
      <w:r w:rsidRPr="008F4C06">
        <w:rPr>
          <w:rFonts w:ascii="Times New Roman" w:hAnsi="Times New Roman" w:cs="Times New Roman"/>
          <w:sz w:val="24"/>
          <w:szCs w:val="24"/>
          <w:lang w:val="en-US"/>
        </w:rPr>
        <w:t xml:space="preserve"> fundamentals.</w:t>
      </w:r>
      <w:r>
        <w:rPr>
          <w:rFonts w:ascii="Times New Roman" w:hAnsi="Times New Roman" w:cs="Times New Roman"/>
          <w:sz w:val="24"/>
          <w:szCs w:val="24"/>
          <w:lang w:val="en-US"/>
        </w:rPr>
        <w:t xml:space="preserve"> </w:t>
      </w:r>
      <w:r w:rsidRPr="008F4C06">
        <w:rPr>
          <w:rFonts w:ascii="Times New Roman" w:hAnsi="Times New Roman" w:cs="Times New Roman"/>
          <w:sz w:val="24"/>
          <w:szCs w:val="24"/>
          <w:lang w:val="en-US"/>
        </w:rPr>
        <w:t xml:space="preserve">While secular </w:t>
      </w:r>
      <w:proofErr w:type="gramStart"/>
      <w:r w:rsidRPr="008F4C06">
        <w:rPr>
          <w:rFonts w:ascii="Times New Roman" w:hAnsi="Times New Roman" w:cs="Times New Roman"/>
          <w:sz w:val="24"/>
          <w:szCs w:val="24"/>
          <w:lang w:val="en-US"/>
        </w:rPr>
        <w:t>growth</w:t>
      </w:r>
      <w:proofErr w:type="gramEnd"/>
      <w:r w:rsidRPr="008F4C06">
        <w:rPr>
          <w:rFonts w:ascii="Times New Roman" w:hAnsi="Times New Roman" w:cs="Times New Roman"/>
          <w:sz w:val="24"/>
          <w:szCs w:val="24"/>
          <w:lang w:val="en-US"/>
        </w:rPr>
        <w:t xml:space="preserve"> drivers should remain a robust tailwind for global equities, performance is expected to broaden in 2026. The macro backdrop appears constructive, as economic growth is likely to trough with the fading of tariff headwinds, the Federal Reserve is expected to cut rates, and fiscal policy is becoming more supportive across regions, including the United States and Europe. Together, these dynamics favor cyclical sectors and regions as potential sources of positive surprises next year.</w:t>
      </w:r>
    </w:p>
    <w:p w14:paraId="259CAA42" w14:textId="402000B3" w:rsidR="008F4C06" w:rsidRPr="008F4C06" w:rsidRDefault="008F4C06" w:rsidP="008F4C06">
      <w:pPr>
        <w:jc w:val="both"/>
        <w:rPr>
          <w:rFonts w:ascii="Times New Roman" w:hAnsi="Times New Roman" w:cs="Times New Roman"/>
          <w:sz w:val="24"/>
          <w:szCs w:val="24"/>
          <w:lang w:val="en-US"/>
        </w:rPr>
      </w:pPr>
      <w:r w:rsidRPr="008F4C06">
        <w:rPr>
          <w:rFonts w:ascii="Times New Roman" w:hAnsi="Times New Roman" w:cs="Times New Roman"/>
          <w:sz w:val="24"/>
          <w:szCs w:val="24"/>
          <w:lang w:val="en-US"/>
        </w:rPr>
        <w:lastRenderedPageBreak/>
        <w:t>A key near-term risk is a pending Supreme Court ruling on the legality of U.S. tariffs. Should the tariffs be deemed illegal, this could precipitate financial market destabilization and heightened volatility. Even if such a ruling were issued, we anticipate the U.S. administration would seek to uphold tariffs through alternative mechanisms, though this outcome would not necessarily exert less pressure on market stability. Moreover, potentially renewed tariff threats constitute an unwelcome tail risk, as the resulting uncertainty would likely unsettle financial conditions.</w:t>
      </w:r>
      <w:r>
        <w:rPr>
          <w:rFonts w:ascii="Times New Roman" w:hAnsi="Times New Roman" w:cs="Times New Roman"/>
          <w:sz w:val="24"/>
          <w:szCs w:val="24"/>
          <w:lang w:val="en-US"/>
        </w:rPr>
        <w:t xml:space="preserve"> </w:t>
      </w:r>
      <w:r w:rsidRPr="008F4C06">
        <w:rPr>
          <w:rFonts w:ascii="Times New Roman" w:hAnsi="Times New Roman" w:cs="Times New Roman"/>
          <w:sz w:val="24"/>
          <w:szCs w:val="24"/>
          <w:lang w:val="en-US"/>
        </w:rPr>
        <w:t xml:space="preserve">Despite these potential disruptions, strong structural themes, combined with </w:t>
      </w:r>
      <w:r w:rsidR="00FC6E09">
        <w:rPr>
          <w:rFonts w:ascii="Times New Roman" w:hAnsi="Times New Roman" w:cs="Times New Roman"/>
          <w:sz w:val="24"/>
          <w:szCs w:val="24"/>
          <w:lang w:val="en-US"/>
        </w:rPr>
        <w:t xml:space="preserve">an </w:t>
      </w:r>
      <w:r w:rsidRPr="008F4C06">
        <w:rPr>
          <w:rFonts w:ascii="Times New Roman" w:hAnsi="Times New Roman" w:cs="Times New Roman"/>
          <w:sz w:val="24"/>
          <w:szCs w:val="24"/>
          <w:lang w:val="en-US"/>
        </w:rPr>
        <w:t>improving macroeconomic c</w:t>
      </w:r>
      <w:r w:rsidR="00FC6E09">
        <w:rPr>
          <w:rFonts w:ascii="Times New Roman" w:hAnsi="Times New Roman" w:cs="Times New Roman"/>
          <w:sz w:val="24"/>
          <w:szCs w:val="24"/>
          <w:lang w:val="en-US"/>
        </w:rPr>
        <w:t>onducive environment</w:t>
      </w:r>
      <w:r w:rsidRPr="008F4C06">
        <w:rPr>
          <w:rFonts w:ascii="Times New Roman" w:hAnsi="Times New Roman" w:cs="Times New Roman"/>
          <w:sz w:val="24"/>
          <w:szCs w:val="24"/>
          <w:lang w:val="en-US"/>
        </w:rPr>
        <w:t>, continue to support a resilient outlook in the broader context. While evolving dynamics may introduce higher volatility</w:t>
      </w:r>
      <w:r>
        <w:rPr>
          <w:rFonts w:ascii="Times New Roman" w:hAnsi="Times New Roman" w:cs="Times New Roman"/>
          <w:sz w:val="24"/>
          <w:szCs w:val="24"/>
          <w:lang w:val="en-US"/>
        </w:rPr>
        <w:t xml:space="preserve">, </w:t>
      </w:r>
      <w:r w:rsidRPr="008F4C06">
        <w:rPr>
          <w:rFonts w:ascii="Times New Roman" w:hAnsi="Times New Roman" w:cs="Times New Roman"/>
          <w:sz w:val="24"/>
          <w:szCs w:val="24"/>
          <w:lang w:val="en-US"/>
        </w:rPr>
        <w:t>potentially underappreciated by markets</w:t>
      </w:r>
      <w:r>
        <w:rPr>
          <w:rFonts w:ascii="Times New Roman" w:hAnsi="Times New Roman" w:cs="Times New Roman"/>
          <w:sz w:val="24"/>
          <w:szCs w:val="24"/>
          <w:lang w:val="en-US"/>
        </w:rPr>
        <w:t xml:space="preserve">, </w:t>
      </w:r>
      <w:r w:rsidRPr="008F4C06">
        <w:rPr>
          <w:rFonts w:ascii="Times New Roman" w:hAnsi="Times New Roman" w:cs="Times New Roman"/>
          <w:sz w:val="24"/>
          <w:szCs w:val="24"/>
          <w:lang w:val="en-US"/>
        </w:rPr>
        <w:t>the overall environment remains favorable for earnings growth and broad equity performance.</w:t>
      </w:r>
    </w:p>
    <w:p w14:paraId="30E0A033" w14:textId="040A4B66" w:rsidR="00455DF1" w:rsidRPr="007675EB" w:rsidRDefault="007675EB" w:rsidP="007675EB">
      <w:pPr>
        <w:jc w:val="both"/>
        <w:rPr>
          <w:rFonts w:ascii="Times New Roman" w:hAnsi="Times New Roman" w:cs="Times New Roman"/>
          <w:sz w:val="24"/>
          <w:szCs w:val="24"/>
          <w:lang w:val="en-US"/>
        </w:rPr>
      </w:pPr>
      <w:r w:rsidRPr="007675EB">
        <w:rPr>
          <w:rFonts w:ascii="Times New Roman" w:hAnsi="Times New Roman" w:cs="Times New Roman"/>
          <w:sz w:val="24"/>
          <w:szCs w:val="24"/>
          <w:lang w:val="en-US"/>
        </w:rPr>
        <w:t xml:space="preserve">Thank you for your continued trust and support. </w:t>
      </w:r>
    </w:p>
    <w:p w14:paraId="5B1A88D0" w14:textId="3A0C0E9A" w:rsidR="007675EB" w:rsidRPr="007675EB" w:rsidRDefault="007675EB" w:rsidP="007675EB">
      <w:pPr>
        <w:jc w:val="both"/>
        <w:rPr>
          <w:rFonts w:ascii="Times New Roman" w:hAnsi="Times New Roman" w:cs="Times New Roman"/>
          <w:sz w:val="24"/>
          <w:szCs w:val="24"/>
          <w:lang w:val="en-US"/>
        </w:rPr>
      </w:pPr>
      <w:r w:rsidRPr="007675EB">
        <w:rPr>
          <w:rFonts w:ascii="Times New Roman" w:hAnsi="Times New Roman" w:cs="Times New Roman"/>
          <w:sz w:val="24"/>
          <w:szCs w:val="24"/>
          <w:lang w:val="en-US"/>
        </w:rPr>
        <w:t>Stefan Wiederkehr &amp; Karin Wiederkeh</w:t>
      </w:r>
      <w:r w:rsidR="00534FEB">
        <w:rPr>
          <w:rFonts w:ascii="Times New Roman" w:hAnsi="Times New Roman" w:cs="Times New Roman"/>
          <w:sz w:val="24"/>
          <w:szCs w:val="24"/>
          <w:lang w:val="en-US"/>
        </w:rPr>
        <w:t>r</w:t>
      </w:r>
    </w:p>
    <w:p w14:paraId="23FF8947" w14:textId="77777777" w:rsidR="007675EB" w:rsidRPr="007675EB" w:rsidRDefault="007675EB" w:rsidP="007675EB">
      <w:pPr>
        <w:jc w:val="both"/>
        <w:rPr>
          <w:rFonts w:ascii="Times New Roman" w:hAnsi="Times New Roman" w:cs="Times New Roman"/>
          <w:sz w:val="24"/>
          <w:szCs w:val="24"/>
          <w:lang w:val="en-US"/>
        </w:rPr>
      </w:pPr>
    </w:p>
    <w:p w14:paraId="7DBBE8C9" w14:textId="77777777" w:rsidR="007675EB" w:rsidRDefault="007675EB" w:rsidP="007675EB">
      <w:pPr>
        <w:jc w:val="both"/>
        <w:rPr>
          <w:sz w:val="24"/>
          <w:szCs w:val="24"/>
          <w:lang w:val="en-US"/>
        </w:rPr>
      </w:pPr>
    </w:p>
    <w:p w14:paraId="0B5777B6" w14:textId="77777777" w:rsidR="00F4110E" w:rsidRDefault="00F4110E" w:rsidP="007675EB">
      <w:pPr>
        <w:jc w:val="both"/>
        <w:rPr>
          <w:sz w:val="24"/>
          <w:szCs w:val="24"/>
          <w:lang w:val="en-US"/>
        </w:rPr>
      </w:pPr>
    </w:p>
    <w:p w14:paraId="51E33E3F" w14:textId="77777777" w:rsidR="00317AC4" w:rsidRDefault="00317AC4" w:rsidP="007675EB">
      <w:pPr>
        <w:jc w:val="both"/>
        <w:rPr>
          <w:sz w:val="24"/>
          <w:szCs w:val="24"/>
          <w:lang w:val="en-US"/>
        </w:rPr>
      </w:pPr>
    </w:p>
    <w:p w14:paraId="6AC82F74" w14:textId="77777777" w:rsidR="00DB3E72" w:rsidRDefault="00DB3E72" w:rsidP="007675EB">
      <w:pPr>
        <w:jc w:val="both"/>
        <w:rPr>
          <w:sz w:val="24"/>
          <w:szCs w:val="24"/>
          <w:lang w:val="en-US"/>
        </w:rPr>
      </w:pPr>
    </w:p>
    <w:p w14:paraId="65205C57" w14:textId="77777777" w:rsidR="000B7DCE" w:rsidRDefault="000B7DCE" w:rsidP="007675EB">
      <w:pPr>
        <w:jc w:val="both"/>
        <w:rPr>
          <w:sz w:val="24"/>
          <w:szCs w:val="24"/>
          <w:lang w:val="en-US"/>
        </w:rPr>
      </w:pPr>
    </w:p>
    <w:p w14:paraId="3CECD329" w14:textId="77777777" w:rsidR="000B7DCE" w:rsidRDefault="000B7DCE" w:rsidP="007675EB">
      <w:pPr>
        <w:jc w:val="both"/>
        <w:rPr>
          <w:sz w:val="24"/>
          <w:szCs w:val="24"/>
          <w:lang w:val="en-US"/>
        </w:rPr>
      </w:pPr>
    </w:p>
    <w:p w14:paraId="2A1C87E4" w14:textId="77777777" w:rsidR="00DB3E72" w:rsidRDefault="00DB3E72" w:rsidP="007675EB">
      <w:pPr>
        <w:jc w:val="both"/>
        <w:rPr>
          <w:sz w:val="24"/>
          <w:szCs w:val="24"/>
          <w:lang w:val="en-US"/>
        </w:rPr>
      </w:pPr>
    </w:p>
    <w:p w14:paraId="4BD32819" w14:textId="77777777" w:rsidR="00DB3E72" w:rsidRDefault="00DB3E72" w:rsidP="007675EB">
      <w:pPr>
        <w:jc w:val="both"/>
        <w:rPr>
          <w:sz w:val="24"/>
          <w:szCs w:val="24"/>
          <w:lang w:val="en-US"/>
        </w:rPr>
      </w:pPr>
    </w:p>
    <w:p w14:paraId="63664C6B" w14:textId="77777777" w:rsidR="00DB3E72" w:rsidRDefault="00DB3E72" w:rsidP="007675EB">
      <w:pPr>
        <w:jc w:val="both"/>
        <w:rPr>
          <w:sz w:val="24"/>
          <w:szCs w:val="24"/>
          <w:lang w:val="en-US"/>
        </w:rPr>
      </w:pPr>
    </w:p>
    <w:p w14:paraId="5EF990B9" w14:textId="77777777" w:rsidR="00DB3E72" w:rsidRDefault="00DB3E72" w:rsidP="007675EB">
      <w:pPr>
        <w:jc w:val="both"/>
        <w:rPr>
          <w:sz w:val="24"/>
          <w:szCs w:val="24"/>
          <w:lang w:val="en-US"/>
        </w:rPr>
      </w:pPr>
    </w:p>
    <w:p w14:paraId="442A23A1" w14:textId="77777777" w:rsidR="00DB3E72" w:rsidRDefault="00DB3E72" w:rsidP="007675EB">
      <w:pPr>
        <w:jc w:val="both"/>
        <w:rPr>
          <w:sz w:val="24"/>
          <w:szCs w:val="24"/>
          <w:lang w:val="en-US"/>
        </w:rPr>
      </w:pPr>
    </w:p>
    <w:p w14:paraId="324BB84B" w14:textId="77777777" w:rsidR="00DB3E72" w:rsidRDefault="00DB3E72" w:rsidP="007675EB">
      <w:pPr>
        <w:jc w:val="both"/>
        <w:rPr>
          <w:sz w:val="24"/>
          <w:szCs w:val="24"/>
          <w:lang w:val="en-US"/>
        </w:rPr>
      </w:pPr>
    </w:p>
    <w:p w14:paraId="3007CD60" w14:textId="77777777" w:rsidR="00DB3E72" w:rsidRDefault="00DB3E72" w:rsidP="007675EB">
      <w:pPr>
        <w:jc w:val="both"/>
        <w:rPr>
          <w:sz w:val="24"/>
          <w:szCs w:val="24"/>
          <w:lang w:val="en-US"/>
        </w:rPr>
      </w:pPr>
    </w:p>
    <w:p w14:paraId="697C8A03" w14:textId="77777777" w:rsidR="00DB3E72" w:rsidRDefault="00DB3E72" w:rsidP="007675EB">
      <w:pPr>
        <w:jc w:val="both"/>
        <w:rPr>
          <w:sz w:val="24"/>
          <w:szCs w:val="24"/>
          <w:lang w:val="en-US"/>
        </w:rPr>
      </w:pPr>
    </w:p>
    <w:p w14:paraId="28C86F25" w14:textId="77777777" w:rsidR="00DB3E72" w:rsidRDefault="00DB3E72" w:rsidP="007675EB">
      <w:pPr>
        <w:jc w:val="both"/>
        <w:rPr>
          <w:sz w:val="24"/>
          <w:szCs w:val="24"/>
          <w:lang w:val="en-US"/>
        </w:rPr>
      </w:pPr>
    </w:p>
    <w:p w14:paraId="78509F47" w14:textId="77777777" w:rsidR="00DB3E72" w:rsidRDefault="00DB3E72" w:rsidP="007675EB">
      <w:pPr>
        <w:jc w:val="both"/>
        <w:rPr>
          <w:sz w:val="24"/>
          <w:szCs w:val="24"/>
          <w:lang w:val="en-US"/>
        </w:rPr>
      </w:pPr>
    </w:p>
    <w:p w14:paraId="1323D0F4" w14:textId="77777777" w:rsidR="00DB3E72" w:rsidRDefault="00DB3E72" w:rsidP="007675EB">
      <w:pPr>
        <w:jc w:val="both"/>
        <w:rPr>
          <w:sz w:val="24"/>
          <w:szCs w:val="24"/>
          <w:lang w:val="en-US"/>
        </w:rPr>
      </w:pPr>
    </w:p>
    <w:p w14:paraId="550F23E6" w14:textId="77777777" w:rsidR="00DB3E72" w:rsidRDefault="00DB3E72" w:rsidP="007675EB">
      <w:pPr>
        <w:jc w:val="both"/>
        <w:rPr>
          <w:sz w:val="24"/>
          <w:szCs w:val="24"/>
          <w:lang w:val="en-US"/>
        </w:rPr>
      </w:pPr>
    </w:p>
    <w:p w14:paraId="2E3837D3" w14:textId="77777777" w:rsidR="00337FB7" w:rsidRDefault="00337FB7" w:rsidP="007675EB">
      <w:pPr>
        <w:jc w:val="both"/>
        <w:rPr>
          <w:sz w:val="24"/>
          <w:szCs w:val="24"/>
          <w:lang w:val="en-US"/>
        </w:rPr>
      </w:pPr>
    </w:p>
    <w:p w14:paraId="5D35851C" w14:textId="50C699B2" w:rsidR="006C74BD" w:rsidRPr="00793B66" w:rsidRDefault="006D5E62" w:rsidP="006C74BD">
      <w:pPr>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006C74BD" w:rsidRPr="00793B66">
        <w:rPr>
          <w:rFonts w:ascii="Times New Roman" w:hAnsi="Times New Roman" w:cs="Times New Roman"/>
          <w:sz w:val="24"/>
          <w:szCs w:val="24"/>
          <w:lang w:val="en-US"/>
        </w:rPr>
        <w:t xml:space="preserve">his document is a marketing advertisement and has been prepared by MRB Fund Partners AG for information and marketing purposes only. All information and contents of this fund commentary are based on carefully selected sources that have been deemed reliable. Nevertheless, despite careful compilation of the information and content, MRB Fund Partners AG cannot assume any liability or guarantee for its correctness, completeness, accuracy, timeliness or availability. Furthermore, this fund commentary has neither been reviewed nor approved by a supervisory authority. The information and content legally constitute advertising messages that do not fulfil all legal requirements. This fund commentary is aimed at retail clients within the meaning of the European Financial Markets Directive and presents this investment opportunity as an entrepreneurial investment which, in addition to opportunities for returns, also involves risks up to and including the total loss of the invested capital. An investment decision may only be made </w:t>
      </w:r>
      <w:proofErr w:type="gramStart"/>
      <w:r w:rsidR="006C74BD" w:rsidRPr="00793B66">
        <w:rPr>
          <w:rFonts w:ascii="Times New Roman" w:hAnsi="Times New Roman" w:cs="Times New Roman"/>
          <w:sz w:val="24"/>
          <w:szCs w:val="24"/>
          <w:lang w:val="en-US"/>
        </w:rPr>
        <w:t>on the basis of</w:t>
      </w:r>
      <w:proofErr w:type="gramEnd"/>
      <w:r w:rsidR="006C74BD" w:rsidRPr="00793B66">
        <w:rPr>
          <w:rFonts w:ascii="Times New Roman" w:hAnsi="Times New Roman" w:cs="Times New Roman"/>
          <w:sz w:val="24"/>
          <w:szCs w:val="24"/>
          <w:lang w:val="en-US"/>
        </w:rPr>
        <w:t xml:space="preserve"> the information provided to investors as required by law. Please read the constituent documents, the prospectus and the key information documents before making a final investment decision. This fund commentary must be read in conjunction with the constituent documents or the prospectus and the key information documents for packaged investment products and insurance-based investment products (PRIIPs), if available under the relevant fund law, as these documents alone are authoritative. It is therefore necessary to read these documents carefully and in full before purchasing units </w:t>
      </w:r>
      <w:proofErr w:type="gramStart"/>
      <w:r w:rsidR="006C74BD" w:rsidRPr="00793B66">
        <w:rPr>
          <w:rFonts w:ascii="Times New Roman" w:hAnsi="Times New Roman" w:cs="Times New Roman"/>
          <w:sz w:val="24"/>
          <w:szCs w:val="24"/>
          <w:lang w:val="en-US"/>
        </w:rPr>
        <w:t>in</w:t>
      </w:r>
      <w:proofErr w:type="gramEnd"/>
      <w:r w:rsidR="006C74BD" w:rsidRPr="00793B66">
        <w:rPr>
          <w:rFonts w:ascii="Times New Roman" w:hAnsi="Times New Roman" w:cs="Times New Roman"/>
          <w:sz w:val="24"/>
          <w:szCs w:val="24"/>
          <w:lang w:val="en-US"/>
        </w:rPr>
        <w:t xml:space="preserve"> this fund. A subscription for units will only be accepted </w:t>
      </w:r>
      <w:proofErr w:type="gramStart"/>
      <w:r w:rsidR="006C74BD" w:rsidRPr="00793B66">
        <w:rPr>
          <w:rFonts w:ascii="Times New Roman" w:hAnsi="Times New Roman" w:cs="Times New Roman"/>
          <w:sz w:val="24"/>
          <w:szCs w:val="24"/>
          <w:lang w:val="en-US"/>
        </w:rPr>
        <w:t>on the basis of</w:t>
      </w:r>
      <w:proofErr w:type="gramEnd"/>
      <w:r w:rsidR="006C74BD" w:rsidRPr="00793B66">
        <w:rPr>
          <w:rFonts w:ascii="Times New Roman" w:hAnsi="Times New Roman" w:cs="Times New Roman"/>
          <w:sz w:val="24"/>
          <w:szCs w:val="24"/>
          <w:lang w:val="en-US"/>
        </w:rPr>
        <w:t xml:space="preserve"> the constituent documents, the prospectus and the key information documents for packaged investment products and insurance-based investment products (PRIIPs). No one should act </w:t>
      </w:r>
      <w:proofErr w:type="gramStart"/>
      <w:r w:rsidR="006C74BD" w:rsidRPr="00793B66">
        <w:rPr>
          <w:rFonts w:ascii="Times New Roman" w:hAnsi="Times New Roman" w:cs="Times New Roman"/>
          <w:sz w:val="24"/>
          <w:szCs w:val="24"/>
          <w:lang w:val="en-US"/>
        </w:rPr>
        <w:t>on the basis of</w:t>
      </w:r>
      <w:proofErr w:type="gramEnd"/>
      <w:r w:rsidR="006C74BD" w:rsidRPr="00793B66">
        <w:rPr>
          <w:rFonts w:ascii="Times New Roman" w:hAnsi="Times New Roman" w:cs="Times New Roman"/>
          <w:sz w:val="24"/>
          <w:szCs w:val="24"/>
          <w:lang w:val="en-US"/>
        </w:rPr>
        <w:t xml:space="preserve"> the information contained in this fund commentary without thoroughly analyzing the situation in question and obtaining appropriate professional advice from competent third parties. If available under the relevant fund law, the constitutive documents, the prospectus and the key information documents for packaged investment products and insurance-based investment products (PRIIPs) as well as the current annual and semi-annual reports can be obtained free of charge from the management company, the depositary and all authorized distributors in Switzerland and abroad. The information in this fund commentary is for information purposes only and does not contain any contractual or other obligations. It should not be construed as an offer or an advertisement soliciting the purchase of shares in this fund. Furthermore, this fund commentary does not constitute investment advice. The information and contents of this fund commentary may also be unsuitable or inapplicable for certain investors. It is intended solely for the purpose of providing information on your own responsibility and cannot replace individual advice. This fund commentary does not </w:t>
      </w:r>
      <w:proofErr w:type="gramStart"/>
      <w:r w:rsidR="006C74BD" w:rsidRPr="00793B66">
        <w:rPr>
          <w:rFonts w:ascii="Times New Roman" w:hAnsi="Times New Roman" w:cs="Times New Roman"/>
          <w:sz w:val="24"/>
          <w:szCs w:val="24"/>
          <w:lang w:val="en-US"/>
        </w:rPr>
        <w:t>take into account</w:t>
      </w:r>
      <w:proofErr w:type="gramEnd"/>
      <w:r w:rsidR="006C74BD" w:rsidRPr="00793B66">
        <w:rPr>
          <w:rFonts w:ascii="Times New Roman" w:hAnsi="Times New Roman" w:cs="Times New Roman"/>
          <w:sz w:val="24"/>
          <w:szCs w:val="24"/>
          <w:lang w:val="en-US"/>
        </w:rPr>
        <w:t xml:space="preserve"> specific or future investment objectives, financial or tax circumstances or other special needs of an investor. The value and income of the fund described in this fund commentary may go down as well as up. It is possible that an investor may not get back the amount originally invested or may not get it back in full. Past performance is not a reliable indicator of future results and the performance shown does not </w:t>
      </w:r>
      <w:proofErr w:type="gramStart"/>
      <w:r w:rsidR="006C74BD" w:rsidRPr="00793B66">
        <w:rPr>
          <w:rFonts w:ascii="Times New Roman" w:hAnsi="Times New Roman" w:cs="Times New Roman"/>
          <w:sz w:val="24"/>
          <w:szCs w:val="24"/>
          <w:lang w:val="en-US"/>
        </w:rPr>
        <w:t>take into account</w:t>
      </w:r>
      <w:proofErr w:type="gramEnd"/>
      <w:r w:rsidR="006C74BD" w:rsidRPr="00793B66">
        <w:rPr>
          <w:rFonts w:ascii="Times New Roman" w:hAnsi="Times New Roman" w:cs="Times New Roman"/>
          <w:sz w:val="24"/>
          <w:szCs w:val="24"/>
          <w:lang w:val="en-US"/>
        </w:rPr>
        <w:t xml:space="preserve"> the commissions and costs incurred on the subscription and redemption of fund units. Furthermore, the fund currency is subject to exchange rate fluctuations if the reference currency of a unit class is not the same as the fund currency. This fund commentary may contain forward-looking statements, in particular statements about future market developments. Future performance is neither expressly nor implicitly guaranteed or promised. Although all forward-looking statements contained in this fund commentary are </w:t>
      </w:r>
      <w:r w:rsidR="006C74BD" w:rsidRPr="00793B66">
        <w:rPr>
          <w:rFonts w:ascii="Times New Roman" w:hAnsi="Times New Roman" w:cs="Times New Roman"/>
          <w:sz w:val="24"/>
          <w:szCs w:val="24"/>
          <w:lang w:val="en-US"/>
        </w:rPr>
        <w:lastRenderedPageBreak/>
        <w:t>based on our carefully reasoned judgements and expectations, uncertainties and various risk factors could cause actual developments and results to differ materially from our statements. Further information on public distribution in the individual countries can be found in the constituent documents, the prospectus and the key information documents for packaged investment products and insurance-based investment products (PRIIPs), if available under the respective fund law. Due to different authorization procedures, no guarantee can be given that the fund or any of its sub-funds are or will be authorized for distribution in every country at the same time. In countries in which the fund is not authorized for public distribution, it can only be distributed - in accordance with local regulations - as a "private placement" or to institutional investors. Fund units are not offered for sale in countries in which such a sale is not permitted by law. This fund is not registered under the United States Securities Act of 1933. Fund units may therefore not be offered or distributed in the USA for or on behalf of a US person (in accordance with the definitions in US federal laws relating to securities, commodities and taxes, including "Regulation S" under the United States Securities Act of 1993). Subsequent transfers of fund units to the United States and/or to US persons are not permitted. Any documents relating to this fund may not be circulated in the United States.</w:t>
      </w:r>
    </w:p>
    <w:p w14:paraId="69406DCB" w14:textId="77777777" w:rsidR="006C74BD" w:rsidRPr="00793B66" w:rsidRDefault="006C74BD" w:rsidP="006C74BD">
      <w:pPr>
        <w:jc w:val="both"/>
        <w:rPr>
          <w:rFonts w:ascii="Times New Roman" w:hAnsi="Times New Roman" w:cs="Times New Roman"/>
          <w:sz w:val="24"/>
          <w:szCs w:val="24"/>
          <w:lang w:val="en-US"/>
        </w:rPr>
      </w:pPr>
      <w:proofErr w:type="gramStart"/>
      <w:r w:rsidRPr="00793B66">
        <w:rPr>
          <w:rFonts w:ascii="Times New Roman" w:hAnsi="Times New Roman" w:cs="Times New Roman"/>
          <w:sz w:val="24"/>
          <w:szCs w:val="24"/>
          <w:lang w:val="en-US"/>
        </w:rPr>
        <w:t>@MRB</w:t>
      </w:r>
      <w:proofErr w:type="gramEnd"/>
      <w:r w:rsidRPr="00793B66">
        <w:rPr>
          <w:rFonts w:ascii="Times New Roman" w:hAnsi="Times New Roman" w:cs="Times New Roman"/>
          <w:sz w:val="24"/>
          <w:szCs w:val="24"/>
          <w:lang w:val="en-US"/>
        </w:rPr>
        <w:t xml:space="preserve"> FUND PARTNERS AG. All rights reserved.</w:t>
      </w:r>
    </w:p>
    <w:p w14:paraId="67C0F0CA" w14:textId="77777777" w:rsidR="006C74BD" w:rsidRPr="00E62FFC" w:rsidRDefault="006C74BD" w:rsidP="006C74BD">
      <w:pPr>
        <w:jc w:val="both"/>
        <w:rPr>
          <w:lang w:val="en-US"/>
        </w:rPr>
      </w:pPr>
    </w:p>
    <w:p w14:paraId="72A65497" w14:textId="77777777" w:rsidR="006C74BD" w:rsidRPr="006C74BD" w:rsidRDefault="006C74BD" w:rsidP="007675EB">
      <w:pPr>
        <w:jc w:val="both"/>
        <w:rPr>
          <w:sz w:val="24"/>
          <w:szCs w:val="24"/>
          <w:lang w:val="en-US"/>
        </w:rPr>
      </w:pPr>
    </w:p>
    <w:sectPr w:rsidR="006C74BD" w:rsidRPr="006C74BD">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5EF9B" w14:textId="77777777" w:rsidR="00000F6C" w:rsidRDefault="00000F6C" w:rsidP="007675EB">
      <w:pPr>
        <w:spacing w:after="0" w:line="240" w:lineRule="auto"/>
      </w:pPr>
      <w:r>
        <w:separator/>
      </w:r>
    </w:p>
  </w:endnote>
  <w:endnote w:type="continuationSeparator" w:id="0">
    <w:p w14:paraId="38AFD14A" w14:textId="77777777" w:rsidR="00000F6C" w:rsidRDefault="00000F6C" w:rsidP="00767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7E216" w14:textId="77777777" w:rsidR="00000F6C" w:rsidRDefault="00000F6C" w:rsidP="007675EB">
      <w:pPr>
        <w:spacing w:after="0" w:line="240" w:lineRule="auto"/>
      </w:pPr>
      <w:r>
        <w:separator/>
      </w:r>
    </w:p>
  </w:footnote>
  <w:footnote w:type="continuationSeparator" w:id="0">
    <w:p w14:paraId="5EE13027" w14:textId="77777777" w:rsidR="00000F6C" w:rsidRDefault="00000F6C" w:rsidP="007675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4134F" w14:textId="0FBB92D9" w:rsidR="003B1A81" w:rsidRPr="00B5274F" w:rsidRDefault="003B1A81" w:rsidP="003B1A81">
    <w:pPr>
      <w:spacing w:after="0"/>
      <w:jc w:val="center"/>
      <w:rPr>
        <w:rFonts w:ascii="Times New Roman" w:hAnsi="Times New Roman" w:cs="Times New Roman"/>
        <w:sz w:val="20"/>
        <w:szCs w:val="20"/>
        <w:lang w:val="en-US"/>
      </w:rPr>
    </w:pPr>
    <w:r w:rsidRPr="00B5274F">
      <w:rPr>
        <w:rFonts w:ascii="Times New Roman" w:hAnsi="Times New Roman" w:cs="Times New Roman"/>
        <w:sz w:val="20"/>
        <w:szCs w:val="20"/>
        <w:lang w:val="en-US"/>
      </w:rPr>
      <w:t xml:space="preserve">Data as of </w:t>
    </w:r>
    <w:r>
      <w:rPr>
        <w:rFonts w:ascii="Times New Roman" w:hAnsi="Times New Roman" w:cs="Times New Roman"/>
        <w:sz w:val="20"/>
        <w:szCs w:val="20"/>
        <w:lang w:val="en-US"/>
      </w:rPr>
      <w:t>3</w:t>
    </w:r>
    <w:r w:rsidR="00FF113F">
      <w:rPr>
        <w:rFonts w:ascii="Times New Roman" w:hAnsi="Times New Roman" w:cs="Times New Roman"/>
        <w:sz w:val="20"/>
        <w:szCs w:val="20"/>
        <w:lang w:val="en-US"/>
      </w:rPr>
      <w:t>1</w:t>
    </w:r>
    <w:r>
      <w:rPr>
        <w:rFonts w:ascii="Times New Roman" w:hAnsi="Times New Roman" w:cs="Times New Roman"/>
        <w:sz w:val="20"/>
        <w:szCs w:val="20"/>
        <w:lang w:val="en-US"/>
      </w:rPr>
      <w:t>.1</w:t>
    </w:r>
    <w:r w:rsidR="00FF113F">
      <w:rPr>
        <w:rFonts w:ascii="Times New Roman" w:hAnsi="Times New Roman" w:cs="Times New Roman"/>
        <w:sz w:val="20"/>
        <w:szCs w:val="20"/>
        <w:lang w:val="en-US"/>
      </w:rPr>
      <w:t>2</w:t>
    </w:r>
    <w:r w:rsidRPr="00B5274F">
      <w:rPr>
        <w:rFonts w:ascii="Times New Roman" w:hAnsi="Times New Roman" w:cs="Times New Roman"/>
        <w:sz w:val="20"/>
        <w:szCs w:val="20"/>
        <w:lang w:val="en-US"/>
      </w:rPr>
      <w:t>.2025 - Marketing Communication</w:t>
    </w:r>
  </w:p>
  <w:p w14:paraId="1EC58ED9" w14:textId="77777777" w:rsidR="003B1A81" w:rsidRPr="00B5274F" w:rsidRDefault="003B1A81" w:rsidP="003B1A81">
    <w:pPr>
      <w:spacing w:after="0"/>
      <w:jc w:val="center"/>
      <w:rPr>
        <w:rFonts w:ascii="Times New Roman" w:hAnsi="Times New Roman" w:cs="Times New Roman"/>
        <w:sz w:val="20"/>
        <w:szCs w:val="20"/>
        <w:lang w:val="en-US"/>
      </w:rPr>
    </w:pPr>
  </w:p>
  <w:p w14:paraId="2E324174" w14:textId="64FBF58E" w:rsidR="007675EB" w:rsidRPr="003B1A81" w:rsidRDefault="003B1A81" w:rsidP="003B1A81">
    <w:pPr>
      <w:pStyle w:val="Header"/>
      <w:jc w:val="center"/>
    </w:pPr>
    <w:r>
      <w:rPr>
        <w:noProof/>
      </w:rPr>
      <w:drawing>
        <wp:inline distT="0" distB="0" distL="0" distR="0" wp14:anchorId="29E76EE9" wp14:editId="2E96A9C7">
          <wp:extent cx="1609725" cy="349885"/>
          <wp:effectExtent l="0" t="0" r="952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725" cy="34988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09B"/>
    <w:rsid w:val="00000F6C"/>
    <w:rsid w:val="000162EC"/>
    <w:rsid w:val="00062B46"/>
    <w:rsid w:val="000675BC"/>
    <w:rsid w:val="000A7079"/>
    <w:rsid w:val="000B7DCE"/>
    <w:rsid w:val="000E05FD"/>
    <w:rsid w:val="001038D1"/>
    <w:rsid w:val="0013127D"/>
    <w:rsid w:val="001A4FF7"/>
    <w:rsid w:val="001A5E98"/>
    <w:rsid w:val="001D1906"/>
    <w:rsid w:val="001D766B"/>
    <w:rsid w:val="001F1425"/>
    <w:rsid w:val="001F31BF"/>
    <w:rsid w:val="0020209B"/>
    <w:rsid w:val="002112AA"/>
    <w:rsid w:val="0023056C"/>
    <w:rsid w:val="002463B0"/>
    <w:rsid w:val="00276316"/>
    <w:rsid w:val="002B7BB5"/>
    <w:rsid w:val="00317AC4"/>
    <w:rsid w:val="00337FB7"/>
    <w:rsid w:val="00366D2B"/>
    <w:rsid w:val="00383F2E"/>
    <w:rsid w:val="00392EEA"/>
    <w:rsid w:val="003B1A81"/>
    <w:rsid w:val="003B33B0"/>
    <w:rsid w:val="003C278F"/>
    <w:rsid w:val="00455DF1"/>
    <w:rsid w:val="00482A5B"/>
    <w:rsid w:val="004A07CF"/>
    <w:rsid w:val="004B070F"/>
    <w:rsid w:val="004D6C18"/>
    <w:rsid w:val="00527DC1"/>
    <w:rsid w:val="00534FEB"/>
    <w:rsid w:val="005A18C4"/>
    <w:rsid w:val="005B32A1"/>
    <w:rsid w:val="005E2C4D"/>
    <w:rsid w:val="006320B3"/>
    <w:rsid w:val="00633091"/>
    <w:rsid w:val="00637617"/>
    <w:rsid w:val="0064404A"/>
    <w:rsid w:val="00661183"/>
    <w:rsid w:val="00677EF4"/>
    <w:rsid w:val="006928FB"/>
    <w:rsid w:val="006B167A"/>
    <w:rsid w:val="006C4D9E"/>
    <w:rsid w:val="006C74BD"/>
    <w:rsid w:val="006D5E62"/>
    <w:rsid w:val="006E5B66"/>
    <w:rsid w:val="00730C52"/>
    <w:rsid w:val="00744F1C"/>
    <w:rsid w:val="007675EB"/>
    <w:rsid w:val="007741C1"/>
    <w:rsid w:val="007C4C0F"/>
    <w:rsid w:val="007D0BBB"/>
    <w:rsid w:val="0084631A"/>
    <w:rsid w:val="008F4C06"/>
    <w:rsid w:val="00906C55"/>
    <w:rsid w:val="00917E1B"/>
    <w:rsid w:val="00936A46"/>
    <w:rsid w:val="00937455"/>
    <w:rsid w:val="00A31DD4"/>
    <w:rsid w:val="00A4354F"/>
    <w:rsid w:val="00A52FE6"/>
    <w:rsid w:val="00A63CD9"/>
    <w:rsid w:val="00A66CF3"/>
    <w:rsid w:val="00A70275"/>
    <w:rsid w:val="00AC280D"/>
    <w:rsid w:val="00AF6B15"/>
    <w:rsid w:val="00B502BC"/>
    <w:rsid w:val="00B67059"/>
    <w:rsid w:val="00B91EAD"/>
    <w:rsid w:val="00BB397C"/>
    <w:rsid w:val="00BD5188"/>
    <w:rsid w:val="00C01381"/>
    <w:rsid w:val="00C6612A"/>
    <w:rsid w:val="00CA2AB8"/>
    <w:rsid w:val="00CA787F"/>
    <w:rsid w:val="00CC3730"/>
    <w:rsid w:val="00CE04B1"/>
    <w:rsid w:val="00CF779D"/>
    <w:rsid w:val="00CF7CD7"/>
    <w:rsid w:val="00D220C8"/>
    <w:rsid w:val="00D222AC"/>
    <w:rsid w:val="00D5056F"/>
    <w:rsid w:val="00D569D4"/>
    <w:rsid w:val="00D73348"/>
    <w:rsid w:val="00DA5CE0"/>
    <w:rsid w:val="00DB3E72"/>
    <w:rsid w:val="00DB41FE"/>
    <w:rsid w:val="00DC228E"/>
    <w:rsid w:val="00E1368A"/>
    <w:rsid w:val="00E15637"/>
    <w:rsid w:val="00E568E8"/>
    <w:rsid w:val="00E74107"/>
    <w:rsid w:val="00EB4082"/>
    <w:rsid w:val="00ED5A66"/>
    <w:rsid w:val="00EE1176"/>
    <w:rsid w:val="00EF77BF"/>
    <w:rsid w:val="00F4110E"/>
    <w:rsid w:val="00F84ACA"/>
    <w:rsid w:val="00F91715"/>
    <w:rsid w:val="00F95746"/>
    <w:rsid w:val="00F96277"/>
    <w:rsid w:val="00F97D94"/>
    <w:rsid w:val="00FA1CFD"/>
    <w:rsid w:val="00FB58A2"/>
    <w:rsid w:val="00FC6E09"/>
    <w:rsid w:val="00FD03B4"/>
    <w:rsid w:val="00FF113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7C9EB"/>
  <w15:chartTrackingRefBased/>
  <w15:docId w15:val="{16978C48-396A-4CB7-AEB1-350DC312A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09B"/>
    <w:rPr>
      <w:rFonts w:eastAsiaTheme="majorEastAsia" w:cstheme="majorBidi"/>
      <w:color w:val="272727" w:themeColor="text1" w:themeTint="D8"/>
    </w:rPr>
  </w:style>
  <w:style w:type="paragraph" w:styleId="Title">
    <w:name w:val="Title"/>
    <w:basedOn w:val="Normal"/>
    <w:next w:val="Normal"/>
    <w:link w:val="TitleChar"/>
    <w:uiPriority w:val="10"/>
    <w:qFormat/>
    <w:rsid w:val="00202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09B"/>
    <w:pPr>
      <w:spacing w:before="160"/>
      <w:jc w:val="center"/>
    </w:pPr>
    <w:rPr>
      <w:i/>
      <w:iCs/>
      <w:color w:val="404040" w:themeColor="text1" w:themeTint="BF"/>
    </w:rPr>
  </w:style>
  <w:style w:type="character" w:customStyle="1" w:styleId="QuoteChar">
    <w:name w:val="Quote Char"/>
    <w:basedOn w:val="DefaultParagraphFont"/>
    <w:link w:val="Quote"/>
    <w:uiPriority w:val="29"/>
    <w:rsid w:val="0020209B"/>
    <w:rPr>
      <w:i/>
      <w:iCs/>
      <w:color w:val="404040" w:themeColor="text1" w:themeTint="BF"/>
    </w:rPr>
  </w:style>
  <w:style w:type="paragraph" w:styleId="ListParagraph">
    <w:name w:val="List Paragraph"/>
    <w:basedOn w:val="Normal"/>
    <w:uiPriority w:val="34"/>
    <w:qFormat/>
    <w:rsid w:val="0020209B"/>
    <w:pPr>
      <w:ind w:left="720"/>
      <w:contextualSpacing/>
    </w:pPr>
  </w:style>
  <w:style w:type="character" w:styleId="IntenseEmphasis">
    <w:name w:val="Intense Emphasis"/>
    <w:basedOn w:val="DefaultParagraphFont"/>
    <w:uiPriority w:val="21"/>
    <w:qFormat/>
    <w:rsid w:val="0020209B"/>
    <w:rPr>
      <w:i/>
      <w:iCs/>
      <w:color w:val="0F4761" w:themeColor="accent1" w:themeShade="BF"/>
    </w:rPr>
  </w:style>
  <w:style w:type="paragraph" w:styleId="IntenseQuote">
    <w:name w:val="Intense Quote"/>
    <w:basedOn w:val="Normal"/>
    <w:next w:val="Normal"/>
    <w:link w:val="IntenseQuoteChar"/>
    <w:uiPriority w:val="30"/>
    <w:qFormat/>
    <w:rsid w:val="00202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09B"/>
    <w:rPr>
      <w:i/>
      <w:iCs/>
      <w:color w:val="0F4761" w:themeColor="accent1" w:themeShade="BF"/>
    </w:rPr>
  </w:style>
  <w:style w:type="character" w:styleId="IntenseReference">
    <w:name w:val="Intense Reference"/>
    <w:basedOn w:val="DefaultParagraphFont"/>
    <w:uiPriority w:val="32"/>
    <w:qFormat/>
    <w:rsid w:val="0020209B"/>
    <w:rPr>
      <w:b/>
      <w:bCs/>
      <w:smallCaps/>
      <w:color w:val="0F4761" w:themeColor="accent1" w:themeShade="BF"/>
      <w:spacing w:val="5"/>
    </w:rPr>
  </w:style>
  <w:style w:type="paragraph" w:styleId="Header">
    <w:name w:val="header"/>
    <w:basedOn w:val="Normal"/>
    <w:link w:val="HeaderChar"/>
    <w:uiPriority w:val="99"/>
    <w:unhideWhenUsed/>
    <w:rsid w:val="007675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75EB"/>
  </w:style>
  <w:style w:type="paragraph" w:styleId="Footer">
    <w:name w:val="footer"/>
    <w:basedOn w:val="Normal"/>
    <w:link w:val="FooterChar"/>
    <w:uiPriority w:val="99"/>
    <w:unhideWhenUsed/>
    <w:rsid w:val="007675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75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2092</Words>
  <Characters>11928</Characters>
  <Application>Microsoft Office Word</Application>
  <DocSecurity>0</DocSecurity>
  <Lines>99</Lines>
  <Paragraphs>27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W</dc:creator>
  <cp:keywords/>
  <dc:description/>
  <cp:lastModifiedBy>Karin Wiederkehr</cp:lastModifiedBy>
  <cp:revision>5</cp:revision>
  <cp:lastPrinted>2026-01-08T13:17:00Z</cp:lastPrinted>
  <dcterms:created xsi:type="dcterms:W3CDTF">2026-01-20T10:48:00Z</dcterms:created>
  <dcterms:modified xsi:type="dcterms:W3CDTF">2026-01-20T10:49:00Z</dcterms:modified>
</cp:coreProperties>
</file>