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thumbnail.emf" Type="http://schemas.openxmlformats.org/package/2006/relationships/metadata/thumbnail" Id="rId2"></Relationship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37fedf" w14:textId="1837fedf">
      <w:pPr>
        <w:pBdr/>
        <w:spacing w:before="20" w:after="20"/>
        <w:ind w:left="20" w:right="20"/>
        <w:jc w:val="left"/>
        <w15:collapsed w:val="false"/>
      </w:pPr>
      <w:bookmarkStart w:name="STOCK_NAME" w:id="0"/>
      <w:r/>
      <w:bookmarkEnd w:id="0"/>
      <w:r>
        <w:rPr>
          <w:rFonts w:ascii="Times New Roman" w:hAnsi="Times New Roman" w:cs="Times New Roman"/>
          <w:color w:val="000000"/>
          <w:sz w:val="22"/>
        </w:rPr>
        <w:t xml:space="preserve">rjn.27.9a_two Length Based Indicators</w:t>
      </w:r>
    </w:p>
    <w:bookmarkEnd w:id="0"/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>
      <w:pPr>
        <w:pBdr/>
        <w:spacing w:before="20" w:after="20"/>
        <w:ind w:left="20" w:right="20"/>
        <w:jc w:val="left"/>
      </w:pPr>
      <w:bookmarkStart w:name="LMAT" w:id="1"/>
      <w:r/>
      <w:bookmarkEnd w:id="1"/>
      <w:r>
        <w:rPr>
          <w:rFonts w:ascii="Calibri" w:hAnsi="Calibri" w:cs="Calibri"/>
          <w:color w:val="000000"/>
          <w:sz w:val="22"/>
        </w:rPr>
        <w:t xml:space="preserve">L</w:t>
      </w:r>
      <w:r>
        <w:rPr>
          <w:rFonts w:ascii="Calibri" w:hAnsi="Calibri" w:cs="Calibri"/>
          <w:color w:val="000000"/>
          <w:sz w:val="22"/>
          <w:vertAlign w:val="subscript"/>
        </w:rPr>
        <w:t xml:space="preserve">mat</w:t>
      </w:r>
      <w:r>
        <w:rPr>
          <w:rFonts w:ascii="Calibri" w:hAnsi="Calibri" w:cs="Calibri"/>
          <w:color w:val="000000"/>
          <w:sz w:val="22"/>
        </w:rPr>
        <w:t xml:space="preserve"> = 56.5</w:t>
      </w:r>
    </w:p>
    <w:p>
      <w:pPr>
        <w:pBdr/>
        <w:spacing w:before="20" w:after="20"/>
        <w:ind w:left="20" w:right="20"/>
        <w:jc w:val="left"/>
      </w:pPr>
      <w:bookmarkStart w:name="LINF" w:id="2"/>
      <w:r/>
      <w:bookmarkEnd w:id="2"/>
      <w:r>
        <w:rPr>
          <w:rFonts w:ascii="Calibri" w:hAnsi="Calibri" w:cs="Calibri"/>
          <w:color w:val="000000"/>
          <w:sz w:val="22"/>
        </w:rPr>
        <w:t xml:space="preserve">L</w:t>
      </w:r>
      <w:r>
        <w:rPr>
          <w:rFonts w:ascii="Calibri" w:hAnsi="Calibri" w:cs="Calibri"/>
          <w:color w:val="000000"/>
          <w:sz w:val="22"/>
          <w:vertAlign w:val="subscript"/>
        </w:rPr>
        <w:t xml:space="preserve">inf</w:t>
      </w:r>
      <w:r>
        <w:rPr>
          <w:rFonts w:ascii="Calibri" w:hAnsi="Calibri" w:cs="Calibri"/>
          <w:color w:val="000000"/>
          <w:sz w:val="22"/>
        </w:rPr>
        <w:t xml:space="preserve"> = 56.3</w:t>
      </w:r>
    </w:p>
    <w:bookmarkEnd w:id="2"/>
    <w:p w:rsidRPr="00482787" w:rsidR="00482787" w:rsidRDefault="00482787">
      <w:pPr>
        <w:rPr>
          <w:rFonts w:cstheme="minorHAnsi"/>
        </w:rPr>
      </w:pPr>
    </w:p>
    <w:p w:rsidRPr="00482787" w:rsid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color="auto" w:sz="4" w:space="0"/>
          <w:bottom w:val="single" w:color="auto" w:sz="4" w:space="0"/>
          <w:insideH w:val="single" w:color="808080" w:sz="4" w:space="0"/>
        </w:tblBorders>
        <w:tblLook w:firstRow="1" w:lastRow="0" w:firstColumn="1" w:lastColumn="0" w:noHBand="0" w:noVBand="1" w:val="04A0"/>
      </w:tblPr>
      <w:tblGrid>
        <w:gridCol w:w="1444"/>
        <w:gridCol w:w="2145"/>
        <w:gridCol w:w="1672"/>
        <w:gridCol w:w="1116"/>
        <w:gridCol w:w="1116"/>
        <w:gridCol w:w="1533"/>
      </w:tblGrid>
      <w:tr w:rsidRPr="00440FF5" w:rsidR="00482787" w:rsidTr="00440FF5">
        <w:trPr>
          <w:cantSplit/>
          <w:tblHeader/>
        </w:trPr>
        <w:tc>
          <w:tcPr>
            <w:tcW w:w="800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color="auto" w:sz="4" w:space="0"/>
              <w:bottom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440FF5" w:rsidR="00482787" w:rsidP="00C24A86" w:rsidRDefault="00482787">
            <w:pPr>
              <w:pStyle w:val="TableTop"/>
              <w:rPr>
                <w:rFonts w:asciiTheme="minorHAnsi" w:hAnsiTheme="minorHAnsi" w:cstheme="minorHAnsi"/>
                <w:b w:val="false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false"/>
                <w:sz w:val="18"/>
                <w:szCs w:val="18"/>
              </w:rPr>
              <w:t>Property</w:t>
            </w:r>
          </w:p>
        </w:tc>
      </w:tr>
      <w:tr w:rsidRPr="00440FF5" w:rsidR="00482787" w:rsidTr="00440FF5">
        <w:trPr>
          <w:cantSplit/>
        </w:trPr>
        <w:tc>
          <w:tcPr>
            <w:tcW w:w="80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color="auto" w:sz="4" w:space="0"/>
            </w:tcBorders>
            <w:shd w:val="clear" w:color="auto" w:fill="auto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keepNext/>
              <w:widowControl w:val="false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Pr="00440FF5" w:rsidR="00482787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440FF5" w:rsidR="00482787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440FF5" w:rsidR="00482787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Pr="00440FF5" w:rsidR="00482787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Pr="00440FF5" w:rsidR="00482787" w:rsidP="00C24A86" w:rsidRDefault="00482787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440FF5" w:rsid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Pr="00440FF5" w:rsid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Pr="00440FF5" w:rsid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Pr="00440FF5" w:rsidR="00440FF5" w:rsidP="00440FF5" w:rsidRDefault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name="_GoBack" w:id="3"/>
      <w:bookmarkEnd w:id="3"/>
    </w:p>
    <w:p>
      <w:pPr>
        <w:pBdr/>
        <w:spacing w:before="100" w:after="100"/>
        <w:ind w:left="100" w:right="100"/>
        <w:jc w:val="center"/>
      </w:pPr>
      <w:bookmarkStart w:name="INDICATOR_PLOT" w:id="4"/>
      <w:r/>
      <w:bookmarkEnd w:id="4"/>
      <w:r/>
      <w:r>
        <w:drawing>
          <wp:inline distT="0" distB="0" distL="0" distR="0">
            <wp:extent cx="6120000" cy="5760000"/>
            <wp:effectExtent l="0" t="0" r="0" b="0"/>
            <wp:docPr id="6" name="/tmp/Rtmp70QFQO/rjn.27.9a_two_Indicator_1a2ce37d9d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/tmp/Rtmp70QFQO/rjn.27.9a_two_Indicator_1a2ce37d9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jc w:val="left"/>
        <w:tblLayout w:type="fixed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Conservation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Optimizing Yield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MSY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Year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inf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mega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opt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 xml:space="preserve">F = M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15D2A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15D2A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15D2A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15D2A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15D2A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0.90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AEC640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1.07</w:t>
            </w:r>
          </w:p>
        </w:tc>
      </w:tr>
    </w:tbl>
    <w:p w:rsidR="00482787" w:rsidRDefault="00482787">
      <w:pPr>
        <w:rPr>
          <w:rFonts w:cstheme="minorHAnsi"/>
        </w:rPr>
      </w:pPr>
    </w:p>
    <w:p>
      <w:pPr>
        <w:pBdr/>
        <w:spacing w:before="100" w:after="100"/>
        <w:ind w:left="100" w:right="100"/>
        <w:jc w:val="center"/>
      </w:pPr>
      <w:bookmarkStart w:name="LFD_PLOT" w:id="6"/>
      <w:r/>
      <w:bookmarkEnd w:id="6"/>
      <w:r/>
      <w:r>
        <w:drawing>
          <wp:inline distT="0" distB="0" distL="0" distR="0">
            <wp:extent cx="4320000" cy="3600000"/>
            <wp:effectExtent l="0" t="0" r="0" b="0"/>
            <wp:docPr id="9" name="/tmp/Rtmp70QFQO/rjn.27.9a_two_LFD_1ab5a9a14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/tmp/Rtmp70QFQO/rjn.27.9a_two_LFD_1ab5a9a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</w:t>
      </w:r>
      <w:bookmarkEnd w:id="6"/>
      <w:r>
        <w:rPr>
          <w:rFonts w:cstheme="minorHAnsi"/>
        </w:rPr>
        <w:t>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 xml:space="preserve">(cm)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 xml:space="preserve">(cm)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[34,36]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340.38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(36,38]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124.54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(38,40]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34.64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360.21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117.31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122.30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(40,42]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1253.63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159.91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316.27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326.74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417.96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79.71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(42,44]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2874.24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1527.27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1154.95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318.01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793.53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475.76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157.50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(44,46]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1597.10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2268.43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1134.80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934.33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1059.96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550.15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778.52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265.23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(46,48]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6890.44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2052.90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2618.49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1916.45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1350.26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1016.48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273.30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1557.04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411.87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320.44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(48,50]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2797.98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6630.39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2003.72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1142.63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1935.60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1016.75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2062.82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200.03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1156.22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187.13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1348.31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634.75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(50,52]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1398.99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5012.59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3059.69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3157.85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2622.28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809.39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1233.28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447.70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561.70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1239.74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1233.15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(52,54]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2190.31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1161.93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3593.08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2550.75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1377.93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2191.02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892.74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1349.80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790.27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1151.97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(54,56]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1398.99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949.66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1543.04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3636.50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1295.91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1004.88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1491.05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3154.61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1464.67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561.84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1574.14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576.85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(56,58]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2797.98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681.18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1892.35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3527.96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1562.64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1128.45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721.25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989.25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2303.48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748.98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1289.76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831.66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(58,60]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6994.94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297.59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2658.56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2861.11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1810.53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841.19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698.15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1031.98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2645.01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1536.94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740.43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488.11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(60,62]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1398.99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1813.84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2464.64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2664.99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907.15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402.19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146.49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638.73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3282.36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5380.91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434.56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154.38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(62,64]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2797.98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1504.21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1183.17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1794.93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732.68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213.80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114.91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40.94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279.29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436.28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(64,66]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525.94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478.40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180.77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20.72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31.58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65.03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121.87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(66,68]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419.07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212.99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(68,70]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293.98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(70,72]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</w:tbl>
    <w:p w:rsidR="00603B12" w:rsidP="00603B12" w:rsidRDefault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 xml:space="preserve">(cm)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 xml:space="preserve">(cm)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2019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[34,36]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(36,38]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(38,40]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(40,42]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(42,44]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(44,46]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1109.2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(46,48]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1273.1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(48,50]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1452.9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(50,52]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1649.5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(52,54]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1863.6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(54,56]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2096.1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(56,58]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2347.8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(58,60]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2619.5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(60,62]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2912.3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(62,64]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3226.6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(64,66]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3563.7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(66,68]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3924.2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(68,70]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4309.0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(70,72]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</w:tr>
    </w:tbl>
    <w:p w:rsidRPr="00482787" w:rsidR="00482787" w:rsidRDefault="00482787">
      <w:pPr>
        <w:rPr>
          <w:rFonts w:cstheme="minorHAnsi"/>
        </w:rPr>
      </w:pPr>
    </w:p>
    <w:sectPr w:rsidRPr="00482787" w:rsid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87"/>
    <w:rsid w:val="002A4216"/>
    <w:rsid w:val="002B44D5"/>
    <w:rsid w:val="00440FF5"/>
    <w:rsid w:val="00482787"/>
    <w:rsid w:val="00603B12"/>
    <w:rsid w:val="008709E2"/>
    <w:rsid w:val="00A367AD"/>
    <w:rsid w:val="00E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62BD41A2"/>
  <w15:docId w15:val="{73E27B46-A0DD-40CE-9843-D4F62B3FB5CA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table" w:customStyle="true">
    <w:name w:val="table"/>
    <w:link w:val="tableChar"/>
    <w:rsid w:val="00482787"/>
    <w:pPr>
      <w:spacing w:before="30" w:after="30" w:line="240" w:lineRule="auto"/>
    </w:pPr>
    <w:rPr>
      <w:rFonts w:ascii="Palatino Linotype" w:hAnsi="Palatino Linotype" w:eastAsia="Times New Roman" w:cs="Times New Roman"/>
      <w:noProof/>
      <w:sz w:val="17"/>
      <w:szCs w:val="20"/>
    </w:rPr>
  </w:style>
  <w:style w:type="paragraph" w:styleId="TableTop" w:customStyle="true">
    <w:name w:val="Table Top"/>
    <w:basedOn w:val="table"/>
    <w:rsid w:val="00482787"/>
    <w:pPr>
      <w:keepNext/>
      <w:widowControl w:val="false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styleId="tableChar" w:customStyle="true">
    <w:name w:val="table Char"/>
    <w:link w:val="table"/>
    <w:locked/>
    <w:rsid w:val="00482787"/>
    <w:rPr>
      <w:rFonts w:ascii="Palatino Linotype" w:hAnsi="Palatino Linotype" w:eastAsia="Times New Roman" w:cs="Times New Roman"/>
      <w:noProof/>
      <w:sz w:val="17"/>
      <w:szCs w:val="20"/>
    </w:rPr>
  </w:style>
  <w:style w:type="paragraph" w:styleId="TableCaption" w:customStyle="true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hAnsi="Palatino Linotype" w:eastAsia="Times New Roman" w:cs="Times New Roman"/>
      <w:b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440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Relationship Target="numbering.xml" Type="http://schemas.openxmlformats.org/officeDocument/2006/relationships/numbering" Id="rId6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ICES</properties:Company>
  <properties:Pages>5</properties:Pages>
  <properties:Words>183</properties:Words>
  <properties:Characters>1044</properties:Characters>
  <properties:Lines>8</properties:Lines>
  <properties:Paragraphs>2</properties:Paragraphs>
  <properties:TotalTime>79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1225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2017-02-02T15:19:00Z</dcterms:created>
  <dc:creator>/shiny on computer </dc:creator>
  <dc:description/>
  <cp:keywords/>
  <cp:lastModifiedBy>docx4j</cp:lastModifiedBy>
  <dcterms:modified xmlns:xsi="http://www.w3.org/2001/XMLSchema-instance" xsi:type="dcterms:W3CDTF">2017-04-21T11:51:00Z</dcterms:modified>
  <cp:revision>4</cp:revision>
  <dc:subject/>
  <dc:title>rjn.27.9a_two</dc:title>
</cp:coreProperties>
</file>