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4"/>
          <w:szCs w:val="24"/>
          <w:lang w:val="en-US"/>
        </w:rPr>
        <w:t>Assessing the sensitivity of length-indicator methods for resources in the Atlantic waters</w:t>
      </w:r>
    </w:p>
    <w:p>
      <w:pPr>
        <w:pStyle w:val="ListParagraph"/>
        <w:spacing w:lineRule="auto" w:line="480"/>
        <w:jc w:val="both"/>
        <w:rPr>
          <w:rFonts w:ascii="Times New Roman" w:hAnsi="Times New Roman"/>
          <w:sz w:val="24"/>
          <w:szCs w:val="24"/>
        </w:rPr>
      </w:pPr>
      <w:r>
        <w:rPr>
          <w:rFonts w:cs="Times New Roman" w:ascii="Times New Roman" w:hAnsi="Times New Roman"/>
          <w:b/>
          <w:bCs/>
          <w:sz w:val="24"/>
          <w:szCs w:val="24"/>
          <w:lang w:val="en-US"/>
        </w:rPr>
        <w:t>Authors</w:t>
      </w:r>
      <w:r>
        <w:rPr>
          <w:rFonts w:cs="Times New Roman" w:ascii="Times New Roman" w:hAnsi="Times New Roman"/>
          <w:sz w:val="24"/>
          <w:szCs w:val="24"/>
          <w:lang w:val="en-US"/>
        </w:rPr>
        <w:t xml:space="preserve"> </w:t>
      </w:r>
      <w:r>
        <w:rPr>
          <w:rFonts w:cs="Times New Roman" w:ascii="Times New Roman" w:hAnsi="Times New Roman"/>
          <w:position w:val="0"/>
          <w:sz w:val="24"/>
          <w:sz w:val="24"/>
          <w:szCs w:val="24"/>
          <w:vertAlign w:val="baseline"/>
          <w:lang w:val="en-US"/>
        </w:rPr>
        <w:t>Marta</w:t>
      </w:r>
      <w:r>
        <w:rPr>
          <w:rFonts w:cs="Times New Roman" w:ascii="Times New Roman" w:hAnsi="Times New Roman"/>
          <w:sz w:val="24"/>
          <w:szCs w:val="24"/>
          <w:lang w:val="en-US"/>
        </w:rPr>
        <w:t xml:space="preserve"> Cousido-</w:t>
      </w:r>
      <w:r>
        <w:rPr>
          <w:rFonts w:cs="Times New Roman" w:ascii="Times New Roman" w:hAnsi="Times New Roman"/>
          <w:sz w:val="24"/>
          <w:szCs w:val="24"/>
          <w:lang w:val="en-US"/>
        </w:rPr>
        <w:t>Rocha</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Maria Grazia </w:t>
      </w:r>
      <w:r>
        <w:rPr>
          <w:rFonts w:cs="Times New Roman" w:ascii="Times New Roman" w:hAnsi="Times New Roman"/>
          <w:position w:val="0"/>
          <w:sz w:val="24"/>
          <w:sz w:val="24"/>
          <w:szCs w:val="24"/>
          <w:vertAlign w:val="baseline"/>
          <w:lang w:val="en-US"/>
        </w:rPr>
        <w:t>Pennino</w:t>
      </w:r>
      <w:r>
        <w:rPr>
          <w:rFonts w:cs="Times New Roman" w:ascii="Times New Roman" w:hAnsi="Times New Roman"/>
          <w:sz w:val="24"/>
          <w:szCs w:val="24"/>
          <w:vertAlign w:val="superscript"/>
          <w:lang w:val="en-US"/>
        </w:rPr>
        <w:t>1,2,3</w:t>
      </w:r>
      <w:r>
        <w:rPr>
          <w:rFonts w:cs="Times New Roman" w:ascii="Times New Roman" w:hAnsi="Times New Roman"/>
          <w:position w:val="0"/>
          <w:sz w:val="24"/>
          <w:sz w:val="24"/>
          <w:szCs w:val="24"/>
          <w:vertAlign w:val="baseline"/>
          <w:lang w:val="en-US"/>
        </w:rPr>
        <w:t>,</w:t>
      </w:r>
      <w:r>
        <w:rPr>
          <w:rFonts w:cs="Times New Roman" w:ascii="Times New Roman" w:hAnsi="Times New Roman"/>
          <w:sz w:val="24"/>
          <w:szCs w:val="24"/>
          <w:lang w:val="en-US"/>
        </w:rPr>
        <w:t xml:space="preserve"> Santiago Cerviño</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w:t>
      </w:r>
      <w:r>
        <w:rPr>
          <w:rFonts w:cs="Times New Roman" w:ascii="Times New Roman" w:hAnsi="Times New Roman"/>
          <w:color w:val="C9211E"/>
          <w:sz w:val="24"/>
          <w:szCs w:val="24"/>
          <w:lang w:val="en-US"/>
        </w:rPr>
        <w:t>(in the final version the authors will sort correctly, this is provisional) PLEASE, introduce your name and your afilliation.</w:t>
      </w:r>
    </w:p>
    <w:p>
      <w:pPr>
        <w:pStyle w:val="ListParagraph"/>
        <w:spacing w:lineRule="auto" w:line="480"/>
        <w:jc w:val="both"/>
        <w:rPr>
          <w:rFonts w:ascii="Times New Roman" w:hAnsi="Times New Roman"/>
          <w:b/>
          <w:b/>
          <w:bCs/>
          <w:sz w:val="24"/>
          <w:szCs w:val="24"/>
        </w:rPr>
      </w:pPr>
      <w:r>
        <w:rPr>
          <w:rFonts w:cs="Times New Roman" w:ascii="Times New Roman" w:hAnsi="Times New Roman"/>
          <w:b/>
          <w:bCs/>
          <w:sz w:val="24"/>
          <w:szCs w:val="24"/>
          <w:lang w:val="en-US"/>
        </w:rPr>
        <w:t xml:space="preserve">Affiliation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Instituto Español de Oceanografía. Centro Oceanográfico de Vigo. Subida a Radio Faro, 50-52. 36390 Vigo (Pontevedra)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Statistical Modeling Ecology Group (SMEG). Departament d’Estadística i Investigació Operativa, Universitat de València, C/Dr. Moliner 50, Burjassot, 46100 Valencia,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 xml:space="preserve">Fishing Ecology Management and Economics (FEME) - Universidade Federal do Rio Grande do Norte – UFRN. Depto. de Ecologia, Natal (RN), Brazil. </w:t>
      </w:r>
    </w:p>
    <w:p>
      <w:pPr>
        <w:pStyle w:val="ListParagraph"/>
        <w:spacing w:lineRule="auto" w:line="480"/>
        <w:jc w:val="both"/>
        <w:rPr>
          <w:rFonts w:cs="Times New Roman"/>
          <w:lang w:val="en-US"/>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Abstract</w:t>
      </w:r>
    </w:p>
    <w:p>
      <w:pPr>
        <w:pStyle w:val="Normal"/>
        <w:spacing w:lineRule="auto" w:line="480"/>
        <w:jc w:val="both"/>
        <w:rPr>
          <w:rFonts w:ascii="Times New Roman" w:hAnsi="Times New Roman"/>
          <w:sz w:val="24"/>
          <w:szCs w:val="24"/>
        </w:rPr>
      </w:pPr>
      <w:r>
        <w:rPr>
          <w:rFonts w:cs="Times New Roman" w:ascii="Times New Roman" w:hAnsi="Times New Roman"/>
          <w:b/>
          <w:color w:val="800000"/>
          <w:sz w:val="24"/>
          <w:szCs w:val="24"/>
          <w:lang w:val="en-US"/>
        </w:rPr>
        <w:t xml:space="preserve">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 xml:space="preserve">Keywords: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Introduction</w:t>
      </w:r>
    </w:p>
    <w:p>
      <w:pPr>
        <w:pStyle w:val="Normal"/>
        <w:spacing w:lineRule="auto" w:line="480"/>
        <w:jc w:val="both"/>
        <w:rPr>
          <w:color w:val="C9211E"/>
          <w:sz w:val="24"/>
          <w:szCs w:val="24"/>
        </w:rPr>
      </w:pP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sz w:val="28"/>
          <w:szCs w:val="28"/>
          <w:lang w:val="en-US"/>
        </w:rPr>
      </w:pPr>
      <w:r>
        <w:rPr/>
      </w:r>
    </w:p>
    <w:p>
      <w:pPr>
        <w:pStyle w:val="Normal"/>
        <w:spacing w:lineRule="auto" w:line="480"/>
        <w:jc w:val="both"/>
        <w:rPr>
          <w:sz w:val="24"/>
          <w:szCs w:val="24"/>
        </w:rPr>
      </w:pPr>
      <w:r>
        <w:rPr>
          <w:rFonts w:cs="Times New Roman" w:ascii="Times New Roman" w:hAnsi="Times New Roman"/>
          <w:b/>
          <w:sz w:val="24"/>
          <w:szCs w:val="24"/>
          <w:lang w:val="en-US"/>
        </w:rPr>
        <w:t>Statistical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4"/>
          <w:szCs w:val="24"/>
          <w:lang w:val="en-US"/>
        </w:rPr>
        <w:t>data-poor stocks. Numerous data-limited length-based methodologies have been developed since length-frequency data are often the primary data type collected since it is relatively inexpensive and straightforward to obtain. In th</w:t>
      </w:r>
      <w:r>
        <w:rPr>
          <w:rFonts w:cs="Times New Roman" w:ascii="Times New Roman" w:hAnsi="Times New Roman"/>
          <w:sz w:val="24"/>
          <w:szCs w:val="24"/>
          <w:lang w:val="en-US"/>
        </w:rPr>
        <w:t>e current</w:t>
      </w:r>
      <w:r>
        <w:rPr>
          <w:rFonts w:cs="Times New Roman" w:ascii="Times New Roman" w:hAnsi="Times New Roman"/>
          <w:sz w:val="24"/>
          <w:szCs w:val="24"/>
          <w:lang w:val="en-US"/>
        </w:rPr>
        <w:t xml:space="preserve">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p>
    <w:p>
      <w:pPr>
        <w:pStyle w:val="Normal"/>
        <w:spacing w:lineRule="auto" w:line="480"/>
        <w:jc w:val="both"/>
        <w:rPr>
          <w:sz w:val="24"/>
          <w:szCs w:val="24"/>
        </w:rPr>
      </w:pPr>
      <w:r>
        <w:rPr>
          <w:rFonts w:cs="Times New Roman" w:ascii="Times New Roman" w:hAnsi="Times New Roman"/>
          <w:b/>
          <w:bCs/>
          <w:sz w:val="24"/>
          <w:szCs w:val="24"/>
          <w:lang w:val="en-US"/>
        </w:rPr>
        <w:t>LBI method</w:t>
      </w:r>
    </w:p>
    <w:p>
      <w:pPr>
        <w:pStyle w:val="Normal"/>
        <w:spacing w:lineRule="auto" w:line="480"/>
        <w:jc w:val="both"/>
        <w:rPr>
          <w:sz w:val="24"/>
          <w:szCs w:val="24"/>
        </w:rPr>
      </w:pPr>
      <w:r>
        <w:rPr>
          <w:rFonts w:ascii="Times New Roman" w:hAnsi="Times New Roman"/>
          <w:sz w:val="24"/>
          <w:szCs w:val="24"/>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sz w:val="24"/>
          <w:szCs w:val="24"/>
        </w:rPr>
      </w:pPr>
      <w:r>
        <w:rPr>
          <w:rFonts w:ascii="Times New Roman" w:hAnsi="Times New Roman"/>
          <w:sz w:val="24"/>
          <w:szCs w:val="24"/>
        </w:rPr>
        <w:t>LBI method requires the following data: length at maturity (L</w:t>
      </w:r>
      <w:r>
        <w:rPr>
          <w:rFonts w:ascii="Times New Roman" w:hAnsi="Times New Roman"/>
          <w:sz w:val="24"/>
          <w:szCs w:val="24"/>
          <w:vertAlign w:val="subscript"/>
        </w:rPr>
        <w:t>mat</w:t>
      </w:r>
      <w:r>
        <w:rPr>
          <w:rFonts w:ascii="Times New Roman" w:hAnsi="Times New Roman"/>
          <w:position w:val="0"/>
          <w:sz w:val="24"/>
          <w:sz w:val="24"/>
          <w:szCs w:val="24"/>
          <w:vertAlign w:val="baseline"/>
        </w:rPr>
        <w:t>, also known as L</w:t>
      </w:r>
      <w:r>
        <w:rPr>
          <w:rFonts w:ascii="Times New Roman" w:hAnsi="Times New Roman"/>
          <w:sz w:val="24"/>
          <w:szCs w:val="24"/>
          <w:vertAlign w:val="subscript"/>
        </w:rPr>
        <w:t>50</w:t>
      </w:r>
      <w:r>
        <w:rPr>
          <w:rFonts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lang w:val="en-US"/>
        </w:rPr>
        <w:t xml:space="preserve">length at 50% </w:t>
      </w:r>
      <w:r>
        <w:rPr>
          <w:rFonts w:cs="Times New Roman" w:ascii="Times New Roman" w:hAnsi="Times New Roman"/>
          <w:position w:val="0"/>
          <w:sz w:val="24"/>
          <w:sz w:val="24"/>
          <w:szCs w:val="24"/>
          <w:vertAlign w:val="baseline"/>
          <w:lang w:val="en-US"/>
        </w:rPr>
        <w:t>of maturity</w:t>
      </w:r>
      <w:r>
        <w:rPr>
          <w:rFonts w:ascii="Times New Roman" w:hAnsi="Times New Roman"/>
          <w:sz w:val="24"/>
          <w:szCs w:val="24"/>
        </w:rPr>
        <w:t xml:space="preserve">), von Bertalanffy  </w:t>
      </w:r>
      <w:r>
        <w:rPr>
          <w:rFonts w:ascii="Times New Roman" w:hAnsi="Times New Roman"/>
          <w:sz w:val="24"/>
          <w:szCs w:val="24"/>
        </w:rPr>
        <w:t>a</w:t>
      </w:r>
      <w:r>
        <w:rPr>
          <w:rFonts w:ascii="Times New Roman" w:hAnsi="Times New Roman"/>
          <w:sz w:val="24"/>
          <w:szCs w:val="24"/>
        </w:rPr>
        <w:t>symptotic average maximum body size (L</w:t>
      </w:r>
      <w:r>
        <w:rPr>
          <w:rFonts w:eastAsia="Times New Roman" w:cs="Times New Roman" w:ascii="Times New Roman" w:hAnsi="Times New Roman"/>
          <w:sz w:val="24"/>
          <w:szCs w:val="24"/>
          <w:vertAlign w:val="subscript"/>
        </w:rPr>
        <w:t>∞</w:t>
      </w:r>
      <w:r>
        <w:rPr>
          <w:rFonts w:ascii="Times New Roman" w:hAnsi="Times New Roman"/>
          <w:sz w:val="24"/>
          <w:szCs w:val="24"/>
        </w:rPr>
        <w:t xml:space="preserve">), ratio of natural mortality to von Bertalanffy growth rate (M/k), catch/landings at length per year, </w:t>
      </w:r>
      <w:r>
        <w:rPr>
          <w:rFonts w:ascii="Times New Roman" w:hAnsi="Times New Roman"/>
          <w:sz w:val="24"/>
          <w:szCs w:val="24"/>
        </w:rPr>
        <w:t>and</w:t>
      </w:r>
      <w:r>
        <w:rPr>
          <w:rFonts w:ascii="Times New Roman" w:hAnsi="Times New Roman"/>
          <w:sz w:val="24"/>
          <w:szCs w:val="24"/>
        </w:rPr>
        <w:t xml:space="preserve"> length–weight relationship parameters (a and b parameter</w:t>
      </w:r>
      <w:r>
        <w:rPr>
          <w:rFonts w:ascii="Times New Roman" w:hAnsi="Times New Roman"/>
          <w:sz w:val="24"/>
          <w:szCs w:val="24"/>
        </w:rPr>
        <w:t>s</w:t>
      </w:r>
      <w:r>
        <w:rPr>
          <w:rFonts w:ascii="Times New Roman" w:hAnsi="Times New Roman"/>
          <w:sz w:val="24"/>
          <w:szCs w:val="24"/>
        </w:rPr>
        <w:t xml:space="preserve"> in W=aL</w:t>
      </w:r>
      <w:r>
        <w:rPr>
          <w:rFonts w:ascii="Times New Roman" w:hAnsi="Times New Roman"/>
          <w:sz w:val="24"/>
          <w:szCs w:val="24"/>
          <w:vertAlign w:val="superscript"/>
        </w:rPr>
        <w:t>b</w:t>
      </w:r>
      <w:r>
        <w:rPr>
          <w:rFonts w:ascii="Times New Roman" w:hAnsi="Times New Roman"/>
          <w:position w:val="0"/>
          <w:sz w:val="24"/>
          <w:sz w:val="24"/>
          <w:szCs w:val="24"/>
          <w:vertAlign w:val="baseline"/>
        </w:rPr>
        <w:t xml:space="preserve"> being W and L the corresponding weight and length, respectively</w:t>
      </w:r>
      <w:r>
        <w:rPr>
          <w:rFonts w:ascii="Times New Roman" w:hAnsi="Times New Roman"/>
          <w:sz w:val="24"/>
          <w:szCs w:val="24"/>
        </w:rPr>
        <w:t xml:space="preserve">). Instead of </w:t>
      </w:r>
      <w:r>
        <w:rPr>
          <w:rFonts w:ascii="Times New Roman" w:hAnsi="Times New Roman"/>
          <w:sz w:val="24"/>
          <w:szCs w:val="24"/>
        </w:rPr>
        <w:t>a and b parameters</w:t>
      </w:r>
      <w:r>
        <w:rPr>
          <w:rFonts w:ascii="Times New Roman" w:hAnsi="Times New Roman"/>
          <w:sz w:val="24"/>
          <w:szCs w:val="24"/>
        </w:rPr>
        <w:t xml:space="preserve"> we can use the mean weights-at-length per year as an input </w:t>
      </w:r>
      <w:r>
        <w:rPr>
          <w:rFonts w:ascii="Times New Roman" w:hAnsi="Times New Roman"/>
          <w:sz w:val="24"/>
          <w:szCs w:val="24"/>
        </w:rPr>
        <w:t>object</w:t>
      </w:r>
      <w:r>
        <w:rPr>
          <w:rFonts w:ascii="Times New Roman" w:hAnsi="Times New Roman"/>
          <w:sz w:val="24"/>
          <w:szCs w:val="24"/>
        </w:rPr>
        <w:t xml:space="preserve"> in the model.</w:t>
      </w:r>
    </w:p>
    <w:p>
      <w:pPr>
        <w:pStyle w:val="Normal"/>
        <w:spacing w:lineRule="auto" w:line="480"/>
        <w:jc w:val="both"/>
        <w:rPr>
          <w:sz w:val="24"/>
          <w:szCs w:val="24"/>
        </w:rPr>
      </w:pPr>
      <w:r>
        <w:rPr>
          <w:rFonts w:ascii="Times New Roman" w:hAnsi="Times New Roman"/>
          <w:sz w:val="24"/>
          <w:szCs w:val="24"/>
        </w:rPr>
        <w:t xml:space="preserve">Table 1 present the </w:t>
      </w:r>
      <w:r>
        <w:rPr>
          <w:rFonts w:ascii="Times New Roman" w:hAnsi="Times New Roman"/>
          <w:sz w:val="24"/>
          <w:szCs w:val="24"/>
        </w:rPr>
        <w:t>length based</w:t>
      </w:r>
      <w:r>
        <w:rPr>
          <w:rFonts w:ascii="Times New Roman" w:hAnsi="Times New Roman"/>
          <w:sz w:val="24"/>
          <w:szCs w:val="24"/>
        </w:rPr>
        <w:t xml:space="preserve"> indicators, </w:t>
      </w:r>
      <w:r>
        <w:rPr>
          <w:rFonts w:ascii="Times New Roman" w:hAnsi="Times New Roman"/>
          <w:sz w:val="24"/>
          <w:szCs w:val="24"/>
        </w:rPr>
        <w:t>their</w:t>
      </w:r>
      <w:r>
        <w:rPr>
          <w:rFonts w:ascii="Times New Roman" w:hAnsi="Times New Roman"/>
          <w:sz w:val="24"/>
          <w:szCs w:val="24"/>
        </w:rPr>
        <w:t xml:space="preserve"> references, </w:t>
      </w:r>
      <w:r>
        <w:rPr>
          <w:rFonts w:ascii="Times New Roman" w:hAnsi="Times New Roman"/>
          <w:sz w:val="24"/>
          <w:szCs w:val="24"/>
        </w:rPr>
        <w:t>the corresponding</w:t>
      </w:r>
      <w:r>
        <w:rPr>
          <w:rFonts w:ascii="Times New Roman" w:hAnsi="Times New Roman"/>
          <w:sz w:val="24"/>
          <w:szCs w:val="24"/>
        </w:rPr>
        <w:t xml:space="preserve"> indicator ratios and their expected values. </w:t>
      </w:r>
    </w:p>
    <w:p>
      <w:pPr>
        <w:pStyle w:val="Normal"/>
        <w:spacing w:lineRule="auto" w:line="480"/>
        <w:jc w:val="both"/>
        <w:rPr>
          <w:sz w:val="24"/>
          <w:szCs w:val="24"/>
        </w:rPr>
      </w:pP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length based</w:t>
      </w:r>
      <w:r>
        <w:rPr>
          <w:rFonts w:ascii="Times New Roman" w:hAnsi="Times New Roman"/>
          <w:sz w:val="24"/>
          <w:szCs w:val="24"/>
        </w:rPr>
        <w:t xml:space="preserve"> indicators L</w:t>
      </w:r>
      <w:r>
        <w:rPr>
          <w:rFonts w:ascii="Times New Roman" w:hAnsi="Times New Roman"/>
          <w:sz w:val="24"/>
          <w:szCs w:val="24"/>
          <w:vertAlign w:val="subscript"/>
        </w:rPr>
        <w:t>95%</w:t>
      </w:r>
      <w:r>
        <w:rPr>
          <w:rFonts w:ascii="Times New Roman" w:hAnsi="Times New Roman"/>
          <w:sz w:val="24"/>
          <w:szCs w:val="24"/>
        </w:rPr>
        <w:t xml:space="preserve">  and L</w:t>
      </w:r>
      <w:r>
        <w:rPr>
          <w:rFonts w:ascii="Times New Roman" w:hAnsi="Times New Roman"/>
          <w:sz w:val="24"/>
          <w:szCs w:val="24"/>
          <w:vertAlign w:val="subscript"/>
        </w:rPr>
        <w:t>max5%</w:t>
      </w:r>
      <w:r>
        <w:rPr>
          <w:rFonts w:ascii="Times New Roman" w:hAnsi="Times New Roman"/>
          <w:sz w:val="24"/>
          <w:szCs w:val="24"/>
        </w:rPr>
        <w:t xml:space="preserve">  </w:t>
      </w:r>
      <w:r>
        <w:rPr>
          <w:rFonts w:ascii="Times New Roman" w:hAnsi="Times New Roman"/>
          <w:sz w:val="24"/>
          <w:szCs w:val="24"/>
        </w:rPr>
        <w:t>(Table 1)</w:t>
      </w:r>
      <w:r>
        <w:rPr>
          <w:rFonts w:ascii="Times New Roman" w:hAnsi="Times New Roman"/>
          <w:sz w:val="24"/>
          <w:szCs w:val="24"/>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4"/>
          <w:szCs w:val="24"/>
          <w:vertAlign w:val="subscript"/>
        </w:rPr>
        <w:t>∞</w:t>
      </w:r>
      <w:r>
        <w:rPr>
          <w:rFonts w:ascii="Times New Roman" w:hAnsi="Times New Roman"/>
          <w:sz w:val="24"/>
          <w:szCs w:val="24"/>
        </w:rPr>
        <w:t>. The corresponding ratio</w:t>
      </w:r>
      <w:r>
        <w:rPr>
          <w:rFonts w:ascii="Times New Roman" w:hAnsi="Times New Roman"/>
          <w:sz w:val="24"/>
          <w:szCs w:val="24"/>
        </w:rPr>
        <w:t>s</w:t>
      </w:r>
      <w:r>
        <w:rPr>
          <w:rFonts w:ascii="Times New Roman" w:hAnsi="Times New Roman"/>
          <w:sz w:val="24"/>
          <w:szCs w:val="24"/>
        </w:rPr>
        <w:t xml:space="preserve"> provide information about the degree of truncation of the population length structure that may be caused by fishing, and </w:t>
      </w:r>
      <w:r>
        <w:rPr>
          <w:rFonts w:ascii="Times New Roman" w:hAnsi="Times New Roman"/>
          <w:sz w:val="24"/>
          <w:szCs w:val="24"/>
        </w:rPr>
        <w:t>are</w:t>
      </w:r>
      <w:r>
        <w:rPr>
          <w:rFonts w:ascii="Times New Roman" w:hAnsi="Times New Roman"/>
          <w:sz w:val="24"/>
          <w:szCs w:val="24"/>
        </w:rPr>
        <w:t xml:space="preserve"> expected to be above 0.8, based on a simulation study carried out by Miethe and Dobby (2015).</w:t>
      </w:r>
    </w:p>
    <w:p>
      <w:pPr>
        <w:pStyle w:val="Normal"/>
        <w:spacing w:lineRule="auto" w:line="480"/>
        <w:jc w:val="both"/>
        <w:rPr>
          <w:sz w:val="24"/>
          <w:szCs w:val="24"/>
        </w:rPr>
      </w:pPr>
      <w:r>
        <w:rPr>
          <w:rFonts w:ascii="Times New Roman" w:hAnsi="Times New Roman"/>
          <w:sz w:val="24"/>
          <w:szCs w:val="24"/>
        </w:rPr>
        <w:t>The indicator P</w:t>
      </w:r>
      <w:r>
        <w:rPr>
          <w:rFonts w:ascii="Times New Roman" w:hAnsi="Times New Roman"/>
          <w:sz w:val="24"/>
          <w:szCs w:val="24"/>
          <w:vertAlign w:val="subscript"/>
        </w:rPr>
        <w:t>mega</w:t>
      </w:r>
      <w:r>
        <w:rPr>
          <w:rFonts w:ascii="Times New Roman" w:hAnsi="Times New Roman"/>
          <w:sz w:val="24"/>
          <w:szCs w:val="24"/>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sz w:val="24"/>
          <w:szCs w:val="24"/>
        </w:rPr>
      </w:pPr>
      <w:r>
        <w:rPr>
          <w:rFonts w:ascii="Times New Roman" w:hAnsi="Times New Roman"/>
          <w:sz w:val="24"/>
          <w:szCs w:val="24"/>
        </w:rPr>
        <w:t xml:space="preserve">On the other hand, </w:t>
      </w:r>
      <w:r>
        <w:rPr>
          <w:rFonts w:ascii="Times New Roman" w:hAnsi="Times New Roman"/>
          <w:sz w:val="24"/>
          <w:szCs w:val="24"/>
        </w:rPr>
        <w:t xml:space="preserve">length </w:t>
      </w:r>
      <w:r>
        <w:rPr>
          <w:rFonts w:ascii="Times New Roman" w:hAnsi="Times New Roman"/>
          <w:sz w:val="24"/>
          <w:szCs w:val="24"/>
        </w:rPr>
        <w:t>indicators L</w:t>
      </w:r>
      <w:r>
        <w:rPr>
          <w:rFonts w:ascii="Times New Roman" w:hAnsi="Times New Roman"/>
          <w:sz w:val="24"/>
          <w:szCs w:val="24"/>
          <w:vertAlign w:val="subscript"/>
        </w:rPr>
        <w:t>25%</w:t>
      </w:r>
      <w:r>
        <w:rPr>
          <w:rFonts w:ascii="Times New Roman" w:hAnsi="Times New Roman"/>
          <w:sz w:val="24"/>
          <w:szCs w:val="24"/>
        </w:rPr>
        <w:t xml:space="preserve"> and L</w:t>
      </w:r>
      <w:r>
        <w:rPr>
          <w:rFonts w:ascii="Times New Roman" w:hAnsi="Times New Roman"/>
          <w:sz w:val="24"/>
          <w:szCs w:val="24"/>
          <w:vertAlign w:val="subscript"/>
        </w:rPr>
        <w:t>c</w:t>
      </w:r>
      <w:r>
        <w:rPr>
          <w:rFonts w:ascii="Times New Roman" w:hAnsi="Times New Roman"/>
          <w:sz w:val="24"/>
          <w:szCs w:val="24"/>
        </w:rPr>
        <w:t xml:space="preserve"> relate to the conservation of immatures, and follow the principle “Let them spawn” (Froese, 2004). Hence, the ratio of both indicators to the reference point  L</w:t>
      </w:r>
      <w:r>
        <w:rPr>
          <w:rFonts w:ascii="Times New Roman" w:hAnsi="Times New Roman"/>
          <w:sz w:val="24"/>
          <w:szCs w:val="24"/>
          <w:vertAlign w:val="subscript"/>
        </w:rPr>
        <w:t>mat</w:t>
      </w:r>
      <w:r>
        <w:rPr>
          <w:rFonts w:ascii="Times New Roman" w:hAnsi="Times New Roman"/>
          <w:sz w:val="24"/>
          <w:szCs w:val="24"/>
        </w:rPr>
        <w:t xml:space="preserve"> is expected to be greater than 1 (Table 1).</w:t>
      </w:r>
    </w:p>
    <w:p>
      <w:pPr>
        <w:pStyle w:val="Normal"/>
        <w:spacing w:lineRule="auto" w:line="480"/>
        <w:jc w:val="both"/>
        <w:rPr/>
      </w:pPr>
      <w:r>
        <w:rPr>
          <w:rFonts w:ascii="Times New Roman" w:hAnsi="Times New Roman"/>
          <w:sz w:val="24"/>
          <w:szCs w:val="24"/>
        </w:rPr>
        <w:t>Finally, in Table 1, we describe two indicator ratios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position w:val="0"/>
          <w:sz w:val="24"/>
          <w:sz w:val="24"/>
          <w:szCs w:val="24"/>
          <w:vertAlign w:val="baseline"/>
        </w:rPr>
        <w:t xml:space="preserve"> and 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sz w:val="24"/>
          <w:szCs w:val="24"/>
        </w:rPr>
        <w:t xml:space="preserve"> relate to the optimal yield which follow the principle “Let them grow” (Froese, 2004) and a ratio indicator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r>
        <w:rPr>
          <w:rFonts w:ascii="Times New Roman" w:hAnsi="Times New Roman"/>
          <w:sz w:val="24"/>
          <w:szCs w:val="24"/>
        </w:rPr>
        <w:t xml:space="preserve"> focus on MSY</w:t>
      </w:r>
      <w:r>
        <w:rPr>
          <w:rFonts w:ascii="Times New Roman" w:hAnsi="Times New Roman"/>
          <w:sz w:val="28"/>
          <w:szCs w:val="28"/>
        </w:rPr>
        <w:t xml:space="preserve"> </w:t>
      </w:r>
      <w:r>
        <w:rPr>
          <w:rFonts w:ascii="Times New Roman" w:hAnsi="Times New Roman"/>
          <w:sz w:val="24"/>
          <w:szCs w:val="24"/>
        </w:rPr>
        <w:t>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spacing w:before="0" w:after="200"/>
              <w:rPr/>
            </w:pPr>
            <w:r>
              <w:rPr>
                <w:rFonts w:ascii="Times New Roman" w:hAnsi="Times New Roman"/>
                <w:sz w:val="24"/>
                <w:szCs w:val="24"/>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bookmarkStart w:id="0" w:name="__DdeLink__703_494104677"/>
            <w:bookmarkEnd w:id="0"/>
            <w:r>
              <w:rPr>
                <w:rFonts w:ascii="Times New Roman" w:hAnsi="Times New Roman"/>
                <w:sz w:val="24"/>
                <w:szCs w:val="24"/>
              </w:rPr>
              <w:t>L</w:t>
            </w:r>
            <w:r>
              <w:rPr>
                <w:rFonts w:ascii="Times New Roman" w:hAnsi="Times New Roman"/>
                <w:sz w:val="24"/>
                <w:szCs w:val="24"/>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Proportion of individuals above L</w:t>
            </w:r>
            <w:r>
              <w:rPr>
                <w:rFonts w:ascii="Times New Roman" w:hAnsi="Times New Roman"/>
                <w:sz w:val="24"/>
                <w:szCs w:val="24"/>
                <w:vertAlign w:val="subscript"/>
              </w:rPr>
              <w:t>opt</w:t>
            </w:r>
            <w:r>
              <w:rPr>
                <w:rFonts w:ascii="Times New Roman" w:hAnsi="Times New Roman"/>
                <w:sz w:val="24"/>
                <w:szCs w:val="24"/>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r>
              <w:rPr>
                <w:rFonts w:ascii="Times New Roman" w:hAnsi="Times New Roman"/>
                <w:position w:val="0"/>
                <w:sz w:val="24"/>
                <w:sz w:val="24"/>
                <w:szCs w:val="24"/>
                <w:vertAlign w:val="baseline"/>
              </w:rPr>
              <w:t>/</w:t>
            </w:r>
            <w:r>
              <w:rPr>
                <w:rFonts w:ascii="Times New Roman" w:hAnsi="Times New Roman"/>
                <w:sz w:val="24"/>
                <w:szCs w:val="24"/>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L</w:t>
            </w:r>
            <w:r>
              <w:rPr>
                <w:rFonts w:ascii="Times New Roman" w:hAnsi="Times New Roman"/>
                <w:sz w:val="24"/>
                <w:szCs w:val="24"/>
                <w:vertAlign w:val="subscript"/>
              </w:rPr>
              <w:t>c</w:t>
            </w:r>
            <w:r>
              <w:rPr>
                <w:rFonts w:ascii="Times New Roman" w:hAnsi="Times New Roman"/>
                <w:position w:val="0"/>
                <w:sz w:val="24"/>
                <w:sz w:val="24"/>
                <w:szCs w:val="24"/>
                <w:vertAlign w:val="baseline"/>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F=M</w:t>
            </w:r>
            <w:r>
              <w:rPr>
                <w:rFonts w:ascii="Times New Roman" w:hAnsi="Times New Roman"/>
                <w:position w:val="0"/>
                <w:sz w:val="24"/>
                <w:sz w:val="24"/>
                <w:szCs w:val="24"/>
                <w:vertAlign w:val="baseline"/>
              </w:rPr>
              <w:t>= (1-a)L</w:t>
            </w:r>
            <w:r>
              <w:rPr>
                <w:rFonts w:ascii="Times New Roman" w:hAnsi="Times New Roman"/>
                <w:sz w:val="24"/>
                <w:szCs w:val="24"/>
                <w:vertAlign w:val="subscript"/>
              </w:rPr>
              <w:t>c</w:t>
            </w:r>
            <w:r>
              <w:rPr>
                <w:rFonts w:ascii="Times New Roman" w:hAnsi="Times New Roman"/>
                <w:position w:val="0"/>
                <w:sz w:val="24"/>
                <w:sz w:val="24"/>
                <w:szCs w:val="24"/>
                <w:vertAlign w:val="baseline"/>
              </w:rPr>
              <w:t>+aL</w:t>
            </w:r>
            <w:r>
              <w:rPr>
                <w:rFonts w:eastAsia="Times New Roman" w:cs="Times New Roman" w:ascii="Times New Roman" w:hAnsi="Times New Roman"/>
                <w:sz w:val="24"/>
                <w:szCs w:val="24"/>
                <w:vertAlign w:val="subscript"/>
              </w:rPr>
              <w:t>∞</w:t>
            </w:r>
          </w:p>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a=1/(</w:t>
            </w:r>
            <w:r>
              <w:rPr>
                <w:rFonts w:eastAsia="Calibri" w:cs="" w:ascii="Times New Roman" w:hAnsi="Times New Roman"/>
                <w:position w:val="0"/>
                <w:sz w:val="24"/>
                <w:sz w:val="24"/>
                <w:szCs w:val="24"/>
                <w:vertAlign w:val="baseline"/>
              </w:rPr>
              <w:t>2</w:t>
            </w:r>
            <w:r>
              <w:rPr>
                <w:rFonts w:eastAsia="Calibri" w:cs="" w:ascii="Times New Roman" w:hAnsi="Times New Roman"/>
                <w:position w:val="0"/>
                <w:sz w:val="24"/>
                <w:sz w:val="24"/>
                <w:szCs w:val="24"/>
                <w:vertAlign w:val="baseline"/>
              </w:rPr>
              <w:t>(M/k)+1)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Liberation Serif" w:cs="Liberation Serif" w:ascii="Liberation Serif" w:hAnsi="Liberation Serif"/>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MSY</w:t>
            </w:r>
          </w:p>
        </w:tc>
      </w:tr>
    </w:tbl>
    <w:p>
      <w:pPr>
        <w:pStyle w:val="Normal"/>
        <w:spacing w:lineRule="auto" w:line="480"/>
        <w:jc w:val="both"/>
        <w:rPr/>
      </w:pPr>
      <w:r>
        <w:rPr>
          <w:rFonts w:eastAsia="Calibri" w:cs="" w:ascii="Times New Roman" w:hAnsi="Times New Roman"/>
          <w:sz w:val="24"/>
          <w:szCs w:val="24"/>
        </w:rPr>
        <w:t xml:space="preserve">Table 1: </w:t>
      </w:r>
      <w:r>
        <w:rPr>
          <w:rFonts w:eastAsia="Calibri" w:cs="" w:ascii="Times New Roman" w:hAnsi="Times New Roman"/>
          <w:sz w:val="24"/>
          <w:szCs w:val="24"/>
        </w:rPr>
        <w:t>Set of l</w:t>
      </w:r>
      <w:r>
        <w:rPr>
          <w:rFonts w:eastAsia="Calibri" w:cs="" w:ascii="Times New Roman" w:hAnsi="Times New Roman"/>
          <w:sz w:val="24"/>
          <w:szCs w:val="24"/>
        </w:rPr>
        <w:t xml:space="preserve">ength based indicators, </w:t>
      </w:r>
      <w:r>
        <w:rPr>
          <w:rFonts w:eastAsia="Calibri" w:cs="" w:ascii="Times New Roman" w:hAnsi="Times New Roman"/>
          <w:sz w:val="24"/>
          <w:szCs w:val="24"/>
        </w:rPr>
        <w:t>their</w:t>
      </w:r>
      <w:r>
        <w:rPr>
          <w:rFonts w:eastAsia="Calibri" w:cs="" w:ascii="Times New Roman" w:hAnsi="Times New Roman"/>
          <w:sz w:val="24"/>
          <w:szCs w:val="24"/>
        </w:rPr>
        <w:t xml:space="preserve"> reference</w:t>
      </w:r>
      <w:r>
        <w:rPr>
          <w:rFonts w:eastAsia="Calibri" w:cs="" w:ascii="Times New Roman" w:hAnsi="Times New Roman"/>
          <w:sz w:val="24"/>
          <w:szCs w:val="24"/>
        </w:rPr>
        <w:t>s</w:t>
      </w:r>
      <w:r>
        <w:rPr>
          <w:rFonts w:eastAsia="Calibri" w:cs="" w:ascii="Times New Roman" w:hAnsi="Times New Roman"/>
          <w:sz w:val="24"/>
          <w:szCs w:val="24"/>
        </w:rPr>
        <w:t xml:space="preserve">, </w:t>
      </w:r>
      <w:r>
        <w:rPr>
          <w:rFonts w:eastAsia="Calibri" w:cs="" w:ascii="Times New Roman" w:hAnsi="Times New Roman"/>
          <w:sz w:val="24"/>
          <w:szCs w:val="24"/>
        </w:rPr>
        <w:t xml:space="preserve">the corresponding </w:t>
      </w:r>
      <w:r>
        <w:rPr>
          <w:rFonts w:eastAsia="Calibri" w:cs="" w:ascii="Times New Roman" w:hAnsi="Times New Roman"/>
          <w:sz w:val="24"/>
          <w:szCs w:val="24"/>
        </w:rPr>
        <w:t xml:space="preserve">indicator ratios and </w:t>
      </w:r>
      <w:r>
        <w:rPr>
          <w:rFonts w:eastAsia="Calibri" w:cs="" w:ascii="Times New Roman" w:hAnsi="Times New Roman"/>
          <w:sz w:val="24"/>
          <w:szCs w:val="24"/>
        </w:rPr>
        <w:t xml:space="preserve">their </w:t>
      </w:r>
      <w:r>
        <w:rPr>
          <w:rFonts w:eastAsia="Calibri" w:cs="" w:ascii="Times New Roman" w:hAnsi="Times New Roman"/>
          <w:sz w:val="24"/>
          <w:szCs w:val="24"/>
        </w:rPr>
        <w:t>expected values grouped in terms of conservation/sustainability, optimal yield and MSY considerations.</w:t>
      </w:r>
    </w:p>
    <w:p>
      <w:pPr>
        <w:pStyle w:val="Normal"/>
        <w:spacing w:lineRule="auto" w:line="480"/>
        <w:jc w:val="both"/>
        <w:rPr/>
      </w:pPr>
      <w:r>
        <w:rPr>
          <w:rFonts w:ascii="Times New Roman" w:hAnsi="Times New Roman"/>
          <w:sz w:val="24"/>
          <w:szCs w:val="24"/>
        </w:rPr>
        <w:t xml:space="preserve"> </w:t>
      </w: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(L</w:t>
      </w:r>
      <w:r>
        <w:rPr>
          <w:rFonts w:cs="Times New Roman" w:ascii="Times New Roman" w:hAnsi="Times New Roman"/>
          <w:sz w:val="28"/>
          <w:szCs w:val="28"/>
          <w:vertAlign w:val="subscript"/>
          <w:lang w:val="en-US"/>
        </w:rPr>
        <w:t xml:space="preserve">50 </w:t>
      </w:r>
      <w:r>
        <w:rPr>
          <w:rFonts w:cs="Times New Roman" w:ascii="Times New Roman" w:hAnsi="Times New Roman"/>
          <w:position w:val="0"/>
          <w:sz w:val="28"/>
          <w:sz w:val="28"/>
          <w:szCs w:val="28"/>
          <w:vertAlign w:val="baseline"/>
          <w:lang w:val="en-US"/>
        </w:rPr>
        <w:t>and L</w:t>
      </w:r>
      <w:r>
        <w:rPr>
          <w:rFonts w:cs="Times New Roman" w:ascii="Times New Roman" w:hAnsi="Times New Roman"/>
          <w:sz w:val="28"/>
          <w:szCs w:val="28"/>
          <w:vertAlign w:val="subscript"/>
          <w:lang w:val="en-US"/>
        </w:rPr>
        <w:t>95,</w:t>
      </w:r>
      <w:r>
        <w:rPr>
          <w:rFonts w:cs="Times New Roman" w:ascii="Times New Roman" w:hAnsi="Times New Roman"/>
          <w:position w:val="0"/>
          <w:sz w:val="28"/>
          <w:sz w:val="28"/>
          <w:szCs w:val="28"/>
          <w:vertAlign w:val="baseline"/>
          <w:lang w:val="en-US"/>
        </w:rPr>
        <w:t>length at 50% and 95% of maturity, respectively)</w:t>
      </w:r>
      <w:r>
        <w:rPr>
          <w:rFonts w:cs="Times New Roman" w:ascii="Times New Roman" w:hAnsi="Times New Roman"/>
          <w:sz w:val="28"/>
          <w:szCs w:val="28"/>
          <w:lang w:val="en-US"/>
        </w:rPr>
        <w:t>,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position w:val="0"/>
          <w:sz w:val="28"/>
          <w:sz w:val="28"/>
          <w:szCs w:val="28"/>
          <w:vertAlign w:val="baseline"/>
          <w:lang w:val="en-US"/>
        </w:rPr>
        <w:t>Species data</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species/stocks considered in the sensitive analysis of LBI and LBSPR methods described above are: G.melastomus, E. encrasicolus, P. bogaraveo, T. luscus, and  P. Pollachius., and N. norvegicus FU25 and FU2627 (Males and Females). The data of catch/landings at length per year for all species has been obtained from </w:t>
      </w:r>
      <w:r>
        <w:rPr>
          <w:rFonts w:eastAsia="Times New Roman" w:cs="Times New Roman" w:ascii="Times New Roman" w:hAnsi="Times New Roman"/>
          <w:b w:val="false"/>
          <w:bCs w:val="false"/>
          <w:color w:val="C9211E"/>
          <w:position w:val="0"/>
          <w:sz w:val="28"/>
          <w:sz w:val="28"/>
          <w:szCs w:val="28"/>
          <w:vertAlign w:val="baseline"/>
          <w:lang w:val="en-US"/>
        </w:rPr>
        <w:t xml:space="preserve">().  </w:t>
      </w:r>
      <w:r>
        <w:rPr>
          <w:rFonts w:eastAsia="Times New Roman" w:cs="Times New Roman" w:ascii="Times New Roman" w:hAnsi="Times New Roman"/>
          <w:b w:val="false"/>
          <w:bCs w:val="false"/>
          <w:color w:val="111111"/>
          <w:position w:val="0"/>
          <w:sz w:val="28"/>
          <w:sz w:val="28"/>
          <w:szCs w:val="28"/>
          <w:vertAlign w:val="baseline"/>
          <w:lang w:val="en-US"/>
        </w:rPr>
        <w:t>Table 5 reports the values of the life history parameters (M/k, L</w:t>
      </w:r>
      <w:r>
        <w:rPr>
          <w:rFonts w:eastAsia="Liberation Serif" w:cs="Liberation Serif" w:ascii="Liberation Serif" w:hAnsi="Liberation Serif"/>
          <w:b w:val="false"/>
          <w:bCs w:val="false"/>
          <w:color w:val="111111"/>
          <w:sz w:val="28"/>
          <w:szCs w:val="28"/>
          <w:vertAlign w:val="subscript"/>
          <w:lang w:val="en-US"/>
        </w:rPr>
        <w:t xml:space="preserve">∞, </w:t>
      </w:r>
      <w:r>
        <w:rPr>
          <w:rFonts w:eastAsia="Liberation Serif" w:cs="Liberation Serif" w:ascii="Liberation Serif" w:hAnsi="Liberation Serif"/>
          <w:b w:val="false"/>
          <w:bCs w:val="false"/>
          <w:color w:val="111111"/>
          <w:position w:val="0"/>
          <w:sz w:val="28"/>
          <w:sz w:val="28"/>
          <w:szCs w:val="28"/>
          <w:vertAlign w:val="baseline"/>
          <w:lang w:val="en-US"/>
        </w:rPr>
        <w:t>L</w:t>
      </w:r>
      <w:r>
        <w:rPr>
          <w:rFonts w:eastAsia="Liberation Serif" w:cs="Liberation Serif" w:ascii="Liberation Serif" w:hAnsi="Liberation Serif"/>
          <w:b w:val="false"/>
          <w:bCs w:val="false"/>
          <w:color w:val="111111"/>
          <w:sz w:val="28"/>
          <w:szCs w:val="28"/>
          <w:vertAlign w:val="subscript"/>
          <w:lang w:val="en-US"/>
        </w:rPr>
        <w:t xml:space="preserve">50 </w:t>
      </w:r>
      <w:r>
        <w:rPr>
          <w:rFonts w:eastAsia="Liberation Serif" w:cs="Liberation Serif" w:ascii="Liberation Serif" w:hAnsi="Liberation Serif"/>
          <w:b w:val="false"/>
          <w:bCs w:val="false"/>
          <w:color w:val="111111"/>
          <w:position w:val="0"/>
          <w:sz w:val="28"/>
          <w:sz w:val="28"/>
          <w:szCs w:val="28"/>
          <w:vertAlign w:val="baseline"/>
          <w:lang w:val="en-US"/>
        </w:rPr>
        <w:t>and L</w:t>
      </w:r>
      <w:r>
        <w:rPr>
          <w:rFonts w:eastAsia="Liberation Serif" w:cs="Liberation Serif" w:ascii="Liberation Serif" w:hAnsi="Liberation Serif"/>
          <w:b w:val="false"/>
          <w:bCs w:val="false"/>
          <w:color w:val="111111"/>
          <w:sz w:val="28"/>
          <w:szCs w:val="28"/>
          <w:vertAlign w:val="subscript"/>
          <w:lang w:val="en-US"/>
        </w:rPr>
        <w:t>95</w:t>
      </w:r>
      <w:r>
        <w:rPr>
          <w:rFonts w:eastAsia="Times New Roman" w:cs="Times New Roman" w:ascii="Times New Roman" w:hAnsi="Times New Roman"/>
          <w:b w:val="false"/>
          <w:bCs w:val="false"/>
          <w:color w:val="111111"/>
          <w:position w:val="0"/>
          <w:sz w:val="28"/>
          <w:sz w:val="28"/>
          <w:szCs w:val="28"/>
          <w:vertAlign w:val="baseline"/>
          <w:lang w:val="en-US"/>
        </w:rPr>
        <w:t>) of each stock. The life history paremeter values have been derived from the following scientific sources:  N. norvegicus FU25 follows</w:t>
      </w:r>
      <w:r>
        <w:rPr>
          <w:rFonts w:eastAsia="Times New Roman" w:cs="Times New Roman" w:ascii="Times New Roman" w:hAnsi="Times New Roman"/>
          <w:b w:val="false"/>
          <w:bCs w:val="false"/>
          <w:color w:val="FF0000"/>
          <w:position w:val="0"/>
          <w:sz w:val="28"/>
          <w:sz w:val="28"/>
          <w:szCs w:val="28"/>
          <w:vertAlign w:val="baseline"/>
          <w:lang w:val="en-US"/>
        </w:rPr>
        <w:t xml:space="preserve"> (referencias), ……., finally, P. Pollachius follows (referencias). Excepto las referentes a M porque este valor no es necesario.</w:t>
      </w:r>
    </w:p>
    <w:p>
      <w:pPr>
        <w:pStyle w:val="Normal"/>
        <w:spacing w:lineRule="auto" w:line="480"/>
        <w:jc w:val="both"/>
        <w:rPr>
          <w:rFonts w:ascii="Times New Roman" w:hAnsi="Times New Roman" w:eastAsia="Times New Roman" w:cs="Times New Roman"/>
          <w:b/>
          <w:b/>
          <w:bCs/>
          <w:position w:val="0"/>
          <w:sz w:val="28"/>
          <w:sz w:val="28"/>
          <w:szCs w:val="28"/>
          <w:vertAlign w:val="baseline"/>
          <w:lang w:val="en-US"/>
        </w:rPr>
      </w:pPr>
      <w:r>
        <w:rPr>
          <w:rFonts w:eastAsia="Times New Roman" w:cs="Times New Roman" w:ascii="Times New Roman" w:hAnsi="Times New Roman"/>
          <w:b/>
          <w:bCs/>
          <w:position w:val="0"/>
          <w:sz w:val="28"/>
          <w:sz w:val="28"/>
          <w:szCs w:val="28"/>
          <w:vertAlign w:val="baseline"/>
          <w:lang w:val="en-US"/>
        </w:rPr>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which 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norvegicus FU25 and FU2627 (Males and Females), whereas Figure 2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discuss the information contained in the plots, we must clarify some details about them. 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 xml:space="preserve">=0.75*2=1.5).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Figures 1 and 2 show that, as expected, the variation on parameters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Fonts w:ascii="TimesNewRomanPSMT" w:hAnsi="TimesNewRomanPSMT"/>
          <w:b w:val="false"/>
          <w:bCs w:val="false"/>
          <w:color w:val="00000A"/>
          <w:sz w:val="28"/>
        </w:rPr>
      </w:r>
    </w:p>
    <w:p>
      <w:pPr>
        <w:pStyle w:val="Normal"/>
        <w:spacing w:lineRule="auto" w:line="480" w:before="0" w:after="200"/>
        <w:jc w:val="both"/>
        <w:rPr/>
      </w:pPr>
      <w:r>
        <w:rPr>
          <w:rFonts w:ascii="TimesNewRomanPSMT" w:hAnsi="TimesNewRomanPSMT"/>
          <w:b w:val="false"/>
          <w:bCs w:val="false"/>
          <w:color w:val="00000A"/>
          <w:sz w:val="28"/>
        </w:rPr>
        <w:t xml:space="preserve">In general, overestimation of </w:t>
      </w:r>
      <w:r>
        <w:rPr>
          <w:rFonts w:ascii="TimesNewRomanPSMT" w:hAnsi="TimesNewRomanPSMT"/>
          <w:sz w:val="28"/>
        </w:rPr>
        <w:t xml:space="preserve">M/k leads to a more optimistic perception of the state of stock, since as we can see in Figures 1 and 2 the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As in the LBI method, the conclusions for setting M/k=1.5 depend on whether M/k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almost for all species (except P.pollachius,  N. Norvegicus FU2627 and  N. Norvegicus FU25 Females). Although the SPR estimates derived from the reference model for such species are larger the conclusion is the same. For the  P.pollachius the SPR estimates (in both settings) are above 0.15 but below 0.35 hence we conclude that the stock is not collapsed but below the MSY level. The same holds for  Norvegicus FU25 Females 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On the other hand in the setting 1.25*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N. Norvegicus FU25 Females) are the same  as  the ones derived from the reference model in spite that the SPR estimates are larges in the setting  1.25* 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For  N. Norvegicus FU2627 in both settings the stock in the last years is above the MSY level.  For T.luscus we can see that overestimation of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leads to conclude that the stock is not collapsed although below MSY level whereas the reference model concludes that the stock is collapsed. Finally, for N. Norvegicus  FU25 females the stock is at MSY level following the setting  1.25*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LBSPR method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Figures 1 and 2 show that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E. encrasicolus, P. bogaraveo, 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1.25*L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and T. Luscus 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 xml:space="preserve">The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G.melastomus, E. encrasicolus, P. bogaraveo, T. luscus, and P. Pollachius. 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8504" w:type="dxa"/>
        <w:jc w:val="left"/>
        <w:tblInd w:w="55" w:type="dxa"/>
        <w:tblLayout w:type="fixed"/>
        <w:tblCellMar>
          <w:top w:w="55" w:type="dxa"/>
          <w:left w:w="55" w:type="dxa"/>
          <w:bottom w:w="55" w:type="dxa"/>
          <w:right w:w="55" w:type="dxa"/>
        </w:tblCellMar>
      </w:tblPr>
      <w:tblGrid>
        <w:gridCol w:w="1700"/>
        <w:gridCol w:w="1701"/>
        <w:gridCol w:w="1701"/>
        <w:gridCol w:w="1701"/>
        <w:gridCol w:w="1701"/>
      </w:tblGrid>
      <w:tr>
        <w:trPr/>
        <w:tc>
          <w:tcPr>
            <w:tcW w:w="1700" w:type="dxa"/>
            <w:tcBorders>
              <w:top w:val="single" w:sz="2" w:space="0" w:color="000000"/>
              <w:left w:val="single" w:sz="2" w:space="0" w:color="000000"/>
              <w:bottom w:val="single" w:sz="2" w:space="0" w:color="000000"/>
            </w:tcBorders>
          </w:tcPr>
          <w:p>
            <w:pPr>
              <w:pStyle w:val="Contenidodelatabla"/>
              <w:widowControl w:val="false"/>
              <w:spacing w:before="0" w:after="200"/>
              <w:rPr/>
            </w:pPr>
            <w:r>
              <w:rPr/>
              <w:t>Stock</w:t>
            </w:r>
          </w:p>
        </w:tc>
        <w:tc>
          <w:tcPr>
            <w:tcW w:w="1701" w:type="dxa"/>
            <w:tcBorders>
              <w:top w:val="single" w:sz="2" w:space="0" w:color="000000"/>
              <w:left w:val="single" w:sz="2" w:space="0" w:color="000000"/>
              <w:bottom w:val="single" w:sz="2" w:space="0" w:color="000000"/>
            </w:tcBorders>
          </w:tcPr>
          <w:p>
            <w:pPr>
              <w:pStyle w:val="Contenidodelatabla"/>
              <w:widowControl w:val="false"/>
              <w:spacing w:before="0" w:after="200"/>
              <w:rPr/>
            </w:pPr>
            <w:r>
              <w:rPr/>
              <w:t>L</w:t>
            </w:r>
            <w:r>
              <w:rPr>
                <w:rFonts w:eastAsia="Liberation Serif" w:cs="Liberation Serif" w:ascii="Liberation Serif" w:hAnsi="Liberation Serif"/>
                <w:vertAlign w:val="subscript"/>
              </w:rPr>
              <w:t>∞</w:t>
            </w:r>
            <w:r>
              <w:rPr>
                <w:rFonts w:eastAsia="Calibri" w:cs=""/>
                <w:vertAlign w:val="superscript"/>
              </w:rPr>
              <w:t>LIT</w:t>
            </w:r>
          </w:p>
        </w:tc>
        <w:tc>
          <w:tcPr>
            <w:tcW w:w="1701" w:type="dxa"/>
            <w:tcBorders>
              <w:top w:val="single" w:sz="2" w:space="0" w:color="000000"/>
              <w:left w:val="single" w:sz="2" w:space="0" w:color="000000"/>
              <w:bottom w:val="single" w:sz="2" w:space="0" w:color="000000"/>
            </w:tcBorders>
          </w:tcPr>
          <w:p>
            <w:pPr>
              <w:pStyle w:val="Contenidodelatabla"/>
              <w:widowControl w:val="false"/>
              <w:spacing w:before="0" w:after="200"/>
              <w:rPr/>
            </w:pPr>
            <w:r>
              <w:rPr/>
              <w:t>M/k</w:t>
            </w:r>
            <w:r>
              <w:rPr>
                <w:vertAlign w:val="superscript"/>
              </w:rPr>
              <w:t>LIT</w:t>
            </w:r>
          </w:p>
        </w:tc>
        <w:tc>
          <w:tcPr>
            <w:tcW w:w="1701" w:type="dxa"/>
            <w:tcBorders>
              <w:top w:val="single" w:sz="2" w:space="0" w:color="000000"/>
              <w:left w:val="single" w:sz="2" w:space="0" w:color="000000"/>
              <w:bottom w:val="single" w:sz="2" w:space="0" w:color="000000"/>
            </w:tcBorders>
          </w:tcPr>
          <w:p>
            <w:pPr>
              <w:pStyle w:val="Contenidodelatabla"/>
              <w:widowControl w:val="false"/>
              <w:spacing w:before="0" w:after="200"/>
              <w:rPr/>
            </w:pPr>
            <w:r>
              <w:rPr/>
              <w:t>L</w:t>
            </w:r>
            <w:r>
              <w:rPr>
                <w:vertAlign w:val="subscript"/>
              </w:rPr>
              <w:t>50</w:t>
            </w:r>
          </w:p>
        </w:tc>
        <w:tc>
          <w:tcPr>
            <w:tcW w:w="1701"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200"/>
              <w:rPr/>
            </w:pPr>
            <w:r>
              <w:rPr/>
              <w:t>L</w:t>
            </w:r>
            <w:r>
              <w:rPr>
                <w:vertAlign w:val="subscript"/>
              </w:rPr>
              <w:t>95</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FU25 </w:t>
            </w:r>
            <w:r>
              <w:rPr>
                <w:rFonts w:ascii="TimesNewRomanPSMT" w:hAnsi="TimesNewRomanPSMT"/>
                <w:color w:val="00000A"/>
                <w:sz w:val="22"/>
              </w:rPr>
              <w:t>Males</w:t>
            </w:r>
          </w:p>
        </w:tc>
        <w:tc>
          <w:tcPr>
            <w:tcW w:w="1701" w:type="dxa"/>
            <w:tcBorders>
              <w:left w:val="single" w:sz="2" w:space="0" w:color="000000"/>
              <w:bottom w:val="single" w:sz="2" w:space="0" w:color="000000"/>
            </w:tcBorders>
          </w:tcPr>
          <w:p>
            <w:pPr>
              <w:pStyle w:val="Contenidodelatabla"/>
              <w:widowControl w:val="false"/>
              <w:spacing w:before="0" w:after="200"/>
              <w:rPr/>
            </w:pPr>
            <w:r>
              <w:rPr/>
              <w:t>86mm</w:t>
            </w:r>
          </w:p>
        </w:tc>
        <w:tc>
          <w:tcPr>
            <w:tcW w:w="1701" w:type="dxa"/>
            <w:tcBorders>
              <w:left w:val="single" w:sz="2" w:space="0" w:color="000000"/>
              <w:bottom w:val="single" w:sz="2" w:space="0" w:color="000000"/>
            </w:tcBorders>
          </w:tcPr>
          <w:p>
            <w:pPr>
              <w:pStyle w:val="Contenidodelatabla"/>
              <w:widowControl w:val="false"/>
              <w:spacing w:before="0" w:after="200"/>
              <w:rPr/>
            </w:pPr>
            <w:r>
              <w:rPr/>
              <w:t>1.9</w:t>
            </w:r>
          </w:p>
        </w:tc>
        <w:tc>
          <w:tcPr>
            <w:tcW w:w="1701" w:type="dxa"/>
            <w:tcBorders>
              <w:left w:val="single" w:sz="2" w:space="0" w:color="000000"/>
              <w:bottom w:val="single" w:sz="2" w:space="0" w:color="000000"/>
            </w:tcBorders>
          </w:tcPr>
          <w:p>
            <w:pPr>
              <w:pStyle w:val="Contenidodelatabla"/>
              <w:widowControl w:val="false"/>
              <w:spacing w:before="0" w:after="200"/>
              <w:rPr/>
            </w:pPr>
            <w:r>
              <w:rPr/>
              <w:t>25mm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28.75mm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FU25 </w:t>
            </w:r>
            <w:r>
              <w:rPr>
                <w:rFonts w:ascii="TimesNewRomanPSMT" w:hAnsi="TimesNewRomanPSMT"/>
                <w:color w:val="00000A"/>
                <w:sz w:val="22"/>
              </w:rPr>
              <w:t>Females</w:t>
            </w:r>
          </w:p>
        </w:tc>
        <w:tc>
          <w:tcPr>
            <w:tcW w:w="1701" w:type="dxa"/>
            <w:tcBorders>
              <w:left w:val="single" w:sz="2" w:space="0" w:color="000000"/>
              <w:bottom w:val="single" w:sz="2" w:space="0" w:color="000000"/>
            </w:tcBorders>
          </w:tcPr>
          <w:p>
            <w:pPr>
              <w:pStyle w:val="Contenidodelatabla"/>
              <w:widowControl w:val="false"/>
              <w:spacing w:before="0" w:after="200"/>
              <w:rPr/>
            </w:pPr>
            <w:r>
              <w:rPr/>
              <w:t>71mm</w:t>
            </w:r>
          </w:p>
        </w:tc>
        <w:tc>
          <w:tcPr>
            <w:tcW w:w="1701" w:type="dxa"/>
            <w:tcBorders>
              <w:left w:val="single" w:sz="2" w:space="0" w:color="000000"/>
              <w:bottom w:val="single" w:sz="2" w:space="0" w:color="000000"/>
            </w:tcBorders>
          </w:tcPr>
          <w:p>
            <w:pPr>
              <w:pStyle w:val="Contenidodelatabla"/>
              <w:widowControl w:val="false"/>
              <w:spacing w:before="0" w:after="200"/>
              <w:rPr/>
            </w:pPr>
            <w:r>
              <w:rPr/>
              <w:t>1.9</w:t>
            </w:r>
          </w:p>
        </w:tc>
        <w:tc>
          <w:tcPr>
            <w:tcW w:w="1701" w:type="dxa"/>
            <w:tcBorders>
              <w:left w:val="single" w:sz="2" w:space="0" w:color="000000"/>
              <w:bottom w:val="single" w:sz="2" w:space="0" w:color="000000"/>
            </w:tcBorders>
          </w:tcPr>
          <w:p>
            <w:pPr>
              <w:pStyle w:val="Contenidodelatabla"/>
              <w:widowControl w:val="false"/>
              <w:spacing w:before="0" w:after="200"/>
              <w:rPr/>
            </w:pPr>
            <w:r>
              <w:rPr/>
              <w:t>28mm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32.2mm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FU2627 </w:t>
            </w:r>
            <w:r>
              <w:rPr>
                <w:rFonts w:ascii="TimesNewRomanPSMT" w:hAnsi="TimesNewRomanPSMT"/>
                <w:color w:val="00000A"/>
                <w:sz w:val="22"/>
              </w:rPr>
              <w:t>Males</w:t>
            </w:r>
          </w:p>
        </w:tc>
        <w:tc>
          <w:tcPr>
            <w:tcW w:w="1701" w:type="dxa"/>
            <w:tcBorders>
              <w:left w:val="single" w:sz="2" w:space="0" w:color="000000"/>
              <w:bottom w:val="single" w:sz="2" w:space="0" w:color="000000"/>
            </w:tcBorders>
          </w:tcPr>
          <w:p>
            <w:pPr>
              <w:pStyle w:val="Contenidodelatabla"/>
              <w:widowControl w:val="false"/>
              <w:spacing w:before="0" w:after="200"/>
              <w:rPr/>
            </w:pPr>
            <w:r>
              <w:rPr/>
              <w:t>80mm</w:t>
            </w:r>
          </w:p>
        </w:tc>
        <w:tc>
          <w:tcPr>
            <w:tcW w:w="1701" w:type="dxa"/>
            <w:tcBorders>
              <w:left w:val="single" w:sz="2" w:space="0" w:color="000000"/>
              <w:bottom w:val="single" w:sz="2" w:space="0" w:color="000000"/>
            </w:tcBorders>
          </w:tcPr>
          <w:p>
            <w:pPr>
              <w:pStyle w:val="Contenidodelatabla"/>
              <w:widowControl w:val="false"/>
              <w:spacing w:before="0" w:after="200"/>
              <w:rPr/>
            </w:pPr>
            <w:r>
              <w:rPr/>
              <w:t>2</w:t>
            </w:r>
          </w:p>
        </w:tc>
        <w:tc>
          <w:tcPr>
            <w:tcW w:w="1701" w:type="dxa"/>
            <w:tcBorders>
              <w:left w:val="single" w:sz="2" w:space="0" w:color="000000"/>
              <w:bottom w:val="single" w:sz="2" w:space="0" w:color="000000"/>
            </w:tcBorders>
          </w:tcPr>
          <w:p>
            <w:pPr>
              <w:pStyle w:val="Contenidodelatabla"/>
              <w:widowControl w:val="false"/>
              <w:spacing w:before="0" w:after="200"/>
              <w:rPr/>
            </w:pPr>
            <w:r>
              <w:rPr/>
              <w:t>28mm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32.2mm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FU2627 </w:t>
            </w:r>
            <w:r>
              <w:rPr>
                <w:rFonts w:ascii="TimesNewRomanPSMT" w:hAnsi="TimesNewRomanPSMT"/>
                <w:color w:val="00000A"/>
                <w:sz w:val="22"/>
              </w:rPr>
              <w:t>Females</w:t>
            </w:r>
          </w:p>
        </w:tc>
        <w:tc>
          <w:tcPr>
            <w:tcW w:w="1701" w:type="dxa"/>
            <w:tcBorders>
              <w:left w:val="single" w:sz="2" w:space="0" w:color="000000"/>
              <w:bottom w:val="single" w:sz="2" w:space="0" w:color="000000"/>
            </w:tcBorders>
          </w:tcPr>
          <w:p>
            <w:pPr>
              <w:pStyle w:val="Contenidodelatabla"/>
              <w:widowControl w:val="false"/>
              <w:spacing w:before="0" w:after="200"/>
              <w:rPr/>
            </w:pPr>
            <w:r>
              <w:rPr/>
              <w:t>65mm</w:t>
            </w:r>
          </w:p>
        </w:tc>
        <w:tc>
          <w:tcPr>
            <w:tcW w:w="1701" w:type="dxa"/>
            <w:tcBorders>
              <w:left w:val="single" w:sz="2" w:space="0" w:color="000000"/>
              <w:bottom w:val="single" w:sz="2" w:space="0" w:color="000000"/>
            </w:tcBorders>
          </w:tcPr>
          <w:p>
            <w:pPr>
              <w:pStyle w:val="Contenidodelatabla"/>
              <w:widowControl w:val="false"/>
              <w:spacing w:before="0" w:after="200"/>
              <w:rPr/>
            </w:pPr>
            <w:r>
              <w:rPr/>
              <w:t>2.5</w:t>
            </w:r>
          </w:p>
        </w:tc>
        <w:tc>
          <w:tcPr>
            <w:tcW w:w="1701" w:type="dxa"/>
            <w:tcBorders>
              <w:left w:val="single" w:sz="2" w:space="0" w:color="000000"/>
              <w:bottom w:val="single" w:sz="2" w:space="0" w:color="000000"/>
            </w:tcBorders>
          </w:tcPr>
          <w:p>
            <w:pPr>
              <w:pStyle w:val="Contenidodelatabla"/>
              <w:widowControl w:val="false"/>
              <w:spacing w:before="0" w:after="200"/>
              <w:rPr/>
            </w:pPr>
            <w:r>
              <w:rPr/>
              <w:t>26mm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29.9mm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1D1C1D"/>
                <w:sz w:val="22"/>
              </w:rPr>
              <w:t>G.melastomus</w:t>
            </w:r>
          </w:p>
        </w:tc>
        <w:tc>
          <w:tcPr>
            <w:tcW w:w="1701" w:type="dxa"/>
            <w:tcBorders>
              <w:left w:val="single" w:sz="2" w:space="0" w:color="000000"/>
              <w:bottom w:val="single" w:sz="2" w:space="0" w:color="000000"/>
            </w:tcBorders>
          </w:tcPr>
          <w:p>
            <w:pPr>
              <w:pStyle w:val="Contenidodelatabla"/>
              <w:widowControl w:val="false"/>
              <w:spacing w:before="0" w:after="200"/>
              <w:rPr/>
            </w:pPr>
            <w:r>
              <w:rPr/>
              <w:t>75cm</w:t>
            </w:r>
          </w:p>
        </w:tc>
        <w:tc>
          <w:tcPr>
            <w:tcW w:w="1701" w:type="dxa"/>
            <w:tcBorders>
              <w:left w:val="single" w:sz="2" w:space="0" w:color="000000"/>
              <w:bottom w:val="single" w:sz="2" w:space="0" w:color="000000"/>
            </w:tcBorders>
          </w:tcPr>
          <w:p>
            <w:pPr>
              <w:pStyle w:val="Contenidodelatabla"/>
              <w:widowControl w:val="false"/>
              <w:spacing w:before="0" w:after="200"/>
              <w:rPr/>
            </w:pPr>
            <w:r>
              <w:rPr/>
              <w:t>1.5</w:t>
            </w:r>
          </w:p>
        </w:tc>
        <w:tc>
          <w:tcPr>
            <w:tcW w:w="1701" w:type="dxa"/>
            <w:tcBorders>
              <w:left w:val="single" w:sz="2" w:space="0" w:color="000000"/>
              <w:bottom w:val="single" w:sz="2" w:space="0" w:color="000000"/>
            </w:tcBorders>
          </w:tcPr>
          <w:p>
            <w:pPr>
              <w:pStyle w:val="Contenidodelatabla"/>
              <w:widowControl w:val="false"/>
              <w:spacing w:before="0" w:after="200"/>
              <w:rPr/>
            </w:pPr>
            <w:r>
              <w:rPr/>
              <w:t>54cm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58cm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1D1C1D"/>
                <w:sz w:val="22"/>
              </w:rPr>
              <w:t>E. encrasicolus</w:t>
            </w:r>
          </w:p>
        </w:tc>
        <w:tc>
          <w:tcPr>
            <w:tcW w:w="1701" w:type="dxa"/>
            <w:tcBorders>
              <w:left w:val="single" w:sz="2" w:space="0" w:color="000000"/>
              <w:bottom w:val="single" w:sz="2" w:space="0" w:color="000000"/>
            </w:tcBorders>
          </w:tcPr>
          <w:p>
            <w:pPr>
              <w:pStyle w:val="Contenidodelatabla"/>
              <w:widowControl w:val="false"/>
              <w:spacing w:before="0" w:after="200"/>
              <w:rPr/>
            </w:pPr>
            <w:r>
              <w:rPr/>
              <w:t>19.95cm</w:t>
            </w:r>
          </w:p>
        </w:tc>
        <w:tc>
          <w:tcPr>
            <w:tcW w:w="1701" w:type="dxa"/>
            <w:tcBorders>
              <w:left w:val="single" w:sz="2" w:space="0" w:color="000000"/>
              <w:bottom w:val="single" w:sz="2" w:space="0" w:color="000000"/>
            </w:tcBorders>
          </w:tcPr>
          <w:p>
            <w:pPr>
              <w:pStyle w:val="Contenidodelatabla"/>
              <w:widowControl w:val="false"/>
              <w:spacing w:before="0" w:after="200"/>
              <w:rPr/>
            </w:pPr>
            <w:r>
              <w:rPr/>
              <w:t>1.44</w:t>
            </w:r>
          </w:p>
        </w:tc>
        <w:tc>
          <w:tcPr>
            <w:tcW w:w="1701" w:type="dxa"/>
            <w:tcBorders>
              <w:left w:val="single" w:sz="2" w:space="0" w:color="000000"/>
              <w:bottom w:val="single" w:sz="2" w:space="0" w:color="000000"/>
            </w:tcBorders>
          </w:tcPr>
          <w:p>
            <w:pPr>
              <w:pStyle w:val="Contenidodelatabla"/>
              <w:widowControl w:val="false"/>
              <w:spacing w:before="0" w:after="200"/>
              <w:rPr/>
            </w:pPr>
            <w:r>
              <w:rPr/>
              <w:t>11.2cm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13.3cm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1D1C1D"/>
                <w:sz w:val="22"/>
              </w:rPr>
              <w:t>P. bogaraveo</w:t>
            </w:r>
          </w:p>
        </w:tc>
        <w:tc>
          <w:tcPr>
            <w:tcW w:w="1701" w:type="dxa"/>
            <w:tcBorders>
              <w:left w:val="single" w:sz="2" w:space="0" w:color="000000"/>
              <w:bottom w:val="single" w:sz="2" w:space="0" w:color="000000"/>
            </w:tcBorders>
          </w:tcPr>
          <w:p>
            <w:pPr>
              <w:pStyle w:val="Contenidodelatabla"/>
              <w:widowControl w:val="false"/>
              <w:spacing w:before="0" w:after="200"/>
              <w:rPr/>
            </w:pPr>
            <w:r>
              <w:rPr/>
              <w:t>62cm</w:t>
            </w:r>
          </w:p>
        </w:tc>
        <w:tc>
          <w:tcPr>
            <w:tcW w:w="1701" w:type="dxa"/>
            <w:tcBorders>
              <w:left w:val="single" w:sz="2" w:space="0" w:color="000000"/>
              <w:bottom w:val="single" w:sz="2" w:space="0" w:color="000000"/>
            </w:tcBorders>
          </w:tcPr>
          <w:p>
            <w:pPr>
              <w:pStyle w:val="Contenidodelatabla"/>
              <w:widowControl w:val="false"/>
              <w:spacing w:before="0" w:after="200"/>
              <w:rPr/>
            </w:pPr>
            <w:r>
              <w:rPr/>
              <w:t>1.42</w:t>
            </w:r>
          </w:p>
        </w:tc>
        <w:tc>
          <w:tcPr>
            <w:tcW w:w="1701" w:type="dxa"/>
            <w:tcBorders>
              <w:left w:val="single" w:sz="2" w:space="0" w:color="000000"/>
              <w:bottom w:val="single" w:sz="2" w:space="0" w:color="000000"/>
            </w:tcBorders>
          </w:tcPr>
          <w:p>
            <w:pPr>
              <w:pStyle w:val="Contenidodelatabla"/>
              <w:widowControl w:val="false"/>
              <w:spacing w:before="0" w:after="200"/>
              <w:rPr/>
            </w:pPr>
            <w:r>
              <w:rPr/>
              <w:t>33cm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35cm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00000A"/>
                <w:sz w:val="22"/>
              </w:rPr>
              <w:t>T. luscus</w:t>
            </w:r>
          </w:p>
        </w:tc>
        <w:tc>
          <w:tcPr>
            <w:tcW w:w="1701" w:type="dxa"/>
            <w:tcBorders>
              <w:left w:val="single" w:sz="2" w:space="0" w:color="000000"/>
              <w:bottom w:val="single" w:sz="2" w:space="0" w:color="000000"/>
            </w:tcBorders>
          </w:tcPr>
          <w:p>
            <w:pPr>
              <w:pStyle w:val="Contenidodelatabla"/>
              <w:widowControl w:val="false"/>
              <w:spacing w:before="0" w:after="200"/>
              <w:rPr/>
            </w:pPr>
            <w:r>
              <w:rPr/>
              <w:t>46.7cm</w:t>
            </w:r>
          </w:p>
        </w:tc>
        <w:tc>
          <w:tcPr>
            <w:tcW w:w="1701" w:type="dxa"/>
            <w:tcBorders>
              <w:left w:val="single" w:sz="2" w:space="0" w:color="000000"/>
              <w:bottom w:val="single" w:sz="2" w:space="0" w:color="000000"/>
            </w:tcBorders>
          </w:tcPr>
          <w:p>
            <w:pPr>
              <w:pStyle w:val="Textopreformateado"/>
              <w:widowControl w:val="false"/>
              <w:spacing w:lineRule="auto" w:line="288" w:before="0" w:after="0"/>
              <w:ind w:left="0" w:right="0" w:hanging="0"/>
              <w:rPr>
                <w:rFonts w:ascii="Calibri" w:hAnsi="Calibri"/>
                <w:sz w:val="22"/>
                <w:szCs w:val="22"/>
              </w:rPr>
            </w:pPr>
            <w:bookmarkStart w:id="3" w:name="rstudio_console_output"/>
            <w:bookmarkEnd w:id="3"/>
            <w:r>
              <w:rPr>
                <w:b w:val="false"/>
                <w:i w:val="false"/>
                <w:caps w:val="false"/>
                <w:smallCaps w:val="false"/>
                <w:color w:val="000000"/>
                <w:spacing w:val="0"/>
                <w:sz w:val="22"/>
                <w:szCs w:val="22"/>
              </w:rPr>
              <w:t>1.76</w:t>
            </w:r>
          </w:p>
        </w:tc>
        <w:tc>
          <w:tcPr>
            <w:tcW w:w="1701" w:type="dxa"/>
            <w:tcBorders>
              <w:left w:val="single" w:sz="2" w:space="0" w:color="000000"/>
              <w:bottom w:val="single" w:sz="2" w:space="0" w:color="000000"/>
            </w:tcBorders>
          </w:tcPr>
          <w:p>
            <w:pPr>
              <w:pStyle w:val="Contenidodelatabla"/>
              <w:widowControl w:val="false"/>
              <w:spacing w:before="0" w:after="200"/>
              <w:rPr/>
            </w:pPr>
            <w:r>
              <w:rPr/>
              <w:t>19.2cm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21.43cm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P. pollachius</w:t>
            </w:r>
          </w:p>
        </w:tc>
        <w:tc>
          <w:tcPr>
            <w:tcW w:w="1701" w:type="dxa"/>
            <w:tcBorders>
              <w:left w:val="single" w:sz="2" w:space="0" w:color="000000"/>
              <w:bottom w:val="single" w:sz="2" w:space="0" w:color="000000"/>
            </w:tcBorders>
          </w:tcPr>
          <w:p>
            <w:pPr>
              <w:pStyle w:val="Contenidodelatabla"/>
              <w:widowControl w:val="false"/>
              <w:spacing w:before="0" w:after="200"/>
              <w:rPr/>
            </w:pPr>
            <w:r>
              <w:rPr/>
              <w:t>98.2cm</w:t>
            </w:r>
          </w:p>
        </w:tc>
        <w:tc>
          <w:tcPr>
            <w:tcW w:w="1701" w:type="dxa"/>
            <w:tcBorders>
              <w:left w:val="single" w:sz="2" w:space="0" w:color="000000"/>
              <w:bottom w:val="single" w:sz="2" w:space="0" w:color="000000"/>
            </w:tcBorders>
          </w:tcPr>
          <w:p>
            <w:pPr>
              <w:pStyle w:val="Contenidodelatabla"/>
              <w:widowControl w:val="false"/>
              <w:spacing w:before="0" w:after="200"/>
              <w:rPr/>
            </w:pPr>
            <w:r>
              <w:rPr/>
              <w:t>1.65</w:t>
            </w:r>
          </w:p>
        </w:tc>
        <w:tc>
          <w:tcPr>
            <w:tcW w:w="1701" w:type="dxa"/>
            <w:tcBorders>
              <w:left w:val="single" w:sz="2" w:space="0" w:color="000000"/>
              <w:bottom w:val="single" w:sz="2" w:space="0" w:color="000000"/>
            </w:tcBorders>
          </w:tcPr>
          <w:p>
            <w:pPr>
              <w:pStyle w:val="Contenidodelatabla"/>
              <w:widowControl w:val="false"/>
              <w:spacing w:before="0" w:after="200"/>
              <w:rPr/>
            </w:pPr>
            <w:r>
              <w:rPr/>
              <w:t>42.3cm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59cm</w:t>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Table 5:  V</w:t>
      </w:r>
      <w:r>
        <w:rPr>
          <w:rFonts w:eastAsia="Times New Roman" w:cs="Times New Roman" w:ascii="Times New Roman" w:hAnsi="Times New Roman"/>
          <w:b w:val="false"/>
          <w:bCs w:val="false"/>
          <w:color w:val="111111"/>
          <w:position w:val="0"/>
          <w:sz w:val="28"/>
          <w:sz w:val="28"/>
          <w:szCs w:val="28"/>
          <w:vertAlign w:val="baseline"/>
          <w:lang w:val="en-US"/>
        </w:rPr>
        <w:t>alues of the life history parameters (M/k, L</w:t>
      </w:r>
      <w:r>
        <w:rPr>
          <w:rFonts w:eastAsia="Liberation Serif" w:cs="Liberation Serif" w:ascii="Liberation Serif" w:hAnsi="Liberation Serif"/>
          <w:b w:val="false"/>
          <w:bCs w:val="false"/>
          <w:color w:val="111111"/>
          <w:sz w:val="28"/>
          <w:szCs w:val="28"/>
          <w:vertAlign w:val="subscript"/>
          <w:lang w:val="en-US"/>
        </w:rPr>
        <w:t xml:space="preserve">∞, </w:t>
      </w:r>
      <w:r>
        <w:rPr>
          <w:rFonts w:eastAsia="Liberation Serif" w:cs="Liberation Serif" w:ascii="Liberation Serif" w:hAnsi="Liberation Serif"/>
          <w:b w:val="false"/>
          <w:bCs w:val="false"/>
          <w:color w:val="111111"/>
          <w:position w:val="0"/>
          <w:sz w:val="28"/>
          <w:sz w:val="28"/>
          <w:szCs w:val="28"/>
          <w:vertAlign w:val="baseline"/>
          <w:lang w:val="en-US"/>
        </w:rPr>
        <w:t>L</w:t>
      </w:r>
      <w:r>
        <w:rPr>
          <w:rFonts w:eastAsia="Liberation Serif" w:cs="Liberation Serif" w:ascii="Liberation Serif" w:hAnsi="Liberation Serif"/>
          <w:b w:val="false"/>
          <w:bCs w:val="false"/>
          <w:color w:val="111111"/>
          <w:sz w:val="28"/>
          <w:szCs w:val="28"/>
          <w:vertAlign w:val="subscript"/>
          <w:lang w:val="en-US"/>
        </w:rPr>
        <w:t xml:space="preserve">50 </w:t>
      </w:r>
      <w:r>
        <w:rPr>
          <w:rFonts w:eastAsia="Liberation Serif" w:cs="Liberation Serif" w:ascii="Liberation Serif" w:hAnsi="Liberation Serif"/>
          <w:b w:val="false"/>
          <w:bCs w:val="false"/>
          <w:color w:val="111111"/>
          <w:position w:val="0"/>
          <w:sz w:val="28"/>
          <w:sz w:val="28"/>
          <w:szCs w:val="28"/>
          <w:vertAlign w:val="baseline"/>
          <w:lang w:val="en-US"/>
        </w:rPr>
        <w:t>and L</w:t>
      </w:r>
      <w:r>
        <w:rPr>
          <w:rFonts w:eastAsia="Liberation Serif" w:cs="Liberation Serif" w:ascii="Liberation Serif" w:hAnsi="Liberation Serif"/>
          <w:b w:val="false"/>
          <w:bCs w:val="false"/>
          <w:color w:val="111111"/>
          <w:sz w:val="28"/>
          <w:szCs w:val="28"/>
          <w:vertAlign w:val="subscript"/>
          <w:lang w:val="en-US"/>
        </w:rPr>
        <w:t>95</w:t>
      </w:r>
      <w:r>
        <w:rPr>
          <w:rFonts w:eastAsia="Times New Roman" w:cs="Times New Roman" w:ascii="Times New Roman" w:hAnsi="Times New Roman"/>
          <w:b w:val="false"/>
          <w:bCs w:val="false"/>
          <w:color w:val="111111"/>
          <w:position w:val="0"/>
          <w:sz w:val="28"/>
          <w:sz w:val="28"/>
          <w:szCs w:val="28"/>
          <w:vertAlign w:val="baseline"/>
          <w:lang w:val="en-US"/>
        </w:rPr>
        <w:t>) of each stock.</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Liberation Serif">
    <w:altName w:val="Times New Roman"/>
    <w:charset w:val="01"/>
    <w:family w:val="roman"/>
    <w:pitch w:val="default"/>
  </w:font>
  <w:font w:name="TimesNewRomanPS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1785922"/>
    </w:sdtPr>
    <w:sdtContent>
      <w:p>
        <w:pPr>
          <w:pStyle w:val="Piedepgina"/>
          <w:rPr/>
        </w:pPr>
        <w:r>
          <w:rPr/>
          <w:fldChar w:fldCharType="begin"/>
        </w:r>
        <w:r>
          <w:rPr/>
          <w:instrText> PAGE </w:instrText>
        </w:r>
        <w:r>
          <w:rPr/>
          <w:fldChar w:fldCharType="separate"/>
        </w:r>
        <w:r>
          <w:rPr/>
          <w:t>27</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Application>LibreOffice/7.0.3.1$Windows_X86_64 LibreOffice_project/d7547858d014d4cf69878db179d326fc3483e082</Application>
  <Pages>27</Pages>
  <Words>4510</Words>
  <Characters>23982</Characters>
  <CharactersWithSpaces>28139</CharactersWithSpaces>
  <Paragraphs>434</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2020-11-26T08:25:23Z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