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4"/>
          <w:szCs w:val="24"/>
          <w:lang w:val="en-US"/>
        </w:rPr>
        <w:t>Assessing the sensitivity of length-indicator methods for resources in the Atlantic waters</w:t>
      </w:r>
    </w:p>
    <w:p>
      <w:pPr>
        <w:pStyle w:val="ListParagraph"/>
        <w:spacing w:lineRule="auto" w:line="480"/>
        <w:jc w:val="both"/>
        <w:rPr>
          <w:rFonts w:ascii="Times New Roman" w:hAnsi="Times New Roman"/>
          <w:sz w:val="24"/>
          <w:szCs w:val="24"/>
        </w:rPr>
      </w:pPr>
      <w:r>
        <w:rPr>
          <w:rFonts w:cs="Times New Roman" w:ascii="Times New Roman" w:hAnsi="Times New Roman"/>
          <w:b/>
          <w:bCs/>
          <w:sz w:val="24"/>
          <w:szCs w:val="24"/>
          <w:lang w:val="en-US"/>
        </w:rPr>
        <w:t>Authors</w:t>
      </w:r>
      <w:r>
        <w:rPr>
          <w:rFonts w:cs="Times New Roman" w:ascii="Times New Roman" w:hAnsi="Times New Roman"/>
          <w:sz w:val="24"/>
          <w:szCs w:val="24"/>
          <w:lang w:val="en-US"/>
        </w:rPr>
        <w:t xml:space="preserve"> </w:t>
      </w:r>
      <w:r>
        <w:rPr>
          <w:rFonts w:cs="Times New Roman" w:ascii="Times New Roman" w:hAnsi="Times New Roman"/>
          <w:position w:val="0"/>
          <w:sz w:val="24"/>
          <w:sz w:val="24"/>
          <w:szCs w:val="24"/>
          <w:vertAlign w:val="baseline"/>
          <w:lang w:val="en-US"/>
        </w:rPr>
        <w:t>Marta</w:t>
      </w:r>
      <w:r>
        <w:rPr>
          <w:rFonts w:cs="Times New Roman" w:ascii="Times New Roman" w:hAnsi="Times New Roman"/>
          <w:sz w:val="24"/>
          <w:szCs w:val="24"/>
          <w:lang w:val="en-US"/>
        </w:rPr>
        <w:t xml:space="preserve"> Cousido-</w:t>
      </w:r>
      <w:r>
        <w:rPr>
          <w:rFonts w:cs="Times New Roman" w:ascii="Times New Roman" w:hAnsi="Times New Roman"/>
          <w:sz w:val="24"/>
          <w:szCs w:val="24"/>
          <w:lang w:val="en-US"/>
        </w:rPr>
        <w:t>Rocha</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Maria Grazia </w:t>
      </w:r>
      <w:r>
        <w:rPr>
          <w:rFonts w:cs="Times New Roman" w:ascii="Times New Roman" w:hAnsi="Times New Roman"/>
          <w:position w:val="0"/>
          <w:sz w:val="24"/>
          <w:sz w:val="24"/>
          <w:szCs w:val="24"/>
          <w:vertAlign w:val="baseline"/>
          <w:lang w:val="en-US"/>
        </w:rPr>
        <w:t>Pennino</w:t>
      </w:r>
      <w:r>
        <w:rPr>
          <w:rFonts w:cs="Times New Roman" w:ascii="Times New Roman" w:hAnsi="Times New Roman"/>
          <w:sz w:val="24"/>
          <w:szCs w:val="24"/>
          <w:vertAlign w:val="superscript"/>
          <w:lang w:val="en-US"/>
        </w:rPr>
        <w:t>1,2,3</w:t>
      </w:r>
      <w:r>
        <w:rPr>
          <w:rFonts w:cs="Times New Roman" w:ascii="Times New Roman" w:hAnsi="Times New Roman"/>
          <w:position w:val="0"/>
          <w:sz w:val="24"/>
          <w:sz w:val="24"/>
          <w:szCs w:val="24"/>
          <w:vertAlign w:val="baseline"/>
          <w:lang w:val="en-US"/>
        </w:rPr>
        <w:t>,</w:t>
      </w:r>
      <w:r>
        <w:rPr>
          <w:rFonts w:cs="Times New Roman" w:ascii="Times New Roman" w:hAnsi="Times New Roman"/>
          <w:sz w:val="24"/>
          <w:szCs w:val="24"/>
          <w:lang w:val="en-US"/>
        </w:rPr>
        <w:t xml:space="preserve"> Santiago Cerviño</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w:t>
      </w:r>
      <w:r>
        <w:rPr>
          <w:rFonts w:cs="Times New Roman" w:ascii="Times New Roman" w:hAnsi="Times New Roman"/>
          <w:color w:val="C9211E"/>
          <w:sz w:val="24"/>
          <w:szCs w:val="24"/>
          <w:lang w:val="en-US"/>
        </w:rPr>
        <w:t>(in the final version the authors will sort correctly, this is provisional) PLEASE, introduce your name and your afilliation.</w:t>
      </w:r>
    </w:p>
    <w:p>
      <w:pPr>
        <w:pStyle w:val="ListParagraph"/>
        <w:spacing w:lineRule="auto" w:line="480"/>
        <w:jc w:val="both"/>
        <w:rPr>
          <w:rFonts w:ascii="Times New Roman" w:hAnsi="Times New Roman"/>
          <w:b/>
          <w:b/>
          <w:bCs/>
          <w:sz w:val="24"/>
          <w:szCs w:val="24"/>
        </w:rPr>
      </w:pPr>
      <w:r>
        <w:rPr>
          <w:rFonts w:cs="Times New Roman" w:ascii="Times New Roman" w:hAnsi="Times New Roman"/>
          <w:b/>
          <w:bCs/>
          <w:sz w:val="24"/>
          <w:szCs w:val="24"/>
          <w:lang w:val="en-US"/>
        </w:rPr>
        <w:t xml:space="preserve">Affiliation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Instituto Español de Oceanografía. Centro Oceanográfico de Vigo. Subida a Radio Faro, 50-52. 36390 Vigo (Pontevedra)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 xml:space="preserve">Statistical Modeling Ecology Group (SMEG). Departament d’Estadística i Investigació Operativa, Universitat de València, C/Dr. Moliner 50, Burjassot, 46100 Valencia, Spain. </w:t>
      </w:r>
    </w:p>
    <w:p>
      <w:pPr>
        <w:pStyle w:val="ListParagraph"/>
        <w:spacing w:lineRule="auto" w:line="480"/>
        <w:jc w:val="both"/>
        <w:rPr>
          <w:rFonts w:ascii="Times New Roman" w:hAnsi="Times New Roman"/>
          <w:sz w:val="24"/>
          <w:szCs w:val="24"/>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 xml:space="preserve">Fishing Ecology Management and Economics (FEME) - Universidade Federal do Rio Grande do Norte – UFRN. Depto. de Ecologia, Natal (RN), Brazil. </w:t>
      </w:r>
    </w:p>
    <w:p>
      <w:pPr>
        <w:pStyle w:val="ListParagraph"/>
        <w:spacing w:lineRule="auto" w:line="480"/>
        <w:jc w:val="both"/>
        <w:rPr>
          <w:rFonts w:cs="Times New Roman"/>
          <w:lang w:val="en-US"/>
        </w:rPr>
      </w:pPr>
      <w:r>
        <w:rPr>
          <w:rFonts w:ascii="Times New Roman" w:hAnsi="Times New Roman"/>
          <w:sz w:val="24"/>
          <w:szCs w:val="24"/>
        </w:rPr>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Abstract</w:t>
      </w:r>
    </w:p>
    <w:p>
      <w:pPr>
        <w:pStyle w:val="Normal"/>
        <w:spacing w:lineRule="auto" w:line="480"/>
        <w:jc w:val="both"/>
        <w:rPr>
          <w:rFonts w:ascii="Times New Roman" w:hAnsi="Times New Roman"/>
          <w:sz w:val="24"/>
          <w:szCs w:val="24"/>
        </w:rPr>
      </w:pPr>
      <w:r>
        <w:rPr>
          <w:rFonts w:cs="Times New Roman" w:ascii="Times New Roman" w:hAnsi="Times New Roman"/>
          <w:b/>
          <w:color w:val="800000"/>
          <w:sz w:val="24"/>
          <w:szCs w:val="24"/>
          <w:lang w:val="en-US"/>
        </w:rPr>
        <w:t xml:space="preserve">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 xml:space="preserve">Keywords: </w:t>
      </w: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sz w:val="24"/>
          <w:szCs w:val="24"/>
        </w:rPr>
      </w:pPr>
      <w:r>
        <w:rPr>
          <w:rFonts w:cs="Times New Roman" w:ascii="Times New Roman" w:hAnsi="Times New Roman"/>
          <w:b/>
          <w:sz w:val="24"/>
          <w:szCs w:val="24"/>
          <w:lang w:val="en-US"/>
        </w:rPr>
        <w:t>Introduction</w:t>
      </w:r>
    </w:p>
    <w:p>
      <w:pPr>
        <w:pStyle w:val="Normal"/>
        <w:spacing w:lineRule="auto" w:line="480"/>
        <w:jc w:val="both"/>
        <w:rPr>
          <w:color w:val="C9211E"/>
          <w:sz w:val="24"/>
          <w:szCs w:val="24"/>
        </w:rPr>
      </w:pPr>
      <w:r>
        <w:rPr>
          <w:rFonts w:cs="Times New Roman" w:ascii="Times New Roman" w:hAnsi="Times New Roman"/>
          <w:b/>
          <w:color w:val="C9211E"/>
          <w:sz w:val="24"/>
          <w:szCs w:val="24"/>
          <w:lang w:val="en-US"/>
        </w:rPr>
        <w:t>(Coming soon)</w:t>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lang w:val="en-US"/>
        </w:rPr>
      </w:pPr>
      <w:r>
        <w:rPr>
          <w:sz w:val="24"/>
          <w:szCs w:val="24"/>
        </w:rPr>
      </w:r>
    </w:p>
    <w:p>
      <w:pPr>
        <w:pStyle w:val="Normal"/>
        <w:spacing w:lineRule="auto" w:line="480"/>
        <w:jc w:val="both"/>
        <w:rPr>
          <w:rFonts w:ascii="Times New Roman" w:hAnsi="Times New Roman" w:cs="Times New Roman"/>
          <w:b/>
          <w:b/>
          <w:sz w:val="28"/>
          <w:szCs w:val="28"/>
          <w:lang w:val="en-US"/>
        </w:rPr>
      </w:pPr>
      <w:r>
        <w:rPr/>
      </w:r>
    </w:p>
    <w:p>
      <w:pPr>
        <w:pStyle w:val="Normal"/>
        <w:spacing w:lineRule="auto" w:line="480"/>
        <w:jc w:val="both"/>
        <w:rPr>
          <w:sz w:val="24"/>
          <w:szCs w:val="24"/>
        </w:rPr>
      </w:pPr>
      <w:r>
        <w:rPr>
          <w:rFonts w:cs="Times New Roman" w:ascii="Times New Roman" w:hAnsi="Times New Roman"/>
          <w:b/>
          <w:sz w:val="24"/>
          <w:szCs w:val="24"/>
          <w:lang w:val="en-US"/>
        </w:rPr>
        <w:t>Statistical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4"/>
          <w:szCs w:val="24"/>
          <w:lang w:val="en-US"/>
        </w:rPr>
        <w:t>data-poor stocks. Numerous data-limited length-based methodologies have been developed since length-frequency data are often the primary data type collected since it is relatively inexpensive and straightforward to obtain. In th</w:t>
      </w:r>
      <w:r>
        <w:rPr>
          <w:rFonts w:cs="Times New Roman" w:ascii="Times New Roman" w:hAnsi="Times New Roman"/>
          <w:sz w:val="24"/>
          <w:szCs w:val="24"/>
          <w:lang w:val="en-US"/>
        </w:rPr>
        <w:t>e current</w:t>
      </w:r>
      <w:r>
        <w:rPr>
          <w:rFonts w:cs="Times New Roman" w:ascii="Times New Roman" w:hAnsi="Times New Roman"/>
          <w:sz w:val="24"/>
          <w:szCs w:val="24"/>
          <w:lang w:val="en-US"/>
        </w:rPr>
        <w:t xml:space="preserve">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p>
    <w:p>
      <w:pPr>
        <w:pStyle w:val="Normal"/>
        <w:spacing w:lineRule="auto" w:line="480"/>
        <w:jc w:val="both"/>
        <w:rPr>
          <w:sz w:val="24"/>
          <w:szCs w:val="24"/>
        </w:rPr>
      </w:pPr>
      <w:r>
        <w:rPr>
          <w:rFonts w:cs="Times New Roman" w:ascii="Times New Roman" w:hAnsi="Times New Roman"/>
          <w:b/>
          <w:bCs/>
          <w:sz w:val="24"/>
          <w:szCs w:val="24"/>
          <w:lang w:val="en-US"/>
        </w:rPr>
        <w:t>LBI method</w:t>
      </w:r>
    </w:p>
    <w:p>
      <w:pPr>
        <w:pStyle w:val="Normal"/>
        <w:spacing w:lineRule="auto" w:line="480"/>
        <w:jc w:val="both"/>
        <w:rPr>
          <w:sz w:val="24"/>
          <w:szCs w:val="24"/>
        </w:rPr>
      </w:pPr>
      <w:r>
        <w:rPr>
          <w:rFonts w:ascii="Times New Roman" w:hAnsi="Times New Roman"/>
          <w:sz w:val="24"/>
          <w:szCs w:val="24"/>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sz w:val="24"/>
          <w:szCs w:val="24"/>
        </w:rPr>
      </w:pPr>
      <w:r>
        <w:rPr>
          <w:rFonts w:ascii="Times New Roman" w:hAnsi="Times New Roman"/>
          <w:sz w:val="24"/>
          <w:szCs w:val="24"/>
        </w:rPr>
        <w:t>LBI method requires the following data: length at maturity (L</w:t>
      </w:r>
      <w:r>
        <w:rPr>
          <w:rFonts w:ascii="Times New Roman" w:hAnsi="Times New Roman"/>
          <w:sz w:val="24"/>
          <w:szCs w:val="24"/>
          <w:vertAlign w:val="subscript"/>
        </w:rPr>
        <w:t>mat</w:t>
      </w:r>
      <w:r>
        <w:rPr>
          <w:rFonts w:ascii="Times New Roman" w:hAnsi="Times New Roman"/>
          <w:position w:val="0"/>
          <w:sz w:val="24"/>
          <w:sz w:val="24"/>
          <w:szCs w:val="24"/>
          <w:vertAlign w:val="baseline"/>
        </w:rPr>
        <w:t>, also known as L</w:t>
      </w:r>
      <w:r>
        <w:rPr>
          <w:rFonts w:ascii="Times New Roman" w:hAnsi="Times New Roman"/>
          <w:sz w:val="24"/>
          <w:szCs w:val="24"/>
          <w:vertAlign w:val="subscript"/>
        </w:rPr>
        <w:t>50</w:t>
      </w:r>
      <w:r>
        <w:rPr>
          <w:rFonts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lang w:val="en-US"/>
        </w:rPr>
        <w:t xml:space="preserve">length at 50% </w:t>
      </w:r>
      <w:r>
        <w:rPr>
          <w:rFonts w:cs="Times New Roman" w:ascii="Times New Roman" w:hAnsi="Times New Roman"/>
          <w:position w:val="0"/>
          <w:sz w:val="24"/>
          <w:sz w:val="24"/>
          <w:szCs w:val="24"/>
          <w:vertAlign w:val="baseline"/>
          <w:lang w:val="en-US"/>
        </w:rPr>
        <w:t>of maturity</w:t>
      </w:r>
      <w:r>
        <w:rPr>
          <w:rFonts w:ascii="Times New Roman" w:hAnsi="Times New Roman"/>
          <w:sz w:val="24"/>
          <w:szCs w:val="24"/>
        </w:rPr>
        <w:t xml:space="preserve">), von Bertalanffy  </w:t>
      </w:r>
      <w:r>
        <w:rPr>
          <w:rFonts w:ascii="Times New Roman" w:hAnsi="Times New Roman"/>
          <w:sz w:val="24"/>
          <w:szCs w:val="24"/>
        </w:rPr>
        <w:t>a</w:t>
      </w:r>
      <w:r>
        <w:rPr>
          <w:rFonts w:ascii="Times New Roman" w:hAnsi="Times New Roman"/>
          <w:sz w:val="24"/>
          <w:szCs w:val="24"/>
        </w:rPr>
        <w:t>symptotic average maximum body size (L</w:t>
      </w:r>
      <w:r>
        <w:rPr>
          <w:rFonts w:eastAsia="Times New Roman" w:cs="Times New Roman" w:ascii="Times New Roman" w:hAnsi="Times New Roman"/>
          <w:sz w:val="24"/>
          <w:szCs w:val="24"/>
          <w:vertAlign w:val="subscript"/>
        </w:rPr>
        <w:t>∞</w:t>
      </w:r>
      <w:r>
        <w:rPr>
          <w:rFonts w:ascii="Times New Roman" w:hAnsi="Times New Roman"/>
          <w:sz w:val="24"/>
          <w:szCs w:val="24"/>
        </w:rPr>
        <w:t xml:space="preserve">), ratio of natural mortality to von Bertalanffy growth rate (M/k), catch/landings at length per year, </w:t>
      </w:r>
      <w:r>
        <w:rPr>
          <w:rFonts w:ascii="Times New Roman" w:hAnsi="Times New Roman"/>
          <w:sz w:val="24"/>
          <w:szCs w:val="24"/>
        </w:rPr>
        <w:t>and</w:t>
      </w:r>
      <w:r>
        <w:rPr>
          <w:rFonts w:ascii="Times New Roman" w:hAnsi="Times New Roman"/>
          <w:sz w:val="24"/>
          <w:szCs w:val="24"/>
        </w:rPr>
        <w:t xml:space="preserve"> length–weight relationship parameters (a and b parameter</w:t>
      </w:r>
      <w:r>
        <w:rPr>
          <w:rFonts w:ascii="Times New Roman" w:hAnsi="Times New Roman"/>
          <w:sz w:val="24"/>
          <w:szCs w:val="24"/>
        </w:rPr>
        <w:t>s</w:t>
      </w:r>
      <w:r>
        <w:rPr>
          <w:rFonts w:ascii="Times New Roman" w:hAnsi="Times New Roman"/>
          <w:sz w:val="24"/>
          <w:szCs w:val="24"/>
        </w:rPr>
        <w:t xml:space="preserve"> in W=aL</w:t>
      </w:r>
      <w:r>
        <w:rPr>
          <w:rFonts w:ascii="Times New Roman" w:hAnsi="Times New Roman"/>
          <w:sz w:val="24"/>
          <w:szCs w:val="24"/>
          <w:vertAlign w:val="superscript"/>
        </w:rPr>
        <w:t>b</w:t>
      </w:r>
      <w:r>
        <w:rPr>
          <w:rFonts w:ascii="Times New Roman" w:hAnsi="Times New Roman"/>
          <w:position w:val="0"/>
          <w:sz w:val="24"/>
          <w:sz w:val="24"/>
          <w:szCs w:val="24"/>
          <w:vertAlign w:val="baseline"/>
        </w:rPr>
        <w:t xml:space="preserve"> being W and L the corresponding weight and length, respectively</w:t>
      </w:r>
      <w:r>
        <w:rPr>
          <w:rFonts w:ascii="Times New Roman" w:hAnsi="Times New Roman"/>
          <w:sz w:val="24"/>
          <w:szCs w:val="24"/>
        </w:rPr>
        <w:t xml:space="preserve">). Instead of </w:t>
      </w:r>
      <w:r>
        <w:rPr>
          <w:rFonts w:ascii="Times New Roman" w:hAnsi="Times New Roman"/>
          <w:sz w:val="24"/>
          <w:szCs w:val="24"/>
        </w:rPr>
        <w:t>a and b parameters</w:t>
      </w:r>
      <w:r>
        <w:rPr>
          <w:rFonts w:ascii="Times New Roman" w:hAnsi="Times New Roman"/>
          <w:sz w:val="24"/>
          <w:szCs w:val="24"/>
        </w:rPr>
        <w:t xml:space="preserve"> we can use the mean weights-at-length per year as an input </w:t>
      </w:r>
      <w:r>
        <w:rPr>
          <w:rFonts w:ascii="Times New Roman" w:hAnsi="Times New Roman"/>
          <w:sz w:val="24"/>
          <w:szCs w:val="24"/>
        </w:rPr>
        <w:t>object</w:t>
      </w:r>
      <w:r>
        <w:rPr>
          <w:rFonts w:ascii="Times New Roman" w:hAnsi="Times New Roman"/>
          <w:sz w:val="24"/>
          <w:szCs w:val="24"/>
        </w:rPr>
        <w:t xml:space="preserve"> in the model.</w:t>
      </w:r>
    </w:p>
    <w:p>
      <w:pPr>
        <w:pStyle w:val="Normal"/>
        <w:spacing w:lineRule="auto" w:line="480"/>
        <w:jc w:val="both"/>
        <w:rPr>
          <w:sz w:val="24"/>
          <w:szCs w:val="24"/>
        </w:rPr>
      </w:pPr>
      <w:r>
        <w:rPr>
          <w:rFonts w:ascii="Times New Roman" w:hAnsi="Times New Roman"/>
          <w:sz w:val="24"/>
          <w:szCs w:val="24"/>
        </w:rPr>
        <w:t xml:space="preserve">Table 1 present the </w:t>
      </w:r>
      <w:r>
        <w:rPr>
          <w:rFonts w:ascii="Times New Roman" w:hAnsi="Times New Roman"/>
          <w:sz w:val="24"/>
          <w:szCs w:val="24"/>
        </w:rPr>
        <w:t>length based</w:t>
      </w:r>
      <w:r>
        <w:rPr>
          <w:rFonts w:ascii="Times New Roman" w:hAnsi="Times New Roman"/>
          <w:sz w:val="24"/>
          <w:szCs w:val="24"/>
        </w:rPr>
        <w:t xml:space="preserve"> indicators, </w:t>
      </w:r>
      <w:r>
        <w:rPr>
          <w:rFonts w:ascii="Times New Roman" w:hAnsi="Times New Roman"/>
          <w:sz w:val="24"/>
          <w:szCs w:val="24"/>
        </w:rPr>
        <w:t>their</w:t>
      </w:r>
      <w:r>
        <w:rPr>
          <w:rFonts w:ascii="Times New Roman" w:hAnsi="Times New Roman"/>
          <w:sz w:val="24"/>
          <w:szCs w:val="24"/>
        </w:rPr>
        <w:t xml:space="preserve"> references, </w:t>
      </w:r>
      <w:r>
        <w:rPr>
          <w:rFonts w:ascii="Times New Roman" w:hAnsi="Times New Roman"/>
          <w:sz w:val="24"/>
          <w:szCs w:val="24"/>
        </w:rPr>
        <w:t>the corresponding</w:t>
      </w:r>
      <w:r>
        <w:rPr>
          <w:rFonts w:ascii="Times New Roman" w:hAnsi="Times New Roman"/>
          <w:sz w:val="24"/>
          <w:szCs w:val="24"/>
        </w:rPr>
        <w:t xml:space="preserve"> indicator ratios and their expected values. </w:t>
      </w:r>
    </w:p>
    <w:p>
      <w:pPr>
        <w:pStyle w:val="Normal"/>
        <w:spacing w:lineRule="auto" w:line="480"/>
        <w:jc w:val="both"/>
        <w:rPr>
          <w:sz w:val="24"/>
          <w:szCs w:val="24"/>
        </w:rPr>
      </w:pPr>
      <w:r>
        <w:rPr>
          <w:rFonts w:ascii="Times New Roman" w:hAnsi="Times New Roman"/>
          <w:sz w:val="24"/>
          <w:szCs w:val="24"/>
        </w:rPr>
        <w:t>T</w:t>
      </w:r>
      <w:r>
        <w:rPr>
          <w:rFonts w:ascii="Times New Roman" w:hAnsi="Times New Roman"/>
          <w:sz w:val="24"/>
          <w:szCs w:val="24"/>
        </w:rPr>
        <w:t xml:space="preserve">he </w:t>
      </w:r>
      <w:r>
        <w:rPr>
          <w:rFonts w:ascii="Times New Roman" w:hAnsi="Times New Roman"/>
          <w:sz w:val="24"/>
          <w:szCs w:val="24"/>
        </w:rPr>
        <w:t>length based</w:t>
      </w:r>
      <w:r>
        <w:rPr>
          <w:rFonts w:ascii="Times New Roman" w:hAnsi="Times New Roman"/>
          <w:sz w:val="24"/>
          <w:szCs w:val="24"/>
        </w:rPr>
        <w:t xml:space="preserve"> indicators L</w:t>
      </w:r>
      <w:r>
        <w:rPr>
          <w:rFonts w:ascii="Times New Roman" w:hAnsi="Times New Roman"/>
          <w:sz w:val="24"/>
          <w:szCs w:val="24"/>
          <w:vertAlign w:val="subscript"/>
        </w:rPr>
        <w:t>95%</w:t>
      </w:r>
      <w:r>
        <w:rPr>
          <w:rFonts w:ascii="Times New Roman" w:hAnsi="Times New Roman"/>
          <w:sz w:val="24"/>
          <w:szCs w:val="24"/>
        </w:rPr>
        <w:t xml:space="preserve">  and L</w:t>
      </w:r>
      <w:r>
        <w:rPr>
          <w:rFonts w:ascii="Times New Roman" w:hAnsi="Times New Roman"/>
          <w:sz w:val="24"/>
          <w:szCs w:val="24"/>
          <w:vertAlign w:val="subscript"/>
        </w:rPr>
        <w:t>max5%</w:t>
      </w:r>
      <w:r>
        <w:rPr>
          <w:rFonts w:ascii="Times New Roman" w:hAnsi="Times New Roman"/>
          <w:sz w:val="24"/>
          <w:szCs w:val="24"/>
        </w:rPr>
        <w:t xml:space="preserve">  </w:t>
      </w:r>
      <w:r>
        <w:rPr>
          <w:rFonts w:ascii="Times New Roman" w:hAnsi="Times New Roman"/>
          <w:sz w:val="24"/>
          <w:szCs w:val="24"/>
        </w:rPr>
        <w:t>(Table 1)</w:t>
      </w:r>
      <w:r>
        <w:rPr>
          <w:rFonts w:ascii="Times New Roman" w:hAnsi="Times New Roman"/>
          <w:sz w:val="24"/>
          <w:szCs w:val="24"/>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4"/>
          <w:szCs w:val="24"/>
          <w:vertAlign w:val="subscript"/>
        </w:rPr>
        <w:t>∞</w:t>
      </w:r>
      <w:r>
        <w:rPr>
          <w:rFonts w:ascii="Times New Roman" w:hAnsi="Times New Roman"/>
          <w:sz w:val="24"/>
          <w:szCs w:val="24"/>
        </w:rPr>
        <w:t>. The corresponding ratio</w:t>
      </w:r>
      <w:r>
        <w:rPr>
          <w:rFonts w:ascii="Times New Roman" w:hAnsi="Times New Roman"/>
          <w:sz w:val="24"/>
          <w:szCs w:val="24"/>
        </w:rPr>
        <w:t>s</w:t>
      </w:r>
      <w:r>
        <w:rPr>
          <w:rFonts w:ascii="Times New Roman" w:hAnsi="Times New Roman"/>
          <w:sz w:val="24"/>
          <w:szCs w:val="24"/>
        </w:rPr>
        <w:t xml:space="preserve"> provide information about the degree of truncation of the population length structure that may be caused by fishing, and </w:t>
      </w:r>
      <w:r>
        <w:rPr>
          <w:rFonts w:ascii="Times New Roman" w:hAnsi="Times New Roman"/>
          <w:sz w:val="24"/>
          <w:szCs w:val="24"/>
        </w:rPr>
        <w:t>are</w:t>
      </w:r>
      <w:r>
        <w:rPr>
          <w:rFonts w:ascii="Times New Roman" w:hAnsi="Times New Roman"/>
          <w:sz w:val="24"/>
          <w:szCs w:val="24"/>
        </w:rPr>
        <w:t xml:space="preserve"> expected to be above 0.8, based on a simulation study carried out by Miethe and Dobby (2015).</w:t>
      </w:r>
    </w:p>
    <w:p>
      <w:pPr>
        <w:pStyle w:val="Normal"/>
        <w:spacing w:lineRule="auto" w:line="480"/>
        <w:jc w:val="both"/>
        <w:rPr>
          <w:sz w:val="24"/>
          <w:szCs w:val="24"/>
        </w:rPr>
      </w:pPr>
      <w:r>
        <w:rPr>
          <w:rFonts w:ascii="Times New Roman" w:hAnsi="Times New Roman"/>
          <w:sz w:val="24"/>
          <w:szCs w:val="24"/>
        </w:rPr>
        <w:t>The indicator P</w:t>
      </w:r>
      <w:r>
        <w:rPr>
          <w:rFonts w:ascii="Times New Roman" w:hAnsi="Times New Roman"/>
          <w:sz w:val="24"/>
          <w:szCs w:val="24"/>
          <w:vertAlign w:val="subscript"/>
        </w:rPr>
        <w:t>mega</w:t>
      </w:r>
      <w:r>
        <w:rPr>
          <w:rFonts w:ascii="Times New Roman" w:hAnsi="Times New Roman"/>
          <w:sz w:val="24"/>
          <w:szCs w:val="24"/>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sz w:val="24"/>
          <w:szCs w:val="24"/>
        </w:rPr>
      </w:pPr>
      <w:r>
        <w:rPr>
          <w:rFonts w:ascii="Times New Roman" w:hAnsi="Times New Roman"/>
          <w:sz w:val="24"/>
          <w:szCs w:val="24"/>
        </w:rPr>
        <w:t xml:space="preserve">On the other hand, </w:t>
      </w:r>
      <w:r>
        <w:rPr>
          <w:rFonts w:ascii="Times New Roman" w:hAnsi="Times New Roman"/>
          <w:sz w:val="24"/>
          <w:szCs w:val="24"/>
        </w:rPr>
        <w:t xml:space="preserve">length </w:t>
      </w:r>
      <w:r>
        <w:rPr>
          <w:rFonts w:ascii="Times New Roman" w:hAnsi="Times New Roman"/>
          <w:sz w:val="24"/>
          <w:szCs w:val="24"/>
        </w:rPr>
        <w:t>indicators L</w:t>
      </w:r>
      <w:r>
        <w:rPr>
          <w:rFonts w:ascii="Times New Roman" w:hAnsi="Times New Roman"/>
          <w:sz w:val="24"/>
          <w:szCs w:val="24"/>
          <w:vertAlign w:val="subscript"/>
        </w:rPr>
        <w:t>25%</w:t>
      </w:r>
      <w:r>
        <w:rPr>
          <w:rFonts w:ascii="Times New Roman" w:hAnsi="Times New Roman"/>
          <w:sz w:val="24"/>
          <w:szCs w:val="24"/>
        </w:rPr>
        <w:t xml:space="preserve"> and L</w:t>
      </w:r>
      <w:r>
        <w:rPr>
          <w:rFonts w:ascii="Times New Roman" w:hAnsi="Times New Roman"/>
          <w:sz w:val="24"/>
          <w:szCs w:val="24"/>
          <w:vertAlign w:val="subscript"/>
        </w:rPr>
        <w:t>c</w:t>
      </w:r>
      <w:r>
        <w:rPr>
          <w:rFonts w:ascii="Times New Roman" w:hAnsi="Times New Roman"/>
          <w:sz w:val="24"/>
          <w:szCs w:val="24"/>
        </w:rPr>
        <w:t xml:space="preserve"> relate to the conservation of immatures, and follow the principle “Let them spawn” (Froese, 2004). Hence, the ratio of both indicators to the reference point  L</w:t>
      </w:r>
      <w:r>
        <w:rPr>
          <w:rFonts w:ascii="Times New Roman" w:hAnsi="Times New Roman"/>
          <w:sz w:val="24"/>
          <w:szCs w:val="24"/>
          <w:vertAlign w:val="subscript"/>
        </w:rPr>
        <w:t>mat</w:t>
      </w:r>
      <w:r>
        <w:rPr>
          <w:rFonts w:ascii="Times New Roman" w:hAnsi="Times New Roman"/>
          <w:sz w:val="24"/>
          <w:szCs w:val="24"/>
        </w:rPr>
        <w:t xml:space="preserve"> is expected to be greater than 1 (Table 1).</w:t>
      </w:r>
    </w:p>
    <w:p>
      <w:pPr>
        <w:pStyle w:val="Normal"/>
        <w:spacing w:lineRule="auto" w:line="480"/>
        <w:jc w:val="both"/>
        <w:rPr/>
      </w:pPr>
      <w:r>
        <w:rPr>
          <w:rFonts w:ascii="Times New Roman" w:hAnsi="Times New Roman"/>
          <w:sz w:val="24"/>
          <w:szCs w:val="24"/>
        </w:rPr>
        <w:t>Finally, in Table 1, we describe two indicator ratios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position w:val="0"/>
          <w:sz w:val="24"/>
          <w:sz w:val="24"/>
          <w:szCs w:val="24"/>
          <w:vertAlign w:val="baseline"/>
        </w:rPr>
        <w:t xml:space="preserve"> and 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r>
        <w:rPr>
          <w:rFonts w:ascii="Times New Roman" w:hAnsi="Times New Roman"/>
          <w:sz w:val="24"/>
          <w:szCs w:val="24"/>
        </w:rPr>
        <w:t xml:space="preserve"> relate to the optimal yield which follow the principle “Let them grow” (Froese, 2004) and a ratio indicator (L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r>
        <w:rPr>
          <w:rFonts w:ascii="Times New Roman" w:hAnsi="Times New Roman"/>
          <w:sz w:val="24"/>
          <w:szCs w:val="24"/>
        </w:rPr>
        <w:t xml:space="preserve"> focus on MSY</w:t>
      </w:r>
      <w:r>
        <w:rPr>
          <w:rFonts w:ascii="Times New Roman" w:hAnsi="Times New Roman"/>
          <w:sz w:val="28"/>
          <w:szCs w:val="28"/>
        </w:rPr>
        <w:t xml:space="preserve"> </w:t>
      </w:r>
      <w:r>
        <w:rPr>
          <w:rFonts w:ascii="Times New Roman" w:hAnsi="Times New Roman"/>
          <w:sz w:val="24"/>
          <w:szCs w:val="24"/>
        </w:rPr>
        <w:t>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spacing w:before="0" w:after="200"/>
              <w:rPr/>
            </w:pPr>
            <w:r>
              <w:rPr>
                <w:rFonts w:ascii="Times New Roman" w:hAnsi="Times New Roman"/>
                <w:sz w:val="24"/>
                <w:szCs w:val="24"/>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bookmarkStart w:id="0" w:name="__DdeLink__703_494104677"/>
            <w:bookmarkEnd w:id="0"/>
            <w:r>
              <w:rPr>
                <w:rFonts w:ascii="Times New Roman" w:hAnsi="Times New Roman"/>
                <w:sz w:val="24"/>
                <w:szCs w:val="24"/>
              </w:rPr>
              <w:t>L</w:t>
            </w:r>
            <w:r>
              <w:rPr>
                <w:rFonts w:ascii="Times New Roman" w:hAnsi="Times New Roman"/>
                <w:sz w:val="24"/>
                <w:szCs w:val="24"/>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Times New Roman" w:cs="Times New Roman" w:ascii="Times New Roman" w:hAnsi="Times New Roman"/>
                <w:sz w:val="24"/>
                <w:szCs w:val="24"/>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r>
              <w:rPr>
                <w:rFonts w:ascii="Times New Roman" w:hAnsi="Times New Roman"/>
                <w:position w:val="0"/>
                <w:sz w:val="24"/>
                <w:sz w:val="24"/>
                <w:szCs w:val="24"/>
                <w:vertAlign w:val="baseline"/>
              </w:rPr>
              <w:t>/L</w:t>
            </w:r>
            <w:r>
              <w:rPr>
                <w:rFonts w:eastAsia="Times New Roman" w:cs="Times New Roman" w:ascii="Times New Roman" w:hAnsi="Times New Roman"/>
                <w:sz w:val="24"/>
                <w:szCs w:val="24"/>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Proportion of individuals above L</w:t>
            </w:r>
            <w:r>
              <w:rPr>
                <w:rFonts w:ascii="Times New Roman" w:hAnsi="Times New Roman"/>
                <w:sz w:val="24"/>
                <w:szCs w:val="24"/>
                <w:vertAlign w:val="subscript"/>
              </w:rPr>
              <w:t>opt</w:t>
            </w:r>
            <w:r>
              <w:rPr>
                <w:rFonts w:ascii="Times New Roman" w:hAnsi="Times New Roman"/>
                <w:sz w:val="24"/>
                <w:szCs w:val="24"/>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P</w:t>
            </w:r>
            <w:r>
              <w:rPr>
                <w:rFonts w:ascii="Times New Roman" w:hAnsi="Times New Roman"/>
                <w:sz w:val="24"/>
                <w:szCs w:val="24"/>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25%</w:t>
            </w:r>
            <w:r>
              <w:rPr>
                <w:rFonts w:ascii="Times New Roman" w:hAnsi="Times New Roman"/>
                <w:position w:val="0"/>
                <w:sz w:val="24"/>
                <w:sz w:val="24"/>
                <w:szCs w:val="24"/>
                <w:vertAlign w:val="baseline"/>
              </w:rPr>
              <w:t>/</w:t>
            </w:r>
            <w:r>
              <w:rPr>
                <w:rFonts w:ascii="Times New Roman" w:hAnsi="Times New Roman"/>
                <w:sz w:val="24"/>
                <w:szCs w:val="24"/>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position w:val="0"/>
                <w:sz w:val="24"/>
                <w:sz w:val="24"/>
                <w:szCs w:val="24"/>
                <w:vertAlign w:val="baseline"/>
              </w:rPr>
              <w:t>L</w:t>
            </w:r>
            <w:r>
              <w:rPr>
                <w:rFonts w:ascii="Times New Roman" w:hAnsi="Times New Roman"/>
                <w:sz w:val="24"/>
                <w:szCs w:val="24"/>
                <w:vertAlign w:val="subscript"/>
              </w:rPr>
              <w:t>c</w:t>
            </w:r>
            <w:r>
              <w:rPr>
                <w:rFonts w:ascii="Times New Roman" w:hAnsi="Times New Roman"/>
                <w:position w:val="0"/>
                <w:sz w:val="24"/>
                <w:sz w:val="24"/>
                <w:szCs w:val="24"/>
                <w:vertAlign w:val="baseline"/>
              </w:rPr>
              <w:t>/L</w:t>
            </w:r>
            <w:r>
              <w:rPr>
                <w:rFonts w:ascii="Times New Roman" w:hAnsi="Times New Roman"/>
                <w:sz w:val="24"/>
                <w:szCs w:val="24"/>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opt</w:t>
            </w:r>
            <w:r>
              <w:rPr>
                <w:rFonts w:ascii="Times New Roman" w:hAnsi="Times New Roman"/>
                <w:sz w:val="24"/>
                <w:szCs w:val="24"/>
              </w:rPr>
              <w:t>=3L</w:t>
            </w:r>
            <w:r>
              <w:rPr>
                <w:rFonts w:eastAsia="Times New Roman" w:cs="Times New Roman" w:ascii="Times New Roman" w:hAnsi="Times New Roman"/>
                <w:sz w:val="24"/>
                <w:szCs w:val="24"/>
                <w:vertAlign w:val="subscript"/>
              </w:rPr>
              <w:t>∞</w:t>
            </w:r>
            <w:r>
              <w:rPr>
                <w:rFonts w:ascii="Times New Roman" w:hAnsi="Times New Roman"/>
                <w:sz w:val="24"/>
                <w:szCs w:val="24"/>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maxy</w:t>
            </w:r>
            <w:r>
              <w:rPr>
                <w:rFonts w:ascii="Times New Roman" w:hAnsi="Times New Roman"/>
                <w:position w:val="0"/>
                <w:sz w:val="24"/>
                <w:sz w:val="24"/>
                <w:szCs w:val="24"/>
                <w:vertAlign w:val="baseline"/>
              </w:rPr>
              <w:t>/L</w:t>
            </w:r>
            <w:r>
              <w:rPr>
                <w:rFonts w:ascii="Times New Roman" w:hAnsi="Times New Roman"/>
                <w:sz w:val="24"/>
                <w:szCs w:val="24"/>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Times New Roman" w:cs="Times New Roman" w:ascii="Times New Roman" w:hAnsi="Times New Roman"/>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Mean length of individuals &gt; L</w:t>
            </w:r>
            <w:r>
              <w:rPr>
                <w:rFonts w:ascii="Times New Roman" w:hAnsi="Times New Roman"/>
                <w:sz w:val="24"/>
                <w:szCs w:val="24"/>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F=M</w:t>
            </w:r>
            <w:r>
              <w:rPr>
                <w:rFonts w:ascii="Times New Roman" w:hAnsi="Times New Roman"/>
                <w:position w:val="0"/>
                <w:sz w:val="24"/>
                <w:sz w:val="24"/>
                <w:szCs w:val="24"/>
                <w:vertAlign w:val="baseline"/>
              </w:rPr>
              <w:t>= (1-a)L</w:t>
            </w:r>
            <w:r>
              <w:rPr>
                <w:rFonts w:ascii="Times New Roman" w:hAnsi="Times New Roman"/>
                <w:sz w:val="24"/>
                <w:szCs w:val="24"/>
                <w:vertAlign w:val="subscript"/>
              </w:rPr>
              <w:t>c</w:t>
            </w:r>
            <w:r>
              <w:rPr>
                <w:rFonts w:ascii="Times New Roman" w:hAnsi="Times New Roman"/>
                <w:position w:val="0"/>
                <w:sz w:val="24"/>
                <w:sz w:val="24"/>
                <w:szCs w:val="24"/>
                <w:vertAlign w:val="baseline"/>
              </w:rPr>
              <w:t>+aL</w:t>
            </w:r>
            <w:r>
              <w:rPr>
                <w:rFonts w:eastAsia="Times New Roman" w:cs="Times New Roman" w:ascii="Times New Roman" w:hAnsi="Times New Roman"/>
                <w:sz w:val="24"/>
                <w:szCs w:val="24"/>
                <w:vertAlign w:val="subscript"/>
              </w:rPr>
              <w:t>∞</w:t>
            </w:r>
          </w:p>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a=1/(</w:t>
            </w:r>
            <w:r>
              <w:rPr>
                <w:rFonts w:eastAsia="Calibri" w:cs="" w:ascii="Times New Roman" w:hAnsi="Times New Roman"/>
                <w:position w:val="0"/>
                <w:sz w:val="24"/>
                <w:sz w:val="24"/>
                <w:szCs w:val="24"/>
                <w:vertAlign w:val="baseline"/>
              </w:rPr>
              <w:t>2</w:t>
            </w:r>
            <w:r>
              <w:rPr>
                <w:rFonts w:eastAsia="Calibri" w:cs="" w:ascii="Times New Roman" w:hAnsi="Times New Roman"/>
                <w:position w:val="0"/>
                <w:sz w:val="24"/>
                <w:sz w:val="24"/>
                <w:szCs w:val="24"/>
                <w:vertAlign w:val="baseline"/>
              </w:rPr>
              <w:t>(M/k)+1)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mean</w:t>
            </w:r>
            <w:r>
              <w:rPr>
                <w:rFonts w:ascii="Times New Roman" w:hAnsi="Times New Roman"/>
                <w:position w:val="0"/>
                <w:sz w:val="24"/>
                <w:sz w:val="24"/>
                <w:szCs w:val="24"/>
                <w:vertAlign w:val="baseline"/>
              </w:rPr>
              <w:t>/L</w:t>
            </w:r>
            <w:r>
              <w:rPr>
                <w:rFonts w:ascii="Times New Roman" w:hAnsi="Times New Roman"/>
                <w:sz w:val="24"/>
                <w:szCs w:val="24"/>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Liberation Serif" w:cs="Liberation Serif" w:ascii="Liberation Serif" w:hAnsi="Liberation Serif"/>
                <w:sz w:val="24"/>
                <w:szCs w:val="24"/>
              </w:rPr>
              <w:t>≥</w:t>
            </w:r>
            <w:r>
              <w:rPr>
                <w:rFonts w:eastAsia="Calibri" w:cs="" w:ascii="Times New Roman" w:hAnsi="Times New Roman"/>
                <w:sz w:val="24"/>
                <w:szCs w:val="24"/>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MSY</w:t>
            </w:r>
          </w:p>
        </w:tc>
      </w:tr>
    </w:tbl>
    <w:p>
      <w:pPr>
        <w:pStyle w:val="Normal"/>
        <w:spacing w:lineRule="auto" w:line="480"/>
        <w:jc w:val="both"/>
        <w:rPr/>
      </w:pPr>
      <w:r>
        <w:rPr>
          <w:rFonts w:eastAsia="Calibri" w:cs="" w:ascii="Times New Roman" w:hAnsi="Times New Roman"/>
          <w:sz w:val="24"/>
          <w:szCs w:val="24"/>
        </w:rPr>
        <w:t xml:space="preserve">Table 1: </w:t>
      </w:r>
      <w:r>
        <w:rPr>
          <w:rFonts w:eastAsia="Calibri" w:cs="" w:ascii="Times New Roman" w:hAnsi="Times New Roman"/>
          <w:sz w:val="24"/>
          <w:szCs w:val="24"/>
        </w:rPr>
        <w:t>Set of l</w:t>
      </w:r>
      <w:r>
        <w:rPr>
          <w:rFonts w:eastAsia="Calibri" w:cs="" w:ascii="Times New Roman" w:hAnsi="Times New Roman"/>
          <w:sz w:val="24"/>
          <w:szCs w:val="24"/>
        </w:rPr>
        <w:t xml:space="preserve">ength based indicators, </w:t>
      </w:r>
      <w:r>
        <w:rPr>
          <w:rFonts w:eastAsia="Calibri" w:cs="" w:ascii="Times New Roman" w:hAnsi="Times New Roman"/>
          <w:sz w:val="24"/>
          <w:szCs w:val="24"/>
        </w:rPr>
        <w:t>their</w:t>
      </w:r>
      <w:r>
        <w:rPr>
          <w:rFonts w:eastAsia="Calibri" w:cs="" w:ascii="Times New Roman" w:hAnsi="Times New Roman"/>
          <w:sz w:val="24"/>
          <w:szCs w:val="24"/>
        </w:rPr>
        <w:t xml:space="preserve"> reference</w:t>
      </w:r>
      <w:r>
        <w:rPr>
          <w:rFonts w:eastAsia="Calibri" w:cs="" w:ascii="Times New Roman" w:hAnsi="Times New Roman"/>
          <w:sz w:val="24"/>
          <w:szCs w:val="24"/>
        </w:rPr>
        <w:t>s</w:t>
      </w:r>
      <w:r>
        <w:rPr>
          <w:rFonts w:eastAsia="Calibri" w:cs="" w:ascii="Times New Roman" w:hAnsi="Times New Roman"/>
          <w:sz w:val="24"/>
          <w:szCs w:val="24"/>
        </w:rPr>
        <w:t xml:space="preserve">, </w:t>
      </w:r>
      <w:r>
        <w:rPr>
          <w:rFonts w:eastAsia="Calibri" w:cs="" w:ascii="Times New Roman" w:hAnsi="Times New Roman"/>
          <w:sz w:val="24"/>
          <w:szCs w:val="24"/>
        </w:rPr>
        <w:t xml:space="preserve">the corresponding </w:t>
      </w:r>
      <w:r>
        <w:rPr>
          <w:rFonts w:eastAsia="Calibri" w:cs="" w:ascii="Times New Roman" w:hAnsi="Times New Roman"/>
          <w:sz w:val="24"/>
          <w:szCs w:val="24"/>
        </w:rPr>
        <w:t xml:space="preserve">indicator ratios and </w:t>
      </w:r>
      <w:r>
        <w:rPr>
          <w:rFonts w:eastAsia="Calibri" w:cs="" w:ascii="Times New Roman" w:hAnsi="Times New Roman"/>
          <w:sz w:val="24"/>
          <w:szCs w:val="24"/>
        </w:rPr>
        <w:t xml:space="preserve">their </w:t>
      </w:r>
      <w:r>
        <w:rPr>
          <w:rFonts w:eastAsia="Calibri" w:cs="" w:ascii="Times New Roman" w:hAnsi="Times New Roman"/>
          <w:sz w:val="24"/>
          <w:szCs w:val="24"/>
        </w:rPr>
        <w:t>expected values grouped in terms of conservation/sustainability, optimal yield and MSY considerations.</w:t>
      </w:r>
    </w:p>
    <w:p>
      <w:pPr>
        <w:pStyle w:val="Normal"/>
        <w:spacing w:lineRule="auto" w:line="480"/>
        <w:jc w:val="both"/>
        <w:rPr/>
      </w:pPr>
      <w:r>
        <w:rPr>
          <w:rFonts w:ascii="Times New Roman" w:hAnsi="Times New Roman"/>
          <w:sz w:val="24"/>
          <w:szCs w:val="24"/>
        </w:rPr>
        <w:t xml:space="preserve"> </w:t>
      </w:r>
      <w:r>
        <w:rPr>
          <w:rFonts w:cs="Times New Roman" w:ascii="Times New Roman" w:hAnsi="Times New Roman"/>
          <w:b/>
          <w:bCs/>
          <w:sz w:val="24"/>
          <w:szCs w:val="24"/>
          <w:lang w:val="en-US"/>
        </w:rPr>
        <w:t>LBSPR method</w:t>
      </w:r>
    </w:p>
    <w:p>
      <w:pPr>
        <w:pStyle w:val="Normal"/>
        <w:spacing w:lineRule="auto" w:line="480"/>
        <w:jc w:val="both"/>
        <w:rPr>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sz w:val="24"/>
          <w:szCs w:val="24"/>
        </w:rPr>
      </w:pPr>
      <w:r>
        <w:rPr>
          <w:rFonts w:cs="Times New Roman" w:ascii="Times New Roman" w:hAnsi="Times New Roman"/>
          <w:sz w:val="24"/>
          <w:szCs w:val="24"/>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4"/>
          <w:szCs w:val="24"/>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w:t>
      </w:r>
      <w:r>
        <w:rPr>
          <w:rFonts w:cs="Times New Roman" w:ascii="Times New Roman" w:hAnsi="Times New Roman"/>
          <w:sz w:val="28"/>
          <w:szCs w:val="28"/>
          <w:lang w:val="en-US"/>
        </w:rPr>
        <w:t xml:space="preserve"> </w:t>
      </w:r>
      <w:r>
        <w:rPr>
          <w:rFonts w:cs="Times New Roman" w:ascii="Times New Roman" w:hAnsi="Times New Roman"/>
          <w:sz w:val="24"/>
          <w:szCs w:val="24"/>
          <w:lang w:val="en-US"/>
        </w:rPr>
        <w:t>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sz w:val="24"/>
          <w:szCs w:val="24"/>
        </w:rPr>
      </w:pPr>
      <w:r>
        <w:rPr>
          <w:rFonts w:cs="Times New Roman" w:ascii="Times New Roman" w:hAnsi="Times New Roman"/>
          <w:sz w:val="24"/>
          <w:szCs w:val="24"/>
          <w:lang w:val="en-US"/>
        </w:rPr>
        <w:t xml:space="preserve">The LBSPR model requires the following parameters: the ratio M/k </w:t>
      </w:r>
      <w:r>
        <w:rPr>
          <w:rFonts w:cs="Times New Roman" w:ascii="Times New Roman" w:hAnsi="Times New Roman"/>
          <w:sz w:val="24"/>
          <w:szCs w:val="24"/>
          <w:lang w:val="en-US"/>
        </w:rPr>
        <w:t>and</w:t>
      </w:r>
      <w:r>
        <w:rPr>
          <w:rFonts w:cs="Times New Roman" w:ascii="Times New Roman" w:hAnsi="Times New Roman"/>
          <w:sz w:val="24"/>
          <w:szCs w:val="24"/>
          <w:lang w:val="en-US"/>
        </w:rPr>
        <w:t xml:space="preserve"> L</w:t>
      </w:r>
      <w:r>
        <w:rPr>
          <w:rFonts w:eastAsia="Times New Roman" w:cs="Times New Roman" w:ascii="Times New Roman" w:hAnsi="Times New Roman"/>
          <w:sz w:val="24"/>
          <w:szCs w:val="24"/>
          <w:vertAlign w:val="subscript"/>
          <w:lang w:val="en-US"/>
        </w:rPr>
        <w:t>∞</w:t>
      </w:r>
      <w:r>
        <w:rPr>
          <w:rFonts w:eastAsia="Times New Roman" w:cs="Times New Roman" w:ascii="Times New Roman" w:hAnsi="Times New Roman"/>
          <w:position w:val="0"/>
          <w:sz w:val="24"/>
          <w:sz w:val="24"/>
          <w:szCs w:val="24"/>
          <w:vertAlign w:val="baseline"/>
          <w:lang w:val="en-US"/>
        </w:rPr>
        <w:t xml:space="preserve"> </w:t>
      </w:r>
      <w:r>
        <w:rPr>
          <w:rFonts w:eastAsia="Times New Roman" w:cs="Times New Roman" w:ascii="Times New Roman" w:hAnsi="Times New Roman"/>
          <w:position w:val="0"/>
          <w:sz w:val="24"/>
          <w:sz w:val="24"/>
          <w:szCs w:val="24"/>
          <w:vertAlign w:val="baseline"/>
          <w:lang w:val="en-US"/>
        </w:rPr>
        <w:t>(parameters described previously in the LBI method)</w:t>
      </w:r>
      <w:r>
        <w:rPr>
          <w:rFonts w:cs="Times New Roman" w:ascii="Times New Roman" w:hAnsi="Times New Roman"/>
          <w:position w:val="0"/>
          <w:sz w:val="24"/>
          <w:sz w:val="24"/>
          <w:szCs w:val="24"/>
          <w:vertAlign w:val="baseline"/>
          <w:lang w:val="en-US"/>
        </w:rPr>
        <w:t xml:space="preserve"> </w:t>
      </w:r>
      <w:r>
        <w:rPr>
          <w:rFonts w:cs="Times New Roman" w:ascii="Times New Roman" w:hAnsi="Times New Roman"/>
          <w:sz w:val="24"/>
          <w:szCs w:val="24"/>
          <w:lang w:val="en-US"/>
        </w:rPr>
        <w:t>a</w:t>
      </w:r>
      <w:r>
        <w:rPr>
          <w:rFonts w:cs="Times New Roman" w:ascii="Times New Roman" w:hAnsi="Times New Roman"/>
          <w:sz w:val="24"/>
          <w:szCs w:val="24"/>
          <w:lang w:val="en-US"/>
        </w:rPr>
        <w:t xml:space="preserve">nd </w:t>
      </w:r>
      <w:r>
        <w:rPr>
          <w:rFonts w:cs="Times New Roman" w:ascii="Times New Roman" w:hAnsi="Times New Roman"/>
          <w:sz w:val="24"/>
          <w:szCs w:val="24"/>
          <w:lang w:val="en-US"/>
        </w:rPr>
        <w:t>knowledge of maturity-at-size (L</w:t>
      </w:r>
      <w:r>
        <w:rPr>
          <w:rFonts w:cs="Times New Roman" w:ascii="Times New Roman" w:hAnsi="Times New Roman"/>
          <w:sz w:val="24"/>
          <w:szCs w:val="24"/>
          <w:vertAlign w:val="subscript"/>
          <w:lang w:val="en-US"/>
        </w:rPr>
        <w:t xml:space="preserve">50 </w:t>
      </w:r>
      <w:r>
        <w:rPr>
          <w:rFonts w:cs="Times New Roman" w:ascii="Times New Roman" w:hAnsi="Times New Roman"/>
          <w:position w:val="0"/>
          <w:sz w:val="24"/>
          <w:sz w:val="24"/>
          <w:szCs w:val="24"/>
          <w:vertAlign w:val="baseline"/>
          <w:lang w:val="en-US"/>
        </w:rPr>
        <w:t>and L</w:t>
      </w:r>
      <w:r>
        <w:rPr>
          <w:rFonts w:cs="Times New Roman" w:ascii="Times New Roman" w:hAnsi="Times New Roman"/>
          <w:sz w:val="24"/>
          <w:szCs w:val="24"/>
          <w:vertAlign w:val="subscript"/>
          <w:lang w:val="en-US"/>
        </w:rPr>
        <w:t xml:space="preserve">95, </w:t>
      </w:r>
      <w:r>
        <w:rPr>
          <w:rFonts w:cs="Times New Roman" w:ascii="Times New Roman" w:hAnsi="Times New Roman"/>
          <w:position w:val="0"/>
          <w:sz w:val="24"/>
          <w:sz w:val="24"/>
          <w:szCs w:val="24"/>
          <w:vertAlign w:val="baseline"/>
          <w:lang w:val="en-US"/>
        </w:rPr>
        <w:t>length at 50% and 95% of maturity, respectively)</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furthermore, it</w:t>
      </w:r>
      <w:r>
        <w:rPr>
          <w:rFonts w:cs="Times New Roman" w:ascii="Times New Roman" w:hAnsi="Times New Roman"/>
          <w:sz w:val="24"/>
          <w:szCs w:val="24"/>
          <w:lang w:val="en-US"/>
        </w:rPr>
        <w:t xml:space="preserve">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4"/>
          <w:szCs w:val="24"/>
          <w:lang w:val="en-US"/>
        </w:rPr>
        <w:t>Sensitivity analysis</w:t>
      </w:r>
    </w:p>
    <w:p>
      <w:pPr>
        <w:pStyle w:val="Normal"/>
        <w:spacing w:lineRule="auto" w:line="480"/>
        <w:jc w:val="both"/>
        <w:rPr>
          <w:sz w:val="24"/>
          <w:szCs w:val="24"/>
        </w:rPr>
      </w:pPr>
      <w:r>
        <w:rPr>
          <w:rFonts w:cs="Times New Roman" w:ascii="Times New Roman" w:hAnsi="Times New Roman"/>
          <w:b w:val="false"/>
          <w:bCs w:val="false"/>
          <w:sz w:val="24"/>
          <w:szCs w:val="24"/>
          <w:lang w:val="en-US"/>
        </w:rPr>
        <w:t>ICES (2018) and Hordyk (2015b) pointed out the relevance of examining the sensitivity of the model to error</w:t>
      </w:r>
      <w:r>
        <w:rPr>
          <w:rFonts w:cs="Times New Roman" w:ascii="Times New Roman" w:hAnsi="Times New Roman"/>
          <w:b w:val="false"/>
          <w:bCs w:val="false"/>
          <w:sz w:val="24"/>
          <w:szCs w:val="24"/>
          <w:lang w:val="en-US"/>
        </w:rPr>
        <w:t>s</w:t>
      </w:r>
      <w:r>
        <w:rPr>
          <w:rFonts w:cs="Times New Roman" w:ascii="Times New Roman" w:hAnsi="Times New Roman"/>
          <w:b w:val="false"/>
          <w:bCs w:val="false"/>
          <w:sz w:val="24"/>
          <w:szCs w:val="24"/>
          <w:lang w:val="en-US"/>
        </w:rPr>
        <w:t xml:space="preserve"> in the input parameters, for LBI and LBSPR methods, respectively. In both cases the accuracy of the model results depends on the precision of </w:t>
      </w:r>
      <w:r>
        <w:rPr>
          <w:rFonts w:cs="Times New Roman" w:ascii="Times New Roman" w:hAnsi="Times New Roman"/>
          <w:b w:val="false"/>
          <w:bCs w:val="false"/>
          <w:sz w:val="24"/>
          <w:szCs w:val="24"/>
          <w:lang w:val="en-US"/>
        </w:rPr>
        <w:t xml:space="preserve">the estimates of </w:t>
      </w:r>
      <w:r>
        <w:rPr>
          <w:rFonts w:cs="Times New Roman" w:ascii="Times New Roman" w:hAnsi="Times New Roman"/>
          <w:b w:val="false"/>
          <w:bCs w:val="false"/>
          <w:sz w:val="24"/>
          <w:szCs w:val="24"/>
          <w:lang w:val="en-US"/>
        </w:rPr>
        <w:t>the life history parameters. The simulation study carried out by Hordyk (2015b) shows that the model was considerably sensitive to the variation/misspecification of the parameters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and M/k. Due to this fact, in the current article we focus on assessing the sensitivity of LBI and LBSPR models to the variation/misspecification of parameters L</w:t>
      </w:r>
      <w:r>
        <w:rPr>
          <w:rFonts w:eastAsia="Liberation Serif" w:cs="Liberation Serif" w:ascii="Liberation Serif" w:hAnsi="Liberation Serif"/>
          <w:b w:val="false"/>
          <w:bCs w:val="false"/>
          <w:sz w:val="24"/>
          <w:szCs w:val="24"/>
          <w:vertAlign w:val="subscript"/>
          <w:lang w:val="en-US"/>
        </w:rPr>
        <w:t>∞</w:t>
      </w:r>
      <w:r>
        <w:rPr>
          <w:rFonts w:eastAsia="Calibri" w:cs="Times New Roman" w:ascii="Times New Roman" w:hAnsi="Times New Roman"/>
          <w:b w:val="false"/>
          <w:bCs w:val="false"/>
          <w:position w:val="0"/>
          <w:sz w:val="24"/>
          <w:sz w:val="24"/>
          <w:szCs w:val="24"/>
          <w:vertAlign w:val="baseline"/>
          <w:lang w:val="en-US"/>
        </w:rPr>
        <w:t xml:space="preserve"> and M/k through a sensitivity study applied to the following stocks in the atlantic waters: G. melastomus, E. encrasicolus, P. bogaraveo, T. luscus, and P. pollachius., and N. norvegicus FU25 and FU2627 (Males and Females).</w:t>
      </w:r>
    </w:p>
    <w:p>
      <w:pPr>
        <w:pStyle w:val="Normal"/>
        <w:spacing w:lineRule="auto" w:line="480"/>
        <w:jc w:val="both"/>
        <w:rPr/>
      </w:pPr>
      <w:r>
        <w:rPr>
          <w:rFonts w:eastAsia="Calibri" w:cs="Times New Roman" w:ascii="Times New Roman" w:hAnsi="Times New Roman"/>
          <w:b w:val="false"/>
          <w:bCs w:val="false"/>
          <w:position w:val="0"/>
          <w:sz w:val="24"/>
          <w:sz w:val="24"/>
          <w:szCs w:val="24"/>
          <w:vertAlign w:val="baseline"/>
          <w:lang w:val="en-US"/>
        </w:rPr>
        <w:t>Firstly, the LBI and LBSPR methods have been applied using the M/k and L</w:t>
      </w:r>
      <w:r>
        <w:rPr>
          <w:rFonts w:eastAsia="Times New Roman" w:cs="Times New Roman" w:ascii="Times New Roman" w:hAnsi="Times New Roman"/>
          <w:b w:val="false"/>
          <w:bCs w:val="false"/>
          <w:sz w:val="24"/>
          <w:szCs w:val="24"/>
          <w:vertAlign w:val="subscript"/>
          <w:lang w:val="en-US"/>
        </w:rPr>
        <w:t>∞</w:t>
      </w:r>
      <w:r>
        <w:rPr>
          <w:rFonts w:eastAsia="Calibri" w:cs="Times New Roman" w:ascii="Times New Roman" w:hAnsi="Times New Roman"/>
          <w:b w:val="false"/>
          <w:bCs w:val="false"/>
          <w:sz w:val="24"/>
          <w:szCs w:val="24"/>
          <w:vertAlign w:val="subscript"/>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values fixed by the researcher after a literature review and/or the analysis of other reliable information about the </w:t>
      </w:r>
      <w:r>
        <w:rPr>
          <w:rFonts w:eastAsia="Calibri" w:cs="Times New Roman" w:ascii="Times New Roman" w:hAnsi="Times New Roman"/>
          <w:b w:val="false"/>
          <w:bCs w:val="false"/>
          <w:position w:val="0"/>
          <w:sz w:val="24"/>
          <w:sz w:val="24"/>
          <w:szCs w:val="24"/>
          <w:vertAlign w:val="baseline"/>
          <w:lang w:val="en-US"/>
        </w:rPr>
        <w:t>stock/</w:t>
      </w:r>
      <w:r>
        <w:rPr>
          <w:rFonts w:eastAsia="Calibri" w:cs="Times New Roman" w:ascii="Times New Roman" w:hAnsi="Times New Roman"/>
          <w:b w:val="false"/>
          <w:bCs w:val="false"/>
          <w:position w:val="0"/>
          <w:sz w:val="24"/>
          <w:sz w:val="24"/>
          <w:szCs w:val="24"/>
          <w:vertAlign w:val="baseline"/>
          <w:lang w:val="en-US"/>
        </w:rPr>
        <w:t>species. We refer to such values as M/k</w:t>
      </w:r>
      <w:r>
        <w:rPr>
          <w:rFonts w:eastAsia="Calibri" w:cs="Times New Roman" w:ascii="Times New Roman" w:hAnsi="Times New Roman"/>
          <w:b w:val="false"/>
          <w:bCs w:val="false"/>
          <w:sz w:val="24"/>
          <w:szCs w:val="24"/>
          <w:vertAlign w:val="superscript"/>
          <w:lang w:val="en-US"/>
        </w:rPr>
        <w:t xml:space="preserve">LIT </w:t>
      </w:r>
      <w:r>
        <w:rPr>
          <w:rFonts w:eastAsia="Calibri" w:cs="Times New Roman" w:ascii="Times New Roman" w:hAnsi="Times New Roman"/>
          <w:b w:val="false"/>
          <w:bCs w:val="false"/>
          <w:position w:val="0"/>
          <w:sz w:val="24"/>
          <w:sz w:val="24"/>
          <w:szCs w:val="24"/>
          <w:vertAlign w:val="baseline"/>
          <w:lang w:val="en-US"/>
        </w:rPr>
        <w:t>and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and to the corresponding model as reference model. Hence, to analyze the effect of underestimation and overestimation of these parameters the model is recalculated using a lower</w:t>
      </w: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or upper bound of one of the two parameters instead of the reference value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sz w:val="24"/>
                <w:szCs w:val="24"/>
              </w:rPr>
            </w:pPr>
            <w:r>
              <w:rPr>
                <w:rFonts w:eastAsia="Calibri" w:cs="" w:ascii="Times New Roman" w:hAnsi="Times New Roman"/>
                <w:position w:val="0"/>
                <w:sz w:val="24"/>
                <w:sz w:val="24"/>
                <w:szCs w:val="24"/>
                <w:vertAlign w:val="baseline"/>
              </w:rPr>
              <w:t>L</w:t>
            </w:r>
            <w:r>
              <w:rPr>
                <w:rFonts w:eastAsia="Calibri" w:cs="Calibri" w:ascii="Times New Roman" w:hAnsi="Times New Roman"/>
                <w:sz w:val="24"/>
                <w:szCs w:val="24"/>
                <w:vertAlign w:val="subscript"/>
              </w:rPr>
              <w:t>∞</w:t>
            </w:r>
            <w:r>
              <w:rPr>
                <w:rFonts w:eastAsia="Calibri" w:cs="" w:ascii="Times New Roman" w:hAnsi="Times New Roman"/>
                <w:sz w:val="24"/>
                <w:szCs w:val="24"/>
                <w:vertAlign w:val="subscript"/>
              </w:rPr>
              <w:t xml:space="preserve"> </w:t>
            </w:r>
            <w:r>
              <w:rPr>
                <w:rFonts w:eastAsia="Calibri" w:cs="" w:ascii="Times New Roman" w:hAnsi="Times New Roman"/>
                <w:position w:val="0"/>
                <w:sz w:val="24"/>
                <w:sz w:val="24"/>
                <w:szCs w:val="24"/>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2: Underestimated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3: Overestimated  </w:t>
            </w:r>
            <w:r>
              <w:rPr>
                <w:rFonts w:eastAsia="Calibri" w:cs="Times New Roman" w:ascii="Times New Roman" w:hAnsi="Times New Roman"/>
                <w:b w:val="false"/>
                <w:bCs w:val="false"/>
                <w:position w:val="0"/>
                <w:sz w:val="24"/>
                <w:sz w:val="24"/>
                <w:szCs w:val="24"/>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4: Underestimated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 xml:space="preserve">5: Overestimated  </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sz w:val="24"/>
                <w:szCs w:val="24"/>
              </w:rPr>
            </w:pPr>
            <w:r>
              <w:rPr>
                <w:rFonts w:eastAsia="Calibri" w:cs="Times New Roman" w:ascii="Times New Roman" w:hAnsi="Times New Roman"/>
                <w:b w:val="false"/>
                <w:bCs w:val="false"/>
                <w:position w:val="0"/>
                <w:sz w:val="24"/>
                <w:sz w:val="24"/>
                <w:szCs w:val="24"/>
                <w:vertAlign w:val="baseline"/>
                <w:lang w:val="en-US"/>
              </w:rPr>
              <w:t>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val="false"/>
                <w:b w:val="false"/>
                <w:bCs w:val="false"/>
                <w:sz w:val="24"/>
                <w:szCs w:val="24"/>
              </w:rPr>
            </w:pPr>
            <w:r>
              <w:rPr>
                <w:rFonts w:eastAsia="Calibri" w:cs="Times New Roman" w:ascii="Times New Roman" w:hAnsi="Times New Roman"/>
                <w:b w:val="false"/>
                <w:bCs w:val="false"/>
                <w:position w:val="0"/>
                <w:sz w:val="24"/>
                <w:sz w:val="24"/>
                <w:szCs w:val="24"/>
                <w:vertAlign w:val="baseline"/>
                <w:lang w:val="en-US"/>
              </w:rPr>
              <w:t>1.5</w:t>
            </w:r>
          </w:p>
        </w:tc>
      </w:tr>
    </w:tbl>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Table 2: Description of the 6 </w:t>
      </w:r>
      <w:r>
        <w:rPr>
          <w:rFonts w:eastAsia="Times New Roman" w:cs="Times New Roman" w:ascii="Times New Roman" w:hAnsi="Times New Roman"/>
          <w:b w:val="false"/>
          <w:bCs w:val="false"/>
          <w:position w:val="0"/>
          <w:sz w:val="24"/>
          <w:sz w:val="24"/>
          <w:szCs w:val="24"/>
          <w:vertAlign w:val="baseline"/>
          <w:lang w:val="en-US"/>
        </w:rPr>
        <w:t xml:space="preserve">different </w:t>
      </w:r>
      <w:r>
        <w:rPr>
          <w:rFonts w:eastAsia="Times New Roman" w:cs="Times New Roman" w:ascii="Times New Roman" w:hAnsi="Times New Roman"/>
          <w:b w:val="false"/>
          <w:bCs w:val="false"/>
          <w:position w:val="0"/>
          <w:sz w:val="24"/>
          <w:sz w:val="24"/>
          <w:szCs w:val="24"/>
          <w:vertAlign w:val="baseline"/>
          <w:lang w:val="en-US"/>
        </w:rPr>
        <w:t xml:space="preserve">parameter configurations </w:t>
      </w:r>
      <w:r>
        <w:rPr>
          <w:rFonts w:eastAsia="Times New Roman" w:cs="Times New Roman" w:ascii="Times New Roman" w:hAnsi="Times New Roman"/>
          <w:b w:val="false"/>
          <w:bCs w:val="false"/>
          <w:position w:val="0"/>
          <w:sz w:val="24"/>
          <w:sz w:val="24"/>
          <w:szCs w:val="24"/>
          <w:vertAlign w:val="baseline"/>
          <w:lang w:val="en-US"/>
        </w:rPr>
        <w:t xml:space="preserve">consider to assess the </w:t>
      </w:r>
      <w:r>
        <w:rPr>
          <w:rFonts w:eastAsia="Times New Roman" w:cs="Times New Roman" w:ascii="Times New Roman" w:hAnsi="Times New Roman"/>
          <w:b w:val="false"/>
          <w:bCs w:val="false"/>
          <w:position w:val="0"/>
          <w:sz w:val="24"/>
          <w:sz w:val="24"/>
          <w:szCs w:val="24"/>
          <w:vertAlign w:val="baseline"/>
          <w:lang w:val="en-US"/>
        </w:rPr>
        <w:t xml:space="preserve">robustness/sensitivity of LBI and LBSPR methods </w:t>
      </w:r>
      <w:r>
        <w:rPr>
          <w:rFonts w:eastAsia="Times New Roman" w:cs="Times New Roman" w:ascii="Times New Roman" w:hAnsi="Times New Roman"/>
          <w:b w:val="false"/>
          <w:bCs w:val="false"/>
          <w:position w:val="0"/>
          <w:sz w:val="24"/>
          <w:sz w:val="24"/>
          <w:szCs w:val="24"/>
          <w:vertAlign w:val="baseline"/>
          <w:lang w:val="en-US"/>
        </w:rPr>
        <w:t>to variation/misspecification of parameters M/k and L</w:t>
      </w:r>
      <w:r>
        <w:rPr>
          <w:rFonts w:eastAsia="Liberation Serif" w:cs="Liberation Serif" w:ascii="Times New Roman" w:hAnsi="Times New Roman"/>
          <w:b w:val="false"/>
          <w:bCs w:val="false"/>
          <w:sz w:val="24"/>
          <w:szCs w:val="24"/>
          <w:vertAlign w:val="subscript"/>
          <w:lang w:val="en-US"/>
        </w:rPr>
        <w:t>∞</w:t>
      </w:r>
      <w:r>
        <w:rPr>
          <w:rFonts w:eastAsia="Liberation Serif" w:cs="Liberation Serif" w:ascii="Times New Roman" w:hAnsi="Times New Roman"/>
          <w:b w:val="false"/>
          <w:bCs w:val="false"/>
          <w:position w:val="0"/>
          <w:sz w:val="24"/>
          <w:sz w:val="24"/>
          <w:szCs w:val="24"/>
          <w:vertAlign w:val="baseline"/>
          <w:lang w:val="en-US"/>
        </w:rPr>
        <w:t>.</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upper and lower bounds of parameters </w:t>
      </w:r>
      <w:r>
        <w:rPr>
          <w:rFonts w:eastAsia="Calibri" w:cs="Times New Roman" w:ascii="Times New Roman" w:hAnsi="Times New Roman"/>
          <w:b w:val="false"/>
          <w:bCs w:val="false"/>
          <w:position w:val="0"/>
          <w:sz w:val="24"/>
          <w:sz w:val="24"/>
          <w:szCs w:val="24"/>
          <w:vertAlign w:val="baseline"/>
          <w:lang w:val="en-US"/>
        </w:rPr>
        <w:t>M/k</w:t>
      </w:r>
      <w:r>
        <w:rPr>
          <w:rFonts w:eastAsia="Calibri" w:cs="Times New Roman" w:ascii="Times New Roman" w:hAnsi="Times New Roman"/>
          <w:b w:val="false"/>
          <w:bCs w:val="false"/>
          <w:sz w:val="24"/>
          <w:szCs w:val="24"/>
          <w:vertAlign w:val="superscript"/>
          <w:lang w:val="en-US"/>
        </w:rPr>
        <w:t>LIT</w:t>
      </w:r>
      <w:r>
        <w:rPr>
          <w:rFonts w:eastAsia="Calibri" w:cs="Times New Roman" w:ascii="Times New Roman" w:hAnsi="Times New Roman"/>
          <w:b w:val="false"/>
          <w:bCs w:val="false"/>
          <w:position w:val="0"/>
          <w:sz w:val="24"/>
          <w:sz w:val="24"/>
          <w:szCs w:val="24"/>
          <w:vertAlign w:val="baseline"/>
          <w:lang w:val="en-US"/>
        </w:rPr>
        <w:t xml:space="preserve">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sz w:val="24"/>
          <w:szCs w:val="24"/>
          <w:vertAlign w:val="superscript"/>
          <w:lang w:val="en-US"/>
        </w:rPr>
        <w:t>LIT</w:t>
      </w:r>
      <w:r>
        <w:rPr>
          <w:rFonts w:eastAsia="Times New Roman" w:cs="Times New Roman" w:ascii="Times New Roman" w:hAnsi="Times New Roman"/>
          <w:b w:val="false"/>
          <w:bCs w:val="false"/>
          <w:position w:val="0"/>
          <w:sz w:val="24"/>
          <w:sz w:val="24"/>
          <w:szCs w:val="24"/>
          <w:vertAlign w:val="baseline"/>
          <w:lang w:val="en-US"/>
        </w:rPr>
        <w:t xml:space="preserve"> in Table 2 </w:t>
      </w:r>
      <w:r>
        <w:rPr>
          <w:rFonts w:eastAsia="Times New Roman" w:cs="Times New Roman" w:ascii="Times New Roman" w:hAnsi="Times New Roman"/>
          <w:b w:val="false"/>
          <w:bCs w:val="false"/>
          <w:position w:val="0"/>
          <w:sz w:val="24"/>
          <w:sz w:val="24"/>
          <w:szCs w:val="24"/>
          <w:vertAlign w:val="baseline"/>
          <w:lang w:val="en-US"/>
        </w:rPr>
        <w:t xml:space="preserve">have been fixed </w:t>
      </w:r>
      <w:r>
        <w:rPr>
          <w:rFonts w:eastAsia="Times New Roman" w:cs="Times New Roman" w:ascii="Times New Roman" w:hAnsi="Times New Roman"/>
          <w:b w:val="false"/>
          <w:bCs w:val="false"/>
          <w:position w:val="0"/>
          <w:sz w:val="24"/>
          <w:sz w:val="24"/>
          <w:szCs w:val="24"/>
          <w:vertAlign w:val="baseline"/>
          <w:lang w:val="en-US"/>
        </w:rPr>
        <w:t>follow</w:t>
      </w:r>
      <w:r>
        <w:rPr>
          <w:rFonts w:eastAsia="Times New Roman" w:cs="Times New Roman" w:ascii="Times New Roman" w:hAnsi="Times New Roman"/>
          <w:b w:val="false"/>
          <w:bCs w:val="false"/>
          <w:position w:val="0"/>
          <w:sz w:val="24"/>
          <w:sz w:val="24"/>
          <w:szCs w:val="24"/>
          <w:vertAlign w:val="baseline"/>
          <w:lang w:val="en-US"/>
        </w:rPr>
        <w:t>ing the</w:t>
      </w:r>
      <w:r>
        <w:rPr>
          <w:rFonts w:eastAsia="Times New Roman" w:cs="Times New Roman" w:ascii="Times New Roman" w:hAnsi="Times New Roman"/>
          <w:b w:val="false"/>
          <w:bCs w:val="false"/>
          <w:position w:val="0"/>
          <w:sz w:val="24"/>
          <w:sz w:val="24"/>
          <w:szCs w:val="24"/>
          <w:vertAlign w:val="baseline"/>
          <w:lang w:val="en-US"/>
        </w:rPr>
        <w:t xml:space="preserve"> </w:t>
      </w:r>
      <w:r>
        <w:rPr>
          <w:rFonts w:eastAsia="Times New Roman" w:cs="Times New Roman" w:ascii="Times New Roman" w:hAnsi="Times New Roman"/>
          <w:b w:val="false"/>
          <w:bCs w:val="false"/>
          <w:position w:val="0"/>
          <w:sz w:val="24"/>
          <w:sz w:val="24"/>
          <w:szCs w:val="24"/>
          <w:vertAlign w:val="baseline"/>
          <w:lang w:val="en-US"/>
        </w:rPr>
        <w:t xml:space="preserve">ideas of </w:t>
      </w:r>
      <w:r>
        <w:rPr>
          <w:rFonts w:eastAsia="Times New Roman" w:cs="Times New Roman" w:ascii="Times New Roman" w:hAnsi="Times New Roman"/>
          <w:b w:val="false"/>
          <w:bCs w:val="false"/>
          <w:position w:val="0"/>
          <w:sz w:val="24"/>
          <w:sz w:val="24"/>
          <w:szCs w:val="24"/>
          <w:vertAlign w:val="baseline"/>
          <w:lang w:val="en-US"/>
        </w:rPr>
        <w:t xml:space="preserve">the simulation study </w:t>
      </w:r>
      <w:r>
        <w:rPr>
          <w:rFonts w:eastAsia="Times New Roman" w:cs="Times New Roman" w:ascii="Times New Roman" w:hAnsi="Times New Roman"/>
          <w:b w:val="false"/>
          <w:bCs w:val="false"/>
          <w:position w:val="0"/>
          <w:sz w:val="24"/>
          <w:sz w:val="24"/>
          <w:szCs w:val="24"/>
          <w:vertAlign w:val="baseline"/>
          <w:lang w:val="en-US"/>
        </w:rPr>
        <w:t>carried out by</w:t>
      </w:r>
      <w:r>
        <w:rPr>
          <w:rFonts w:eastAsia="Times New Roman" w:cs="Times New Roman" w:ascii="Times New Roman" w:hAnsi="Times New Roman"/>
          <w:b w:val="false"/>
          <w:bCs w:val="false"/>
          <w:position w:val="0"/>
          <w:sz w:val="24"/>
          <w:sz w:val="24"/>
          <w:szCs w:val="24"/>
          <w:vertAlign w:val="baseline"/>
          <w:lang w:val="en-US"/>
        </w:rPr>
        <w:t xml:space="preserve"> Hordyk (2015b). Furthermore, we have also considered </w:t>
      </w:r>
      <w:r>
        <w:rPr>
          <w:rFonts w:eastAsia="Calibri" w:cs="Times New Roman" w:ascii="Times New Roman" w:hAnsi="Times New Roman"/>
          <w:b w:val="false"/>
          <w:bCs w:val="false"/>
          <w:position w:val="0"/>
          <w:sz w:val="24"/>
          <w:sz w:val="24"/>
          <w:szCs w:val="24"/>
          <w:vertAlign w:val="baseline"/>
          <w:lang w:val="en-US"/>
        </w:rPr>
        <w:t>M/k=1.5 since Jensen (1996) suggest</w:t>
      </w:r>
      <w:r>
        <w:rPr>
          <w:rFonts w:eastAsia="Calibri" w:cs="Times New Roman" w:ascii="Times New Roman" w:hAnsi="Times New Roman"/>
          <w:b w:val="false"/>
          <w:bCs w:val="false"/>
          <w:position w:val="0"/>
          <w:sz w:val="24"/>
          <w:sz w:val="24"/>
          <w:szCs w:val="24"/>
          <w:vertAlign w:val="baseline"/>
          <w:lang w:val="en-US"/>
        </w:rPr>
        <w:t>s</w:t>
      </w:r>
      <w:r>
        <w:rPr>
          <w:rFonts w:eastAsia="Calibri" w:cs="Times New Roman" w:ascii="Times New Roman" w:hAnsi="Times New Roman"/>
          <w:b w:val="false"/>
          <w:bCs w:val="false"/>
          <w:position w:val="0"/>
          <w:sz w:val="24"/>
          <w:sz w:val="24"/>
          <w:szCs w:val="24"/>
          <w:vertAlign w:val="baseline"/>
          <w:lang w:val="en-US"/>
        </w:rPr>
        <w:t xml:space="preserve"> that </w:t>
      </w:r>
      <w:r>
        <w:rPr>
          <w:rFonts w:eastAsia="Calibri" w:cs="Times New Roman" w:ascii="Times New Roman" w:hAnsi="Times New Roman"/>
          <w:b w:val="false"/>
          <w:bCs w:val="false"/>
          <w:position w:val="0"/>
          <w:sz w:val="24"/>
          <w:sz w:val="24"/>
          <w:szCs w:val="24"/>
          <w:vertAlign w:val="baseline"/>
          <w:lang w:val="en-US"/>
        </w:rPr>
        <w:t>such value can be closed to the</w:t>
      </w:r>
      <w:r>
        <w:rPr>
          <w:rFonts w:eastAsia="Calibri" w:cs="Times New Roman" w:ascii="Times New Roman" w:hAnsi="Times New Roman"/>
          <w:b w:val="false"/>
          <w:bCs w:val="false"/>
          <w:position w:val="0"/>
          <w:sz w:val="24"/>
          <w:sz w:val="24"/>
          <w:szCs w:val="24"/>
          <w:vertAlign w:val="baseline"/>
          <w:lang w:val="en-US"/>
        </w:rPr>
        <w:t xml:space="preserve"> optimal </w:t>
      </w:r>
      <w:r>
        <w:rPr>
          <w:rFonts w:eastAsia="Calibri" w:cs="Times New Roman" w:ascii="Times New Roman" w:hAnsi="Times New Roman"/>
          <w:b w:val="false"/>
          <w:bCs w:val="false"/>
          <w:position w:val="0"/>
          <w:sz w:val="24"/>
          <w:sz w:val="24"/>
          <w:szCs w:val="24"/>
          <w:vertAlign w:val="baseline"/>
          <w:lang w:val="en-US"/>
        </w:rPr>
        <w:t>one.</w:t>
      </w:r>
    </w:p>
    <w:p>
      <w:pPr>
        <w:pStyle w:val="Normal"/>
        <w:spacing w:lineRule="auto" w:line="480"/>
        <w:jc w:val="both"/>
        <w:rPr>
          <w:sz w:val="24"/>
          <w:szCs w:val="24"/>
        </w:rPr>
      </w:pPr>
      <w:r>
        <w:rPr>
          <w:rFonts w:eastAsia="Calibri" w:cs="Times New Roman" w:ascii="Times New Roman" w:hAnsi="Times New Roman"/>
          <w:b w:val="false"/>
          <w:bCs w:val="false"/>
          <w:position w:val="0"/>
          <w:sz w:val="24"/>
          <w:sz w:val="24"/>
          <w:szCs w:val="24"/>
          <w:vertAlign w:val="baseline"/>
          <w:lang w:val="en-US"/>
        </w:rPr>
        <w:t xml:space="preserve">After </w:t>
      </w:r>
      <w:r>
        <w:rPr>
          <w:rFonts w:eastAsia="Calibri" w:cs="Times New Roman" w:ascii="Times New Roman" w:hAnsi="Times New Roman"/>
          <w:b w:val="false"/>
          <w:bCs w:val="false"/>
          <w:position w:val="0"/>
          <w:sz w:val="24"/>
          <w:sz w:val="24"/>
          <w:szCs w:val="24"/>
          <w:vertAlign w:val="baseline"/>
          <w:lang w:val="en-US"/>
        </w:rPr>
        <w:t>applying each method using each of the parameter configurations/settings</w:t>
      </w:r>
      <w:r>
        <w:rPr>
          <w:rFonts w:eastAsia="Calibri" w:cs="Times New Roman" w:ascii="Times New Roman" w:hAnsi="Times New Roman"/>
          <w:b w:val="false"/>
          <w:bCs w:val="false"/>
          <w:position w:val="0"/>
          <w:sz w:val="24"/>
          <w:sz w:val="24"/>
          <w:szCs w:val="24"/>
          <w:vertAlign w:val="baseline"/>
          <w:lang w:val="en-US"/>
        </w:rPr>
        <w:t xml:space="preserve"> described in Table 2 the results of models 2-6 are compared with the results provided by the reference model analyzing in this way the effect of </w:t>
      </w:r>
      <w:r>
        <w:rPr>
          <w:rFonts w:eastAsia="Calibri" w:cs="Times New Roman" w:ascii="Times New Roman" w:hAnsi="Times New Roman"/>
          <w:b w:val="false"/>
          <w:bCs w:val="false"/>
          <w:position w:val="0"/>
          <w:sz w:val="24"/>
          <w:sz w:val="24"/>
          <w:szCs w:val="24"/>
          <w:vertAlign w:val="baseline"/>
          <w:lang w:val="en-US"/>
        </w:rPr>
        <w:t xml:space="preserve">underestimation/overestimation </w:t>
      </w:r>
      <w:r>
        <w:rPr>
          <w:rFonts w:eastAsia="Calibri" w:cs="Times New Roman" w:ascii="Times New Roman" w:hAnsi="Times New Roman"/>
          <w:b w:val="false"/>
          <w:bCs w:val="false"/>
          <w:position w:val="0"/>
          <w:sz w:val="24"/>
          <w:sz w:val="24"/>
          <w:szCs w:val="24"/>
          <w:vertAlign w:val="baseline"/>
          <w:lang w:val="en-US"/>
        </w:rPr>
        <w:t>o</w:t>
      </w:r>
      <w:r>
        <w:rPr>
          <w:rFonts w:eastAsia="Calibri" w:cs="Times New Roman" w:ascii="Times New Roman" w:hAnsi="Times New Roman"/>
          <w:b w:val="false"/>
          <w:bCs w:val="false"/>
          <w:position w:val="0"/>
          <w:sz w:val="24"/>
          <w:sz w:val="24"/>
          <w:szCs w:val="24"/>
          <w:vertAlign w:val="baseline"/>
          <w:lang w:val="en-US"/>
        </w:rPr>
        <w:t>f</w:t>
      </w:r>
      <w:r>
        <w:rPr>
          <w:rFonts w:eastAsia="Calibri" w:cs="Times New Roman" w:ascii="Times New Roman" w:hAnsi="Times New Roman"/>
          <w:b w:val="false"/>
          <w:bCs w:val="false"/>
          <w:position w:val="0"/>
          <w:sz w:val="24"/>
          <w:sz w:val="24"/>
          <w:szCs w:val="24"/>
          <w:vertAlign w:val="baseline"/>
          <w:lang w:val="en-US"/>
        </w:rPr>
        <w:t xml:space="preserve"> the</w:t>
      </w:r>
      <w:r>
        <w:rPr>
          <w:rFonts w:eastAsia="Calibri" w:cs="Times New Roman" w:ascii="Times New Roman" w:hAnsi="Times New Roman"/>
          <w:b w:val="false"/>
          <w:bCs w:val="false"/>
          <w:position w:val="0"/>
          <w:sz w:val="24"/>
          <w:sz w:val="24"/>
          <w:szCs w:val="24"/>
          <w:vertAlign w:val="baseline"/>
          <w:lang w:val="en-US"/>
        </w:rPr>
        <w:t xml:space="preserve"> </w:t>
      </w:r>
      <w:r>
        <w:rPr>
          <w:rFonts w:eastAsia="Calibri" w:cs="Times New Roman" w:ascii="Times New Roman" w:hAnsi="Times New Roman"/>
          <w:b w:val="false"/>
          <w:bCs w:val="false"/>
          <w:position w:val="0"/>
          <w:sz w:val="24"/>
          <w:sz w:val="24"/>
          <w:szCs w:val="24"/>
          <w:vertAlign w:val="baseline"/>
          <w:lang w:val="en-US"/>
        </w:rPr>
        <w:t xml:space="preserve">parameter </w:t>
      </w:r>
      <w:r>
        <w:rPr>
          <w:rFonts w:eastAsia="Calibri" w:cs="Times New Roman" w:ascii="Times New Roman" w:hAnsi="Times New Roman"/>
          <w:b w:val="false"/>
          <w:bCs w:val="false"/>
          <w:position w:val="0"/>
          <w:sz w:val="24"/>
          <w:sz w:val="24"/>
          <w:szCs w:val="24"/>
          <w:vertAlign w:val="baseline"/>
          <w:lang w:val="en-US"/>
        </w:rPr>
        <w:t>values</w:t>
      </w:r>
      <w:r>
        <w:rPr>
          <w:rFonts w:eastAsia="Calibri" w:cs="Times New Roman" w:ascii="Times New Roman" w:hAnsi="Times New Roman"/>
          <w:b w:val="false"/>
          <w:bCs w:val="false"/>
          <w:position w:val="0"/>
          <w:sz w:val="24"/>
          <w:sz w:val="24"/>
          <w:szCs w:val="24"/>
          <w:vertAlign w:val="baseline"/>
          <w:lang w:val="en-US"/>
        </w:rPr>
        <w:t xml:space="preserve"> M/k or L</w:t>
      </w:r>
      <w:r>
        <w:rPr>
          <w:rFonts w:eastAsia="Times New Roman" w:cs="Times New Roman" w:ascii="Times New Roman" w:hAnsi="Times New Roman"/>
          <w:b w:val="false"/>
          <w:bCs w:val="false"/>
          <w:sz w:val="24"/>
          <w:szCs w:val="24"/>
          <w:vertAlign w:val="subscript"/>
          <w:lang w:val="en-US"/>
        </w:rPr>
        <w:t>∞</w:t>
      </w:r>
      <w:r>
        <w:rPr>
          <w:rFonts w:eastAsia="Times New Roman" w:cs="Times New Roman" w:ascii="Times New Roman" w:hAnsi="Times New Roman"/>
          <w:b w:val="false"/>
          <w:bCs w:val="false"/>
          <w:position w:val="0"/>
          <w:sz w:val="24"/>
          <w:sz w:val="24"/>
          <w:szCs w:val="24"/>
          <w:vertAlign w:val="baseline"/>
          <w:lang w:val="en-US"/>
        </w:rPr>
        <w:t xml:space="preserve">. </w:t>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rFonts w:ascii="Times New Roman" w:hAnsi="Times New Roman" w:eastAsia="Times New Roman" w:cs="Times New Roman"/>
          <w:b/>
          <w:b/>
          <w:bCs/>
          <w:position w:val="0"/>
          <w:sz w:val="22"/>
          <w:sz w:val="28"/>
          <w:szCs w:val="28"/>
          <w:vertAlign w:val="baseline"/>
          <w:lang w:val="en-US"/>
        </w:rPr>
      </w:pPr>
      <w:r>
        <w:rPr/>
      </w:r>
    </w:p>
    <w:p>
      <w:pPr>
        <w:pStyle w:val="Normal"/>
        <w:spacing w:lineRule="auto" w:line="480"/>
        <w:jc w:val="both"/>
        <w:rPr>
          <w:sz w:val="24"/>
          <w:szCs w:val="24"/>
        </w:rPr>
      </w:pPr>
      <w:r>
        <w:rPr>
          <w:rFonts w:eastAsia="Times New Roman" w:cs="Times New Roman" w:ascii="Times New Roman" w:hAnsi="Times New Roman"/>
          <w:b/>
          <w:bCs/>
          <w:position w:val="0"/>
          <w:sz w:val="24"/>
          <w:sz w:val="24"/>
          <w:szCs w:val="24"/>
          <w:vertAlign w:val="baseline"/>
          <w:lang w:val="en-US"/>
        </w:rPr>
        <w:t>S</w:t>
      </w:r>
      <w:r>
        <w:rPr>
          <w:rFonts w:eastAsia="Times New Roman" w:cs="Times New Roman" w:ascii="Times New Roman" w:hAnsi="Times New Roman"/>
          <w:b/>
          <w:bCs/>
          <w:position w:val="0"/>
          <w:sz w:val="24"/>
          <w:sz w:val="24"/>
          <w:szCs w:val="24"/>
          <w:vertAlign w:val="baseline"/>
          <w:lang w:val="en-US"/>
        </w:rPr>
        <w:t>pecies</w:t>
      </w:r>
      <w:r>
        <w:rPr>
          <w:rFonts w:eastAsia="Times New Roman" w:cs="Times New Roman" w:ascii="Times New Roman" w:hAnsi="Times New Roman"/>
          <w:b/>
          <w:bCs/>
          <w:position w:val="0"/>
          <w:sz w:val="24"/>
          <w:sz w:val="24"/>
          <w:szCs w:val="24"/>
          <w:vertAlign w:val="baseline"/>
          <w:lang w:val="en-US"/>
        </w:rPr>
        <w:t xml:space="preserve"> data</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The sensitive analysis for LBI and LBSPR methods described in the previous section is applied, as we mentioned above, to the following stocks in the atlantic waters: G. melastomus, E. encrasicolus, P. bogaraveo, T. luscus, and P. pollachius., and N. norvegicus FU25 and FU2627 (Males and Females).</w:t>
      </w:r>
    </w:p>
    <w:p>
      <w:pPr>
        <w:pStyle w:val="Normal"/>
        <w:spacing w:lineRule="auto" w:line="480"/>
        <w:jc w:val="both"/>
        <w:rPr>
          <w:sz w:val="24"/>
          <w:szCs w:val="24"/>
        </w:rPr>
      </w:pPr>
      <w:r>
        <w:rPr>
          <w:rFonts w:eastAsia="Times New Roman" w:cs="Times New Roman" w:ascii="Times New Roman" w:hAnsi="Times New Roman"/>
          <w:b w:val="false"/>
          <w:bCs w:val="false"/>
          <w:position w:val="0"/>
          <w:sz w:val="24"/>
          <w:sz w:val="24"/>
          <w:szCs w:val="24"/>
          <w:vertAlign w:val="baseline"/>
          <w:lang w:val="en-US"/>
        </w:rPr>
        <w:t xml:space="preserve">The required data for LBI and LBSPR method (catch/landings at length per year) have been collected from the following sources of information: the </w:t>
      </w:r>
      <w:r>
        <w:rPr>
          <w:rFonts w:eastAsia="Times New Roman" w:cs="Times New Roman" w:ascii="Times New Roman" w:hAnsi="Times New Roman"/>
          <w:b w:val="false"/>
          <w:bCs w:val="false"/>
          <w:position w:val="0"/>
          <w:sz w:val="24"/>
          <w:sz w:val="24"/>
          <w:szCs w:val="24"/>
          <w:vertAlign w:val="baseline"/>
          <w:lang w:val="en-US"/>
        </w:rPr>
        <w:t>data</w:t>
      </w:r>
      <w:r>
        <w:rPr>
          <w:rFonts w:eastAsia="Times New Roman" w:cs="Times New Roman" w:ascii="Times New Roman" w:hAnsi="Times New Roman"/>
          <w:b w:val="false"/>
          <w:bCs w:val="false"/>
          <w:position w:val="0"/>
          <w:sz w:val="24"/>
          <w:sz w:val="24"/>
          <w:szCs w:val="24"/>
          <w:vertAlign w:val="baseline"/>
          <w:lang w:val="en-US"/>
        </w:rPr>
        <w:t xml:space="preserve"> comes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E. encrasicolus,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P. bogaraveo,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T. luscus,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P. pollachius.,  from</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for N. norvegicus FU25 and finally from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complete with the required information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for N. norvegicus FU2627.</w:t>
      </w:r>
    </w:p>
    <w:p>
      <w:pPr>
        <w:pStyle w:val="Normal"/>
        <w:spacing w:lineRule="auto" w:line="480"/>
        <w:jc w:val="both"/>
        <w:rPr>
          <w:b w:val="false"/>
          <w:b w:val="false"/>
          <w:bCs w:val="false"/>
        </w:rPr>
      </w:pPr>
      <w:r>
        <w:rPr>
          <w:rFonts w:eastAsia="Times New Roman" w:cs="Times New Roman" w:ascii="Times New Roman" w:hAnsi="Times New Roman"/>
          <w:b w:val="false"/>
          <w:bCs w:val="false"/>
          <w:color w:val="111111"/>
          <w:position w:val="0"/>
          <w:sz w:val="24"/>
          <w:sz w:val="24"/>
          <w:szCs w:val="24"/>
          <w:vertAlign w:val="baseline"/>
          <w:lang w:val="en-US"/>
        </w:rPr>
        <w:t xml:space="preserve">Table </w:t>
      </w:r>
      <w:r>
        <w:rPr>
          <w:rFonts w:eastAsia="Times New Roman" w:cs="Times New Roman" w:ascii="Times New Roman" w:hAnsi="Times New Roman"/>
          <w:b w:val="false"/>
          <w:bCs w:val="false"/>
          <w:color w:val="111111"/>
          <w:position w:val="0"/>
          <w:sz w:val="24"/>
          <w:sz w:val="24"/>
          <w:szCs w:val="24"/>
          <w:vertAlign w:val="baseline"/>
          <w:lang w:val="en-US"/>
        </w:rPr>
        <w:t>3</w:t>
      </w:r>
      <w:r>
        <w:rPr>
          <w:rFonts w:eastAsia="Times New Roman" w:cs="Times New Roman" w:ascii="Times New Roman" w:hAnsi="Times New Roman"/>
          <w:b w:val="false"/>
          <w:bCs w:val="false"/>
          <w:color w:val="111111"/>
          <w:position w:val="0"/>
          <w:sz w:val="24"/>
          <w:sz w:val="24"/>
          <w:szCs w:val="24"/>
          <w:vertAlign w:val="baseline"/>
          <w:lang w:val="en-US"/>
        </w:rPr>
        <w:t xml:space="preserve"> reports the values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sz w:val="24"/>
          <w:szCs w:val="24"/>
          <w:vertAlign w:val="subscript"/>
          <w:lang w:val="en-US"/>
        </w:rPr>
        <w:t xml:space="preserve"> </w:t>
      </w:r>
      <w:r>
        <w:rPr>
          <w:rFonts w:eastAsia="Liberation Serif" w:cs="Liberation Serif" w:ascii="Times New Roman" w:hAnsi="Times New Roman"/>
          <w:b w:val="false"/>
          <w:bCs w:val="false"/>
          <w:color w:val="111111"/>
          <w:position w:val="0"/>
          <w:sz w:val="24"/>
          <w:sz w:val="24"/>
          <w:szCs w:val="24"/>
          <w:vertAlign w:val="baseline"/>
          <w:lang w:val="en-US"/>
        </w:rPr>
        <w:t>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w:t>
      </w:r>
      <w:r>
        <w:rPr>
          <w:rFonts w:eastAsia="Liberation Serif" w:cs="Liberation Serif" w:ascii="Times New Roman" w:hAnsi="Times New Roman"/>
          <w:b w:val="false"/>
          <w:bCs w:val="false"/>
          <w:color w:val="111111"/>
          <w:position w:val="0"/>
          <w:sz w:val="24"/>
          <w:sz w:val="24"/>
          <w:szCs w:val="24"/>
          <w:vertAlign w:val="baseline"/>
          <w:lang w:val="en-US"/>
        </w:rPr>
        <w:t xml:space="preserve"> a and b</w:t>
      </w:r>
      <w:r>
        <w:rPr>
          <w:rFonts w:eastAsia="Times New Roman" w:cs="Times New Roman" w:ascii="Times New Roman" w:hAnsi="Times New Roman"/>
          <w:b w:val="false"/>
          <w:bCs w:val="false"/>
          <w:color w:val="111111"/>
          <w:position w:val="0"/>
          <w:sz w:val="24"/>
          <w:sz w:val="24"/>
          <w:szCs w:val="24"/>
          <w:vertAlign w:val="baseline"/>
          <w:lang w:val="en-US"/>
        </w:rPr>
        <w:t>) of each stock. The life history par</w:t>
      </w:r>
      <w:r>
        <w:rPr>
          <w:rFonts w:eastAsia="Times New Roman" w:cs="Times New Roman" w:ascii="Times New Roman" w:hAnsi="Times New Roman"/>
          <w:b w:val="false"/>
          <w:bCs w:val="false"/>
          <w:color w:val="111111"/>
          <w:position w:val="0"/>
          <w:sz w:val="24"/>
          <w:sz w:val="24"/>
          <w:szCs w:val="24"/>
          <w:vertAlign w:val="baseline"/>
          <w:lang w:val="en-US"/>
        </w:rPr>
        <w:t>a</w:t>
      </w:r>
      <w:r>
        <w:rPr>
          <w:rFonts w:eastAsia="Times New Roman" w:cs="Times New Roman" w:ascii="Times New Roman" w:hAnsi="Times New Roman"/>
          <w:b w:val="false"/>
          <w:bCs w:val="false"/>
          <w:color w:val="111111"/>
          <w:position w:val="0"/>
          <w:sz w:val="24"/>
          <w:sz w:val="24"/>
          <w:szCs w:val="24"/>
          <w:vertAlign w:val="baseline"/>
          <w:lang w:val="en-US"/>
        </w:rPr>
        <w:t xml:space="preserve">meter values </w:t>
      </w:r>
      <w:r>
        <w:rPr>
          <w:rFonts w:eastAsia="Times New Roman" w:cs="Times New Roman" w:ascii="Times New Roman" w:hAnsi="Times New Roman"/>
          <w:b w:val="false"/>
          <w:bCs w:val="false"/>
          <w:color w:val="111111"/>
          <w:position w:val="0"/>
          <w:sz w:val="24"/>
          <w:sz w:val="24"/>
          <w:szCs w:val="24"/>
          <w:vertAlign w:val="baseline"/>
          <w:lang w:val="en-US"/>
        </w:rPr>
        <w:t>in Table 3</w:t>
      </w:r>
      <w:r>
        <w:rPr>
          <w:rFonts w:eastAsia="Times New Roman" w:cs="Times New Roman" w:ascii="Times New Roman" w:hAnsi="Times New Roman"/>
          <w:b w:val="false"/>
          <w:bCs w:val="false"/>
          <w:color w:val="111111"/>
          <w:position w:val="0"/>
          <w:sz w:val="24"/>
          <w:sz w:val="24"/>
          <w:szCs w:val="24"/>
          <w:vertAlign w:val="baseline"/>
          <w:lang w:val="en-US"/>
        </w:rPr>
        <w:t xml:space="preserve"> have been </w:t>
      </w:r>
      <w:r>
        <w:rPr>
          <w:rFonts w:eastAsia="Times New Roman" w:cs="Times New Roman" w:ascii="Times New Roman" w:hAnsi="Times New Roman"/>
          <w:b w:val="false"/>
          <w:bCs w:val="false"/>
          <w:color w:val="111111"/>
          <w:position w:val="0"/>
          <w:sz w:val="24"/>
          <w:sz w:val="24"/>
          <w:szCs w:val="24"/>
          <w:vertAlign w:val="baseline"/>
          <w:lang w:val="en-US"/>
        </w:rPr>
        <w:t>collected</w:t>
      </w:r>
      <w:r>
        <w:rPr>
          <w:rFonts w:eastAsia="Times New Roman" w:cs="Times New Roman" w:ascii="Times New Roman" w:hAnsi="Times New Roman"/>
          <w:b w:val="false"/>
          <w:bCs w:val="false"/>
          <w:color w:val="111111"/>
          <w:position w:val="0"/>
          <w:sz w:val="24"/>
          <w:sz w:val="24"/>
          <w:szCs w:val="24"/>
          <w:vertAlign w:val="baseline"/>
          <w:lang w:val="en-US"/>
        </w:rPr>
        <w:t xml:space="preserve"> from the following scientific sources: </w:t>
      </w:r>
      <w:r>
        <w:rPr>
          <w:rFonts w:eastAsia="Times New Roman" w:cs="Times New Roman" w:ascii="Times New Roman" w:hAnsi="Times New Roman"/>
          <w:b w:val="false"/>
          <w:bCs w:val="false"/>
          <w:color w:val="1C1C1C"/>
          <w:position w:val="0"/>
          <w:sz w:val="24"/>
          <w:sz w:val="24"/>
          <w:szCs w:val="24"/>
          <w:vertAlign w:val="baseline"/>
          <w:lang w:val="en-US"/>
        </w:rPr>
        <w:t xml:space="preserve">G.melastomus </w:t>
      </w:r>
      <w:r>
        <w:rPr>
          <w:rFonts w:eastAsia="Times New Roman" w:cs="Times New Roman" w:ascii="Times New Roman" w:hAnsi="Times New Roman"/>
          <w:b w:val="false"/>
          <w:bCs w:val="false"/>
          <w:color w:val="1C1C1C"/>
          <w:position w:val="0"/>
          <w:sz w:val="24"/>
          <w:sz w:val="24"/>
          <w:szCs w:val="24"/>
          <w:vertAlign w:val="baseline"/>
          <w:lang w:val="en-US"/>
        </w:rPr>
        <w:t xml:space="preserve">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E. Encrasicolus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P. bogaraveo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1C1C1C"/>
          <w:position w:val="0"/>
          <w:sz w:val="24"/>
          <w:sz w:val="24"/>
          <w:szCs w:val="24"/>
          <w:vertAlign w:val="baseline"/>
          <w:lang w:val="en-US"/>
        </w:rPr>
        <w:t xml:space="preserve"> T. luscus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P. pollachius values follow</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N. norvegicus</w:t>
      </w:r>
      <w:r>
        <w:rPr>
          <w:rFonts w:eastAsia="Times New Roman" w:cs="Times New Roman" w:ascii="Times New Roman" w:hAnsi="Times New Roman"/>
          <w:b w:val="false"/>
          <w:bCs w:val="false"/>
          <w:color w:val="1C1C1C"/>
          <w:position w:val="0"/>
          <w:sz w:val="24"/>
          <w:sz w:val="24"/>
          <w:szCs w:val="24"/>
          <w:vertAlign w:val="baseline"/>
          <w:lang w:val="en-US"/>
        </w:rPr>
        <w:t xml:space="preserve"> FU25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and finally</w:t>
      </w:r>
      <w:r>
        <w:rPr>
          <w:rFonts w:eastAsia="Times New Roman" w:cs="Times New Roman" w:ascii="Times New Roman" w:hAnsi="Times New Roman"/>
          <w:b w:val="false"/>
          <w:bCs w:val="false"/>
          <w:color w:val="C9211E"/>
          <w:position w:val="0"/>
          <w:sz w:val="24"/>
          <w:sz w:val="24"/>
          <w:szCs w:val="24"/>
          <w:vertAlign w:val="baseline"/>
          <w:lang w:val="en-US"/>
        </w:rPr>
        <w:t xml:space="preserve"> </w:t>
      </w:r>
      <w:r>
        <w:rPr>
          <w:rFonts w:eastAsia="Times New Roman" w:cs="Times New Roman" w:ascii="Times New Roman" w:hAnsi="Times New Roman"/>
          <w:b w:val="false"/>
          <w:bCs w:val="false"/>
          <w:color w:val="1C1C1C"/>
          <w:position w:val="0"/>
          <w:sz w:val="24"/>
          <w:sz w:val="24"/>
          <w:szCs w:val="24"/>
          <w:vertAlign w:val="baseline"/>
          <w:lang w:val="en-US"/>
        </w:rPr>
        <w:t xml:space="preserve">N. norvegicus FU2627 values follow </w:t>
      </w:r>
      <w:r>
        <w:rPr>
          <w:rFonts w:eastAsia="Times New Roman" w:cs="Times New Roman" w:ascii="Times New Roman" w:hAnsi="Times New Roman"/>
          <w:b w:val="false"/>
          <w:bCs w:val="false"/>
          <w:color w:val="C9211E"/>
          <w:position w:val="0"/>
          <w:sz w:val="24"/>
          <w:sz w:val="24"/>
          <w:szCs w:val="24"/>
          <w:vertAlign w:val="baseline"/>
          <w:lang w:val="en-US"/>
        </w:rPr>
        <w:t xml:space="preserve">(please </w:t>
      </w:r>
      <w:r>
        <w:rPr>
          <w:rFonts w:eastAsia="Times New Roman" w:cs="Times New Roman" w:ascii="Times New Roman" w:hAnsi="Times New Roman"/>
          <w:b w:val="false"/>
          <w:bCs w:val="false"/>
          <w:color w:val="C9211E"/>
          <w:position w:val="0"/>
          <w:sz w:val="24"/>
          <w:sz w:val="24"/>
          <w:szCs w:val="24"/>
          <w:vertAlign w:val="baseline"/>
          <w:lang w:val="en-US"/>
        </w:rPr>
        <w:t>introduce the corresponding references and include them in the references section</w:t>
      </w:r>
      <w:r>
        <w:rPr>
          <w:rFonts w:eastAsia="Times New Roman" w:cs="Times New Roman" w:ascii="Times New Roman" w:hAnsi="Times New Roman"/>
          <w:b w:val="false"/>
          <w:bCs w:val="false"/>
          <w:color w:val="C9211E"/>
          <w:position w:val="0"/>
          <w:sz w:val="24"/>
          <w:sz w:val="24"/>
          <w:szCs w:val="24"/>
          <w:vertAlign w:val="baseline"/>
          <w:lang w:val="en-US"/>
        </w:rPr>
        <w:t>).</w:t>
      </w:r>
    </w:p>
    <w:p>
      <w:pPr>
        <w:pStyle w:val="Normal"/>
        <w:spacing w:lineRule="auto" w:line="480"/>
        <w:jc w:val="both"/>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US"/>
        </w:rPr>
        <w:t>Furthermore than the values of the life history parameters mentioned above, Table 3 also includes the value of the parameter BinWidth (width of length bins) of LBI method for all the stocks.</w:t>
      </w:r>
    </w:p>
    <w:tbl>
      <w:tblPr>
        <w:tblW w:w="8504" w:type="dxa"/>
        <w:jc w:val="left"/>
        <w:tblInd w:w="55" w:type="dxa"/>
        <w:tblLayout w:type="fixed"/>
        <w:tblCellMar>
          <w:top w:w="55" w:type="dxa"/>
          <w:left w:w="55" w:type="dxa"/>
          <w:bottom w:w="55" w:type="dxa"/>
          <w:right w:w="55" w:type="dxa"/>
        </w:tblCellMar>
      </w:tblPr>
      <w:tblGrid>
        <w:gridCol w:w="1213"/>
        <w:gridCol w:w="1216"/>
        <w:gridCol w:w="1215"/>
        <w:gridCol w:w="1215"/>
        <w:gridCol w:w="1216"/>
        <w:gridCol w:w="1215"/>
        <w:gridCol w:w="1214"/>
      </w:tblGrid>
      <w:tr>
        <w:trPr/>
        <w:tc>
          <w:tcPr>
            <w:tcW w:w="1213" w:type="dxa"/>
            <w:tcBorders>
              <w:top w:val="single" w:sz="2" w:space="0" w:color="000000"/>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Stock</w:t>
            </w:r>
          </w:p>
        </w:tc>
        <w:tc>
          <w:tcPr>
            <w:tcW w:w="1216" w:type="dxa"/>
            <w:tcBorders>
              <w:top w:val="single" w:sz="2" w:space="0" w:color="000000"/>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eastAsia="Liberation Serif" w:cs="Liberation Serif" w:ascii="Times New Roman" w:hAnsi="Times New Roman"/>
                <w:sz w:val="24"/>
                <w:szCs w:val="24"/>
                <w:vertAlign w:val="subscript"/>
              </w:rPr>
              <w:t>∞</w:t>
            </w:r>
            <w:r>
              <w:rPr>
                <w:rFonts w:eastAsia="Calibri" w:cs="" w:ascii="Times New Roman" w:hAnsi="Times New Roman"/>
                <w:sz w:val="24"/>
                <w:szCs w:val="24"/>
                <w:vertAlign w:val="superscript"/>
              </w:rPr>
              <w:t>LIT</w:t>
            </w:r>
          </w:p>
        </w:tc>
        <w:tc>
          <w:tcPr>
            <w:tcW w:w="1215" w:type="dxa"/>
            <w:tcBorders>
              <w:top w:val="single" w:sz="2" w:space="0" w:color="000000"/>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M/k</w:t>
            </w:r>
            <w:r>
              <w:rPr>
                <w:rFonts w:ascii="Times New Roman" w:hAnsi="Times New Roman"/>
                <w:sz w:val="24"/>
                <w:szCs w:val="24"/>
                <w:vertAlign w:val="superscript"/>
              </w:rPr>
              <w:t>LIT</w:t>
            </w:r>
          </w:p>
        </w:tc>
        <w:tc>
          <w:tcPr>
            <w:tcW w:w="1215" w:type="dxa"/>
            <w:tcBorders>
              <w:top w:val="single" w:sz="2" w:space="0" w:color="000000"/>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50</w:t>
            </w:r>
          </w:p>
        </w:tc>
        <w:tc>
          <w:tcPr>
            <w:tcW w:w="1216" w:type="dxa"/>
            <w:tcBorders>
              <w:top w:val="single" w:sz="2" w:space="0" w:color="000000"/>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95</w:t>
            </w:r>
          </w:p>
        </w:tc>
        <w:tc>
          <w:tcPr>
            <w:tcW w:w="1215" w:type="dxa"/>
            <w:tcBorders>
              <w:top w:val="single" w:sz="2" w:space="0" w:color="000000"/>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a; b</w:t>
            </w:r>
          </w:p>
        </w:tc>
        <w:tc>
          <w:tcPr>
            <w:tcW w:w="1214"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BinWidth</w:t>
            </w:r>
          </w:p>
        </w:tc>
      </w:tr>
      <w:tr>
        <w:trPr/>
        <w:tc>
          <w:tcPr>
            <w:tcW w:w="1213" w:type="dxa"/>
            <w:tcBorders>
              <w:left w:val="single" w:sz="2" w:space="0" w:color="000000"/>
              <w:bottom w:val="single" w:sz="2" w:space="0" w:color="000000"/>
            </w:tcBorders>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Males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86mm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25mm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28.75mm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FU25 </w:t>
            </w:r>
            <w:r>
              <w:rPr>
                <w:rFonts w:ascii="Times New Roman" w:hAnsi="Times New Roman"/>
                <w:color w:val="00000A"/>
                <w:sz w:val="24"/>
                <w:szCs w:val="24"/>
              </w:rPr>
              <w:t>Females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71mm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Males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80mm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28mm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32.2mm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 xml:space="preserve">N. norvegicus FU2627 </w:t>
            </w:r>
            <w:r>
              <w:rPr>
                <w:rFonts w:ascii="Times New Roman" w:hAnsi="Times New Roman"/>
                <w:color w:val="00000A"/>
                <w:sz w:val="24"/>
                <w:szCs w:val="24"/>
              </w:rPr>
              <w:t>Females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65mm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2.5</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26mm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29.9mm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G. melastomus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75cm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1.5</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54cm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58cm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E. encrasicolus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19.95cm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1.44</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11.2cm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13.3cm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1D1C1D"/>
                <w:sz w:val="24"/>
                <w:szCs w:val="24"/>
              </w:rPr>
              <w:t>P. bogaraveo</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62cm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1.42</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33cm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35cm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uppressAutoHyphens w:val="true"/>
              <w:bidi w:val="0"/>
              <w:spacing w:lineRule="auto" w:line="276" w:before="0" w:after="200"/>
              <w:jc w:val="left"/>
              <w:rPr>
                <w:rFonts w:ascii="Times New Roman" w:hAnsi="Times New Roman"/>
                <w:sz w:val="24"/>
                <w:szCs w:val="24"/>
              </w:rPr>
            </w:pPr>
            <w:r>
              <w:rPr>
                <w:rFonts w:ascii="Times New Roman" w:hAnsi="Times New Roman"/>
                <w:color w:val="00000A"/>
                <w:sz w:val="24"/>
                <w:szCs w:val="24"/>
              </w:rPr>
              <w:t>T. luscus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46.7cm</w:t>
            </w:r>
          </w:p>
        </w:tc>
        <w:tc>
          <w:tcPr>
            <w:tcW w:w="1215" w:type="dxa"/>
            <w:tcBorders>
              <w:left w:val="single" w:sz="2" w:space="0" w:color="000000"/>
              <w:bottom w:val="single" w:sz="2" w:space="0" w:color="000000"/>
            </w:tcBorders>
          </w:tcPr>
          <w:p>
            <w:pPr>
              <w:pStyle w:val="Textopreformateado"/>
              <w:widowControl w:val="false"/>
              <w:spacing w:lineRule="auto" w:line="288" w:before="0" w:after="0"/>
              <w:ind w:left="0" w:right="0" w:hanging="0"/>
              <w:rPr>
                <w:rFonts w:ascii="Times New Roman" w:hAnsi="Times New Roman"/>
                <w:sz w:val="24"/>
                <w:szCs w:val="24"/>
              </w:rPr>
            </w:pPr>
            <w:bookmarkStart w:id="1" w:name="rstudio_console_output"/>
            <w:bookmarkEnd w:id="1"/>
            <w:r>
              <w:rPr>
                <w:rFonts w:ascii="Times New Roman" w:hAnsi="Times New Roman"/>
                <w:b w:val="false"/>
                <w:i w:val="false"/>
                <w:caps w:val="false"/>
                <w:smallCaps w:val="false"/>
                <w:color w:val="000000"/>
                <w:spacing w:val="0"/>
                <w:sz w:val="24"/>
                <w:szCs w:val="24"/>
              </w:rPr>
              <w:t>1.76</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19.2cm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21.43cm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r>
        <w:trPr/>
        <w:tc>
          <w:tcPr>
            <w:tcW w:w="1213" w:type="dxa"/>
            <w:tcBorders>
              <w:left w:val="single" w:sz="2" w:space="0" w:color="000000"/>
              <w:bottom w:val="single" w:sz="2" w:space="0" w:color="000000"/>
            </w:tcBorders>
          </w:tcPr>
          <w:p>
            <w:pPr>
              <w:pStyle w:val="Normal"/>
              <w:widowControl w:val="false"/>
              <w:spacing w:before="0" w:after="200"/>
              <w:jc w:val="left"/>
              <w:rPr>
                <w:rFonts w:ascii="Times New Roman" w:hAnsi="Times New Roman"/>
                <w:sz w:val="24"/>
                <w:szCs w:val="24"/>
              </w:rPr>
            </w:pPr>
            <w:r>
              <w:rPr>
                <w:rFonts w:ascii="Times New Roman" w:hAnsi="Times New Roman"/>
                <w:color w:val="1D1C1D"/>
                <w:sz w:val="24"/>
                <w:szCs w:val="24"/>
              </w:rPr>
              <w:t>P. pollachius</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98.2cm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1.65</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42.3cm</w:t>
            </w:r>
          </w:p>
        </w:tc>
        <w:tc>
          <w:tcPr>
            <w:tcW w:w="1216"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t>59cm</w:t>
            </w:r>
          </w:p>
        </w:tc>
        <w:tc>
          <w:tcPr>
            <w:tcW w:w="1215" w:type="dxa"/>
            <w:tcBorders>
              <w:left w:val="single" w:sz="2" w:space="0" w:color="000000"/>
              <w:bottom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c>
          <w:tcPr>
            <w:tcW w:w="1214" w:type="dxa"/>
            <w:tcBorders>
              <w:left w:val="single" w:sz="2" w:space="0" w:color="000000"/>
              <w:bottom w:val="single" w:sz="2" w:space="0" w:color="000000"/>
              <w:right w:val="single" w:sz="2" w:space="0" w:color="000000"/>
            </w:tcBorders>
          </w:tcPr>
          <w:p>
            <w:pPr>
              <w:pStyle w:val="Contenidodelatabla"/>
              <w:widowControl w:val="false"/>
              <w:spacing w:before="0" w:after="200"/>
              <w:rPr>
                <w:rFonts w:ascii="Times New Roman" w:hAnsi="Times New Roman"/>
                <w:sz w:val="24"/>
                <w:szCs w:val="24"/>
              </w:rPr>
            </w:pPr>
            <w:r>
              <w:rPr>
                <w:rFonts w:ascii="Times New Roman" w:hAnsi="Times New Roman"/>
                <w:sz w:val="24"/>
                <w:szCs w:val="24"/>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eastAsia="Times New Roman" w:cs="Times New Roman"/>
          <w:b w:val="false"/>
          <w:b w:val="false"/>
          <w:bCs w:val="false"/>
          <w:position w:val="0"/>
          <w:sz w:val="24"/>
          <w:sz w:val="24"/>
          <w:szCs w:val="24"/>
          <w:vertAlign w:val="baseline"/>
          <w:lang w:val="en-US"/>
        </w:rPr>
      </w:pPr>
      <w:r>
        <w:rPr>
          <w:rFonts w:eastAsia="Times New Roman" w:cs="Times New Roman" w:ascii="Times New Roman" w:hAnsi="Times New Roman"/>
          <w:b w:val="false"/>
          <w:bCs w:val="false"/>
          <w:position w:val="0"/>
          <w:sz w:val="24"/>
          <w:sz w:val="24"/>
          <w:szCs w:val="24"/>
          <w:vertAlign w:val="baseline"/>
          <w:lang w:val="en-US"/>
        </w:rPr>
        <w:t>Table 3:  V</w:t>
      </w:r>
      <w:r>
        <w:rPr>
          <w:rFonts w:eastAsia="Times New Roman" w:cs="Times New Roman" w:ascii="Times New Roman" w:hAnsi="Times New Roman"/>
          <w:b w:val="false"/>
          <w:bCs w:val="false"/>
          <w:color w:val="111111"/>
          <w:position w:val="0"/>
          <w:sz w:val="24"/>
          <w:sz w:val="24"/>
          <w:szCs w:val="24"/>
          <w:vertAlign w:val="baseline"/>
          <w:lang w:val="en-US"/>
        </w:rPr>
        <w:t>alues of the life history parameters (M/k, L</w:t>
      </w:r>
      <w:r>
        <w:rPr>
          <w:rFonts w:eastAsia="Liberation Serif" w:cs="Liberation Serif" w:ascii="Times New Roman" w:hAnsi="Times New Roman"/>
          <w:b w:val="false"/>
          <w:bCs w:val="false"/>
          <w:color w:val="111111"/>
          <w:sz w:val="24"/>
          <w:szCs w:val="24"/>
          <w:vertAlign w:val="subscript"/>
          <w:lang w:val="en-US"/>
        </w:rPr>
        <w:t>∞</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50</w:t>
      </w:r>
      <w:r>
        <w:rPr>
          <w:rFonts w:eastAsia="Liberation Serif" w:cs="Liberation Serif" w:ascii="Times New Roman" w:hAnsi="Times New Roman"/>
          <w:b w:val="false"/>
          <w:bCs w:val="false"/>
          <w:color w:val="111111"/>
          <w:position w:val="0"/>
          <w:sz w:val="24"/>
          <w:sz w:val="24"/>
          <w:szCs w:val="24"/>
          <w:vertAlign w:val="baseline"/>
          <w:lang w:val="en-US"/>
        </w:rPr>
        <w:t>, L</w:t>
      </w:r>
      <w:r>
        <w:rPr>
          <w:rFonts w:eastAsia="Liberation Serif" w:cs="Liberation Serif" w:ascii="Times New Roman" w:hAnsi="Times New Roman"/>
          <w:b w:val="false"/>
          <w:bCs w:val="false"/>
          <w:color w:val="111111"/>
          <w:sz w:val="24"/>
          <w:szCs w:val="24"/>
          <w:vertAlign w:val="subscript"/>
          <w:lang w:val="en-US"/>
        </w:rPr>
        <w:t>95</w:t>
      </w:r>
      <w:r>
        <w:rPr>
          <w:rFonts w:eastAsia="Liberation Serif" w:cs="Liberation Serif" w:ascii="Times New Roman" w:hAnsi="Times New Roman"/>
          <w:b w:val="false"/>
          <w:bCs w:val="false"/>
          <w:color w:val="111111"/>
          <w:position w:val="0"/>
          <w:sz w:val="24"/>
          <w:sz w:val="24"/>
          <w:szCs w:val="24"/>
          <w:vertAlign w:val="baseline"/>
          <w:lang w:val="en-US"/>
        </w:rPr>
        <w:t>, a and b</w:t>
      </w:r>
      <w:r>
        <w:rPr>
          <w:rFonts w:eastAsia="Times New Roman" w:cs="Times New Roman" w:ascii="Times New Roman" w:hAnsi="Times New Roman"/>
          <w:b w:val="false"/>
          <w:bCs w:val="false"/>
          <w:color w:val="111111"/>
          <w:position w:val="0"/>
          <w:sz w:val="24"/>
          <w:sz w:val="24"/>
          <w:szCs w:val="24"/>
          <w:vertAlign w:val="baseline"/>
          <w:lang w:val="en-US"/>
        </w:rPr>
        <w:t>) for each stock. In addition, the parameter BinWidth (width of length bins) of LBI method is also reported for all the stocks.</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b/>
          <w:bCs/>
        </w:rPr>
      </w:pPr>
      <w:r>
        <w:rPr>
          <w:rFonts w:eastAsia="Times New Roman" w:cs="Times New Roman" w:ascii="Times New Roman" w:hAnsi="Times New Roman"/>
          <w:b/>
          <w:bCs/>
          <w:position w:val="0"/>
          <w:sz w:val="28"/>
          <w:sz w:val="28"/>
          <w:szCs w:val="28"/>
          <w:vertAlign w:val="baseline"/>
          <w:lang w:val="en-US"/>
        </w:rPr>
        <w:t>LBI results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Firstly, the results derived from the analysis of LBI method has been summarized in 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xml:space="preserve"> focus on reporting for models 2-6 which conclusions  have been changed respect to the ones in the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xml:space="preserve">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According with the above explanation throughout this article we said that 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w:t>
      </w:r>
      <w:r>
        <w:rPr>
          <w:rFonts w:eastAsia="Times New Roman" w:cs="Times New Roman" w:ascii="Times New Roman" w:hAnsi="Times New Roman"/>
          <w:b w:val="false"/>
          <w:bCs w:val="false"/>
          <w:position w:val="0"/>
          <w:sz w:val="28"/>
          <w:sz w:val="28"/>
          <w:szCs w:val="28"/>
          <w:vertAlign w:val="baseline"/>
          <w:lang w:val="en-US"/>
        </w:rPr>
        <w:t>4</w:t>
      </w:r>
      <w:r>
        <w:rPr>
          <w:rFonts w:eastAsia="Times New Roman" w:cs="Times New Roman" w:ascii="Times New Roman" w:hAnsi="Times New Roman"/>
          <w:b w:val="false"/>
          <w:bCs w:val="false"/>
          <w:position w:val="0"/>
          <w:sz w:val="28"/>
          <w:sz w:val="28"/>
          <w:szCs w:val="28"/>
          <w:vertAlign w:val="baseline"/>
          <w:lang w:val="en-US"/>
        </w:rPr>
        <w:t xml:space="preserve"> and </w:t>
      </w:r>
      <w:r>
        <w:rPr>
          <w:rFonts w:eastAsia="Times New Roman" w:cs="Times New Roman" w:ascii="Times New Roman" w:hAnsi="Times New Roman"/>
          <w:b w:val="false"/>
          <w:bCs w:val="false"/>
          <w:position w:val="0"/>
          <w:sz w:val="28"/>
          <w:sz w:val="28"/>
          <w:szCs w:val="28"/>
          <w:vertAlign w:val="baseline"/>
          <w:lang w:val="en-US"/>
        </w:rPr>
        <w:t>5</w:t>
      </w:r>
      <w:r>
        <w:rPr>
          <w:rFonts w:eastAsia="Times New Roman" w:cs="Times New Roman" w:ascii="Times New Roman" w:hAnsi="Times New Roman"/>
          <w:b w:val="false"/>
          <w:bCs w:val="false"/>
          <w:position w:val="0"/>
          <w:sz w:val="28"/>
          <w:sz w:val="28"/>
          <w:szCs w:val="28"/>
          <w:vertAlign w:val="baseline"/>
          <w:lang w:val="en-US"/>
        </w:rPr>
        <w:t xml:space="preserve"> shows, as expected, that variation of the parameter </w:t>
      </w:r>
      <w:r>
        <w:rPr>
          <w:rFonts w:eastAsia="Calibri" w:cs="Times New Roman" w:ascii="Times New Roman" w:hAnsi="Times New Roman"/>
          <w:b w:val="false"/>
          <w:bCs w:val="false"/>
          <w:position w:val="0"/>
          <w:sz w:val="28"/>
          <w:sz w:val="28"/>
          <w:szCs w:val="28"/>
          <w:vertAlign w:val="baseline"/>
          <w:lang w:val="en-US"/>
        </w:rPr>
        <w:t>M/k leads to changes in the conclusions derived from the 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relates to the optimal yield, MSY and conservation of large individuals, respectively. 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of stock, since as we can see in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such value is 33%. Hence in for our stocks it seems clear that underestimation or overestimation of M/k has more effect on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Note that the percentages (of years for which the conclusion derived from the indicator is changes respect to model 1) in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After analyzing the sensitive of LBI to variations on M/k value, we focus now on the sensitivity of the method to 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conclusions derived from the 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4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5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2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18 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Changes in the conclusions derived from 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66% of the models whereas for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such value is 88% and 83%. Note that the percentages are close to each other, hence, for our stocks, it seems that underestimation or overestimation of 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or less the same effect on the conclusions derived from the four indicators. Note that 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the percentage (of years for which the conclusion derived from the indicator changes respect to model 1, Tables </w:t>
      </w:r>
      <w:r>
        <w:rPr>
          <w:rFonts w:eastAsia="Calibri" w:cs="Times New Roman" w:ascii="Times New Roman" w:hAnsi="Times New Roman"/>
          <w:b w:val="false"/>
          <w:bCs w:val="false"/>
          <w:color w:val="000000"/>
          <w:position w:val="0"/>
          <w:sz w:val="28"/>
          <w:sz w:val="28"/>
          <w:szCs w:val="28"/>
          <w:vertAlign w:val="baseline"/>
          <w:lang w:val="en-US"/>
        </w:rPr>
        <w:t>4</w:t>
      </w:r>
      <w:r>
        <w:rPr>
          <w:rFonts w:eastAsia="Calibri" w:cs="Times New Roman" w:ascii="Times New Roman" w:hAnsi="Times New Roman"/>
          <w:b w:val="false"/>
          <w:bCs w:val="false"/>
          <w:color w:val="000000"/>
          <w:position w:val="0"/>
          <w:sz w:val="28"/>
          <w:sz w:val="28"/>
          <w:szCs w:val="28"/>
          <w:vertAlign w:val="baseline"/>
          <w:lang w:val="en-US"/>
        </w:rPr>
        <w:t xml:space="preserve"> and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is above 50%. Finally, it is worth to mention that species T. Luscus is the unique species for which no changes in the conclusions have been detected in spite of 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
            <w:bookmarkEnd w:id="2"/>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w:t>
      </w:r>
      <w:r>
        <w:rPr>
          <w:rFonts w:ascii="Times New Roman" w:hAnsi="Times New Roman"/>
          <w:sz w:val="28"/>
          <w:szCs w:val="28"/>
        </w:rPr>
        <w:t>4</w:t>
      </w:r>
      <w:r>
        <w:rPr>
          <w:rFonts w:ascii="Times New Roman" w:hAnsi="Times New Roman"/>
          <w:sz w:val="28"/>
          <w:szCs w:val="28"/>
        </w:rPr>
        <w:t xml:space="preserve">: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w:t>
            </w:r>
            <w:r>
              <w:rPr>
                <w:rFonts w:eastAsia="Times New Roman" w:cs="Times New Roman" w:ascii="Times New Roman" w:hAnsi="Times New Roman"/>
                <w:b w:val="false"/>
                <w:bCs w:val="false"/>
                <w:position w:val="0"/>
                <w:sz w:val="24"/>
                <w:sz w:val="24"/>
                <w:szCs w:val="24"/>
                <w:vertAlign w:val="baseline"/>
                <w:lang w:val="en-US"/>
              </w:rPr>
              <w:t>∙</w:t>
            </w:r>
            <w:r>
              <w:rPr>
                <w:rFonts w:eastAsia="Calibri" w:cs="Times New Roman" w:ascii="Times New Roman" w:hAnsi="Times New Roman"/>
                <w:b w:val="false"/>
                <w:bCs w:val="false"/>
                <w:position w:val="0"/>
                <w:sz w:val="22"/>
                <w:sz w:val="22"/>
                <w:szCs w:val="22"/>
                <w:vertAlign w:val="baseline"/>
                <w:lang w:val="en-US"/>
              </w:rPr>
              <w:t>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3" w:name="__DdeLink__536_10146037881"/>
            <w:bookmarkEnd w:id="3"/>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w:t>
      </w:r>
      <w:r>
        <w:rPr>
          <w:rFonts w:ascii="Times New Roman" w:hAnsi="Times New Roman"/>
          <w:sz w:val="28"/>
          <w:szCs w:val="28"/>
        </w:rPr>
        <w:t>5</w:t>
      </w:r>
      <w:r>
        <w:rPr>
          <w:rFonts w:ascii="Times New Roman" w:hAnsi="Times New Roman"/>
          <w:sz w:val="28"/>
          <w:szCs w:val="28"/>
        </w:rPr>
        <w:t xml:space="preserve">: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b/>
          <w:bCs/>
        </w:rPr>
      </w:pPr>
      <w:r>
        <w:rPr>
          <w:rFonts w:eastAsia="Times New Roman" w:cs="Times New Roman" w:ascii="Times New Roman" w:hAnsi="Times New Roman"/>
          <w:b/>
          <w:bCs/>
          <w:position w:val="0"/>
          <w:sz w:val="28"/>
          <w:sz w:val="28"/>
          <w:szCs w:val="28"/>
          <w:vertAlign w:val="baseline"/>
          <w:lang w:val="en-US"/>
        </w:rPr>
        <w:t>LBSPR results</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The results of the sensitivity analysis carried out for LBSPR method has been summarized in Figures 1 and 2, which shows the SPR and F/M estimates of the LBSPR method with a smoother line for all the 6 parameter configurations in Table 2. Figure 1 reports such information for </w:t>
      </w:r>
    </w:p>
    <w:p>
      <w:pPr>
        <w:pStyle w:val="Normal"/>
        <w:spacing w:lineRule="auto" w:line="480" w:before="0" w:after="200"/>
        <w:jc w:val="both"/>
        <w:rPr/>
      </w:pP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color w:val="00000A"/>
          <w:sz w:val="28"/>
        </w:rPr>
        <w:t>norvegicus FU25 and FU2627 (Males and Females), whereas Figure 2 contains the information of the remaining species (G.melastomus, E.</w:t>
      </w:r>
      <w:r>
        <w:rPr>
          <w:rFonts w:ascii="TimesNewRomanPSMT" w:hAnsi="TimesNewRomanPSMT"/>
          <w:b w:val="false"/>
          <w:bCs w:val="false"/>
          <w:color w:val="00000A"/>
          <w:sz w:val="28"/>
        </w:rPr>
        <w:t xml:space="preserve">encrasicolus, P. bogaraveo, T. luscus, and P. Pollachius). </w:t>
      </w:r>
    </w:p>
    <w:p>
      <w:pPr>
        <w:pStyle w:val="Normal"/>
        <w:spacing w:lineRule="auto" w:line="480" w:before="0" w:after="200"/>
        <w:jc w:val="both"/>
        <w:rPr/>
      </w:pPr>
      <w:r>
        <w:rPr>
          <w:rFonts w:ascii="TimesNewRomanPSMT" w:hAnsi="TimesNewRomanPSMT"/>
          <w:b w:val="false"/>
          <w:bCs w:val="false"/>
          <w:color w:val="00000A"/>
          <w:sz w:val="28"/>
        </w:rPr>
        <w:t xml:space="preserve">Before proceeding to discuss the information contained in the plots, we must clarify some details about them. In Figure 1, for </w:t>
      </w:r>
      <w:r>
        <w:rPr>
          <w:rFonts w:eastAsia="Times New Roman" w:cs="Times New Roman" w:ascii="TimesNewRomanPSMT" w:hAnsi="TimesNewRomanPSMT"/>
          <w:b w:val="false"/>
          <w:bCs w:val="false"/>
          <w:color w:val="00000A"/>
          <w:position w:val="0"/>
          <w:sz w:val="28"/>
          <w:sz w:val="28"/>
          <w:szCs w:val="28"/>
          <w:vertAlign w:val="baseline"/>
          <w:lang w:val="en-US"/>
        </w:rPr>
        <w:t xml:space="preserve">N. </w:t>
      </w:r>
      <w:r>
        <w:rPr>
          <w:rFonts w:ascii="TimesNewRomanPSMT" w:hAnsi="TimesNewRomanPSMT"/>
          <w:b w:val="false"/>
          <w:bCs w:val="false"/>
          <w:color w:val="00000A"/>
          <w:sz w:val="28"/>
        </w:rPr>
        <w:t>norvegicus FU2627 Males the dark blue line (M/k=1.5) does not appear on the corresponding graph, since it overlaps with the red line (</w:t>
      </w:r>
      <w:r>
        <w:rPr>
          <w:rFonts w:eastAsia="Calibri" w:cs="Times New Roman" w:ascii="Times New Roman" w:hAnsi="Times New Roman"/>
          <w:b w:val="false"/>
          <w:bCs w:val="false"/>
          <w:color w:val="00000A"/>
          <w:position w:val="0"/>
          <w:sz w:val="28"/>
          <w:sz w:val="28"/>
          <w:szCs w:val="28"/>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LIT</w:t>
      </w:r>
      <w:r>
        <w:rPr>
          <w:rFonts w:eastAsia="Calibri" w:cs="Times New Roman" w:ascii="Times New Roman" w:hAnsi="Times New Roman"/>
          <w:b w:val="false"/>
          <w:bCs w:val="false"/>
          <w:color w:val="00000A"/>
          <w:position w:val="0"/>
          <w:sz w:val="28"/>
          <w:sz w:val="28"/>
          <w:szCs w:val="28"/>
          <w:vertAlign w:val="baseline"/>
          <w:lang w:val="en-US"/>
        </w:rPr>
        <w:t>=0.75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Calibri" w:cs="Times New Roman" w:ascii="Times New Roman" w:hAnsi="Times New Roman"/>
          <w:b w:val="false"/>
          <w:bCs w:val="false"/>
          <w:color w:val="00000A"/>
          <w:position w:val="0"/>
          <w:sz w:val="28"/>
          <w:sz w:val="28"/>
          <w:szCs w:val="28"/>
          <w:vertAlign w:val="baseline"/>
          <w:lang w:val="en-US"/>
        </w:rPr>
        <w:t xml:space="preserve">2=1.5). In Figure 2, for G. Melastomus the </w:t>
      </w:r>
      <w:r>
        <w:rPr>
          <w:rFonts w:eastAsia="Calibri" w:cs="Times New Roman" w:ascii="TimesNewRomanPSMT" w:hAnsi="TimesNewRomanPSMT"/>
          <w:b w:val="false"/>
          <w:bCs w:val="false"/>
          <w:color w:val="00000A"/>
          <w:position w:val="0"/>
          <w:sz w:val="28"/>
          <w:sz w:val="28"/>
          <w:szCs w:val="28"/>
          <w:vertAlign w:val="baseline"/>
          <w:lang w:val="en-US"/>
        </w:rPr>
        <w:t xml:space="preserve">dark blue line (M/k=1.5) is also missed, in this case it overlaps with the black line (reference model) since  </w:t>
      </w:r>
      <w:r>
        <w:rPr>
          <w:rFonts w:eastAsia="Calibri" w:cs="Times New Roman" w:ascii="Times New Roman" w:hAnsi="Times New Roman"/>
          <w:b w:val="false"/>
          <w:bCs w:val="false"/>
          <w:color w:val="00000A"/>
          <w:position w:val="0"/>
          <w:sz w:val="28"/>
          <w:sz w:val="28"/>
          <w:szCs w:val="28"/>
          <w:vertAlign w:val="baseline"/>
          <w:lang w:val="en-US"/>
        </w:rPr>
        <w:t>M/k</w:t>
      </w:r>
      <w:r>
        <w:rPr>
          <w:rFonts w:eastAsia="Calibri" w:cs="Times New Roman" w:ascii="Times New Roman" w:hAnsi="Times New Roman"/>
          <w:b w:val="false"/>
          <w:bCs w:val="false"/>
          <w:color w:val="00000A"/>
          <w:sz w:val="28"/>
          <w:szCs w:val="28"/>
          <w:vertAlign w:val="superscript"/>
          <w:lang w:val="en-US"/>
        </w:rPr>
        <w:t xml:space="preserve">LIT </w:t>
      </w:r>
      <w:r>
        <w:rPr>
          <w:rFonts w:eastAsia="Calibri" w:cs="Times New Roman" w:ascii="Times New Roman" w:hAnsi="Times New Roman"/>
          <w:b w:val="false"/>
          <w:bCs w:val="false"/>
          <w:color w:val="00000A"/>
          <w:position w:val="0"/>
          <w:sz w:val="28"/>
          <w:sz w:val="28"/>
          <w:szCs w:val="28"/>
          <w:vertAlign w:val="baseline"/>
          <w:lang w:val="en-US"/>
        </w:rPr>
        <w:t>is 1.5. Finally, for E.encrasicolus (Figure 2) we can observe that for the setting of overestimation of L</w:t>
      </w:r>
      <w:r>
        <w:rPr>
          <w:rFonts w:eastAsia="Liberation Serif" w:cs="Liberation Serif" w:ascii="Liberation Serif" w:hAnsi="Liberation Serif"/>
          <w:b w:val="false"/>
          <w:bCs w:val="false"/>
          <w:color w:val="00000A"/>
          <w:sz w:val="28"/>
          <w:szCs w:val="28"/>
          <w:vertAlign w:val="subscript"/>
          <w:lang w:val="en-US"/>
        </w:rPr>
        <w:t>∞</w:t>
      </w:r>
      <w:r>
        <w:rPr>
          <w:rFonts w:eastAsia="Liberation Serif" w:cs="Liberation Serif" w:ascii="Liberation Serif" w:hAnsi="Liberation Serif"/>
          <w:b w:val="false"/>
          <w:bCs w:val="false"/>
          <w:color w:val="00000A"/>
          <w:position w:val="0"/>
          <w:sz w:val="28"/>
          <w:sz w:val="28"/>
          <w:szCs w:val="28"/>
          <w:vertAlign w:val="baseline"/>
          <w:lang w:val="en-US"/>
        </w:rPr>
        <w:t xml:space="preserve"> one of the estimates of F/M is unexpected due to its high value (≈150).</w:t>
      </w:r>
    </w:p>
    <w:p>
      <w:pPr>
        <w:pStyle w:val="Normal"/>
        <w:spacing w:lineRule="auto" w:line="480" w:before="0" w:after="200"/>
        <w:jc w:val="both"/>
        <w:rPr/>
      </w:pPr>
      <w:r>
        <w:rPr>
          <w:rFonts w:ascii="TimesNewRomanPSMT" w:hAnsi="TimesNewRomanPSMT"/>
          <w:b w:val="false"/>
          <w:bCs w:val="false"/>
          <w:color w:val="00000A"/>
          <w:sz w:val="28"/>
        </w:rPr>
        <w:t>Figures 1 and 2 show that, as expected, the variation on parameters M/k</w:t>
      </w:r>
    </w:p>
    <w:p>
      <w:pPr>
        <w:pStyle w:val="Normal"/>
        <w:spacing w:lineRule="auto" w:line="480" w:before="0" w:after="200"/>
        <w:jc w:val="both"/>
        <w:rPr/>
      </w:pPr>
      <w:r>
        <w:rPr>
          <w:rFonts w:ascii="TimesNewRomanPSMT" w:hAnsi="TimesNewRomanPSMT"/>
          <w:b w:val="false"/>
          <w:bCs w:val="false"/>
          <w:color w:val="00000A"/>
          <w:sz w:val="28"/>
        </w:rPr>
        <w:t>and L</w:t>
      </w:r>
      <w:r>
        <w:rPr>
          <w:rFonts w:eastAsia="Liberation Serif" w:cs="Liberation Serif" w:ascii="Liberation Serif" w:hAnsi="Liberation Serif"/>
          <w:b w:val="false"/>
          <w:bCs w:val="false"/>
          <w:color w:val="00000A"/>
          <w:sz w:val="28"/>
          <w:vertAlign w:val="subscript"/>
        </w:rPr>
        <w:t>∞</w:t>
      </w:r>
      <w:r>
        <w:rPr>
          <w:rFonts w:ascii="TimesNewRomanPSMT" w:hAnsi="TimesNewRomanPSMT"/>
          <w:b w:val="false"/>
          <w:bCs w:val="false"/>
          <w:color w:val="00000A"/>
          <w:sz w:val="28"/>
        </w:rPr>
        <w:t xml:space="preserve"> leads to different conclusions about the stock state. </w:t>
      </w:r>
    </w:p>
    <w:p>
      <w:pPr>
        <w:pStyle w:val="Normal"/>
        <w:spacing w:lineRule="auto" w:line="480" w:before="0" w:after="200"/>
        <w:jc w:val="both"/>
        <w:rPr>
          <w:rFonts w:ascii="TimesNewRomanPSMT" w:hAnsi="TimesNewRomanPSMT"/>
          <w:b w:val="false"/>
          <w:b w:val="false"/>
          <w:bCs w:val="false"/>
          <w:color w:val="00000A"/>
          <w:sz w:val="28"/>
        </w:rPr>
      </w:pPr>
      <w:r>
        <w:rPr>
          <w:rFonts w:ascii="TimesNewRomanPSMT" w:hAnsi="TimesNewRomanPSMT"/>
          <w:b w:val="false"/>
          <w:bCs w:val="false"/>
          <w:color w:val="00000A"/>
          <w:sz w:val="28"/>
        </w:rPr>
      </w:r>
    </w:p>
    <w:p>
      <w:pPr>
        <w:pStyle w:val="Normal"/>
        <w:spacing w:lineRule="auto" w:line="480" w:before="0" w:after="200"/>
        <w:jc w:val="both"/>
        <w:rPr/>
      </w:pPr>
      <w:r>
        <w:rPr>
          <w:rFonts w:ascii="TimesNewRomanPSMT" w:hAnsi="TimesNewRomanPSMT"/>
          <w:b w:val="false"/>
          <w:bCs w:val="false"/>
          <w:color w:val="00000A"/>
          <w:sz w:val="28"/>
        </w:rPr>
        <w:t xml:space="preserve">In general, overestimation of </w:t>
      </w:r>
      <w:r>
        <w:rPr>
          <w:rFonts w:ascii="TimesNewRomanPSMT" w:hAnsi="TimesNewRomanPSMT"/>
          <w:sz w:val="28"/>
        </w:rPr>
        <w:t xml:space="preserve">M/k leads to a more optimistic perception of the state of stock, since as we can see in Figures 1 and 2 the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which lead to the opposite behavior in the F/M plot.</w:t>
      </w:r>
      <w:r>
        <w:rPr>
          <w:rFonts w:ascii="TimesNewRomanPSMT" w:hAnsi="TimesNewRomanPSMT"/>
          <w:sz w:val="28"/>
        </w:rPr>
        <w:t xml:space="preserve"> Whereas the opposite behavior is detected under underestimation of M/k  As in the LBI method, the conclusions for setting M/k=1.5 depend on whether M/k</w:t>
      </w:r>
      <w:r>
        <w:rPr>
          <w:rFonts w:ascii="TimesNewRomanPSMT" w:hAnsi="TimesNewRomanPSMT"/>
          <w:sz w:val="16"/>
          <w:vertAlign w:val="superscript"/>
        </w:rPr>
        <w:t>LIT</w:t>
      </w:r>
      <w:r>
        <w:rPr>
          <w:rFonts w:ascii="TimesNewRomanPSMT" w:hAnsi="TimesNewRomanPSMT"/>
          <w:sz w:val="16"/>
        </w:rPr>
        <w:t xml:space="preserve"> </w:t>
      </w:r>
      <w:r>
        <w:rPr>
          <w:rFonts w:ascii="TimesNewRomanPSMT" w:hAnsi="TimesNewRomanPSMT"/>
          <w:sz w:val="28"/>
        </w:rPr>
        <w:t xml:space="preserve">is less than or greater than 1.5 and therefore if we are in a particular case of underestimation or overestimation.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we can see that the conclusion is that the stock is collapsed with SPR estimates in the interval (0.10-0.15) or even below almost for all species (except P.pollachius,  N. Norvegicus FU2627 and  N. Norvegicus FU25 Females). Although the SPR estimates derived from the reference model for such species are larger the conclusion is the same. For the  P.pollachius the SPR estimates (in both settings) are above 0.15 but below 0.35 hence we conclude that the stock is not collapsed but below the MSY level. The same holds for  Norvegicus FU25 Females whereas for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N. Norvegicus FU2627 both settings lead to conclude that the stock in the last years is at MSY level. </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On the other hand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we can see that the conclusions for almost all the species (except T.luscus, N. Norvegicus FU2627 and </w:t>
      </w:r>
      <w:r>
        <w:rPr>
          <w:rFonts w:eastAsia="Times New Roman" w:cs="Times New Roman" w:ascii="Times New Roman" w:hAnsi="Times New Roman"/>
          <w:b w:val="false"/>
          <w:bCs w:val="false"/>
          <w:sz w:val="28"/>
          <w:szCs w:val="28"/>
          <w:vertAlign w:val="super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N. Norvegicus FU25 Females) are the same  as  the ones derived from the reference model in spite that the SPR estimates are larges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For  N. Norvegicus FU2627 in both settings the stock in the last years is above the MSY level.  For T.luscus we can see that overestimation of  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leads to conclude that the stock is not collapsed although below MSY level whereas the reference model concludes that the stock is collapsed. Finally, for N. Norvegicus  FU25 females the stock is at MSY level following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M/k</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whereas the reference model concludes that the stock is below the MSY level.</w:t>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rFonts w:ascii="Times New Roman" w:hAnsi="Times New Roman" w:eastAsia="Times New Roman" w:cs="Times New Roman"/>
          <w:position w:val="0"/>
          <w:sz w:val="28"/>
          <w:sz w:val="28"/>
          <w:szCs w:val="28"/>
          <w:vertAlign w:val="baseline"/>
          <w:lang w:val="en-US"/>
        </w:rPr>
      </w:pPr>
      <w:r>
        <w:rPr>
          <w:rFonts w:eastAsia="Times New Roman" w:cs="Times New Roman" w:ascii="Times New Roman" w:hAnsi="Times New Roman"/>
          <w:position w:val="0"/>
          <w:sz w:val="28"/>
          <w:sz w:val="28"/>
          <w:szCs w:val="28"/>
          <w:vertAlign w:val="baseline"/>
          <w:lang w:val="en-US"/>
        </w:rPr>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After analyzing the sensitive of LBSPR method to variations on M/k value, we focus now on the sensitivity of the method to variations on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value. Figures 1 and 2 show that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leads to a more optimistic perception of the state of stock, since t</w:t>
      </w:r>
      <w:r>
        <w:rPr>
          <w:rFonts w:eastAsia="Times New Roman" w:cs="Times New Roman" w:ascii="TimesNewRomanPSMT" w:hAnsi="TimesNewRomanPSMT"/>
          <w:b w:val="false"/>
          <w:bCs w:val="false"/>
          <w:position w:val="0"/>
          <w:sz w:val="28"/>
          <w:sz w:val="28"/>
          <w:szCs w:val="28"/>
          <w:vertAlign w:val="baseline"/>
          <w:lang w:val="en-US"/>
        </w:rPr>
        <w:t xml:space="preserve">he </w:t>
      </w:r>
      <w:r>
        <w:rPr>
          <w:rFonts w:eastAsia="Times New Roman" w:cs="Times New Roman" w:ascii="Times New Roman" w:hAnsi="Times New Roman"/>
          <w:b w:val="false"/>
          <w:bCs w:val="false"/>
          <w:position w:val="0"/>
          <w:sz w:val="28"/>
          <w:sz w:val="28"/>
          <w:szCs w:val="28"/>
          <w:vertAlign w:val="baseline"/>
          <w:lang w:val="en-US"/>
        </w:rPr>
        <w:t>smoother line of SPR estimates is always above to the corresponding one for the reference model. Whereas the opposite behavior is detected under underestimation of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More precisely, it is important to stand out that for all species (except T. Luscus)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sz w:val="28"/>
          <w:szCs w:val="28"/>
          <w:vertAlign w:val="subscript"/>
          <w:lang w:val="en-US"/>
        </w:rPr>
        <w:t xml:space="preserve"> </w:t>
      </w:r>
      <w:r>
        <w:rPr>
          <w:rFonts w:eastAsia="Times New Roman" w:cs="Times New Roman" w:ascii="Times New Roman" w:hAnsi="Times New Roman"/>
          <w:b w:val="false"/>
          <w:bCs w:val="false"/>
          <w:position w:val="0"/>
          <w:sz w:val="28"/>
          <w:sz w:val="28"/>
          <w:szCs w:val="28"/>
          <w:vertAlign w:val="baseline"/>
          <w:lang w:val="en-US"/>
        </w:rPr>
        <w:t>lead to conclude that the stock in the last years is above the upper limit of the MSY level (0.40) when for all species (except N. Norvegicus FU2627) such conclusion does not hold in the reference model for which the conclusion is that the stock is below the lower limit of MSY level (0.35). Note that for  N. Norvegicus FU2627 the conclusion above the state of the stock is the same as in the reference model however in the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we conclude that the stock is above the upper limit of the MSY level for almost all the years when in the reference model some of the years have values above the interval for which the stock is at MSY level. Note also that T. Luscus the conclusions derived from the reference model also differ from the ones reported in setting 0.75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since in the first one we conclude that the stock is collapsed whereas in the second one the SPR estimates are closed to the lower limit of the interval (0.35-0.40) for which the conclusion is that the stock is at MSY level.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Important changes in the conclusions about the state of the stock appears in the setting 1.25</w:t>
      </w:r>
      <w:r>
        <w:rPr>
          <w:rFonts w:eastAsia="Times New Roman" w:cs="Times New Roman" w:ascii="Times New Roman" w:hAnsi="Times New Roman"/>
          <w:b w:val="false"/>
          <w:bCs w:val="false"/>
          <w:position w:val="0"/>
          <w:sz w:val="24"/>
          <w:sz w:val="24"/>
          <w:szCs w:val="24"/>
          <w:vertAlign w:val="baseline"/>
          <w:lang w:val="en-US"/>
        </w:rPr>
        <w:t>∙</w:t>
      </w:r>
      <w:r>
        <w:rPr>
          <w:rFonts w:eastAsia="Times New Roman"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 xml:space="preserve">LIT </w:t>
      </w:r>
      <w:r>
        <w:rPr>
          <w:rFonts w:eastAsia="Times New Roman" w:cs="Times New Roman" w:ascii="Times New Roman" w:hAnsi="Times New Roman"/>
          <w:b w:val="false"/>
          <w:bCs w:val="false"/>
          <w:position w:val="0"/>
          <w:sz w:val="28"/>
          <w:sz w:val="28"/>
          <w:szCs w:val="28"/>
          <w:vertAlign w:val="baseline"/>
          <w:lang w:val="en-US"/>
        </w:rPr>
        <w:t xml:space="preserve">in relation to the ones reported by the reference model.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FU25, E. encrasicolus, P. bogaraveo, and P. Pollachius the setting  </w:t>
      </w:r>
      <w:r>
        <w:rPr>
          <w:rFonts w:eastAsia="Times New Roman" w:cs="Times New Roman" w:ascii="Times New Roman" w:hAnsi="Times New Roman"/>
          <w:b w:val="false"/>
          <w:bCs w:val="false"/>
          <w:color w:val="00000A"/>
          <w:position w:val="0"/>
          <w:sz w:val="28"/>
          <w:sz w:val="28"/>
          <w:szCs w:val="28"/>
          <w:vertAlign w:val="baseline"/>
          <w:lang w:val="en-US"/>
        </w:rPr>
        <w:t>1.25</w:t>
      </w:r>
      <w:r>
        <w:rPr>
          <w:rFonts w:eastAsia="Times New Roman" w:cs="Times New Roman" w:ascii="Times New Roman" w:hAnsi="Times New Roman"/>
          <w:b w:val="false"/>
          <w:bCs w:val="false"/>
          <w:color w:val="00000A"/>
          <w:position w:val="0"/>
          <w:sz w:val="24"/>
          <w:sz w:val="24"/>
          <w:szCs w:val="24"/>
          <w:vertAlign w:val="baseline"/>
          <w:lang w:val="en-US"/>
        </w:rPr>
        <w:t>∙</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LIT</w:t>
      </w:r>
      <w:r>
        <w:rPr>
          <w:rFonts w:eastAsia="Times New Roman" w:cs="Times New Roman" w:ascii="Times New Roman" w:hAnsi="Times New Roman"/>
          <w:b w:val="false"/>
          <w:bCs w:val="false"/>
          <w:color w:val="00000A"/>
          <w:position w:val="0"/>
          <w:sz w:val="28"/>
          <w:sz w:val="28"/>
          <w:szCs w:val="28"/>
          <w:vertAlign w:val="baseline"/>
          <w:lang w:val="en-US"/>
        </w:rPr>
        <w:t xml:space="preserve"> lead to conclude that the stock is collapsed when the estimates of SPR derived from the reference model in the last years are above to the upper limit of the interval (0.10-0.15). On the other hand for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G.melastomus and T. Luscus we can see that the reference model conclude that the stock is collapsed since the SPR estimates are in the interval (0.10-0.15) whereas the same conclusion is derived when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 xml:space="preserve">overestimated but the difference is that for this model the SPR estimates are below the lower limit for such interval. Finally, in the species  </w:t>
      </w:r>
      <w:r>
        <w:rPr>
          <w:rFonts w:eastAsia="Times New Roman" w:cs="Times New Roman" w:ascii="TimesNewRomanPSMT" w:hAnsi="TimesNewRomanPSMT"/>
          <w:b w:val="false"/>
          <w:bCs w:val="false"/>
          <w:color w:val="00000A"/>
          <w:position w:val="0"/>
          <w:sz w:val="28"/>
          <w:sz w:val="28"/>
          <w:szCs w:val="28"/>
          <w:vertAlign w:val="baseline"/>
          <w:lang w:val="en-US"/>
        </w:rPr>
        <w:t xml:space="preserve">N. norvegicus FU2627 the reference model leads to conclude that the stock is in a positive situation (in the last years) since the SPR estimates are above the upper limit of the interval (0.35-0.40) whereas the under overestimation of  </w:t>
      </w:r>
      <w:r>
        <w:rPr>
          <w:rFonts w:eastAsia="Times New Roman" w:cs="Times New Roman" w:ascii="Times New Roman" w:hAnsi="Times New Roman"/>
          <w:b w:val="false"/>
          <w:bCs w:val="false"/>
          <w:color w:val="00000A"/>
          <w:position w:val="0"/>
          <w:sz w:val="28"/>
          <w:sz w:val="28"/>
          <w:szCs w:val="28"/>
          <w:vertAlign w:val="baseline"/>
          <w:lang w:val="en-US"/>
        </w:rPr>
        <w:t>L</w:t>
      </w:r>
      <w:r>
        <w:rPr>
          <w:rFonts w:eastAsia="Times New Roman" w:cs="Times New Roman" w:ascii="Times New Roman" w:hAnsi="Times New Roman"/>
          <w:b w:val="false"/>
          <w:bCs w:val="false"/>
          <w:color w:val="00000A"/>
          <w:sz w:val="28"/>
          <w:szCs w:val="28"/>
          <w:vertAlign w:val="subscript"/>
          <w:lang w:val="en-US"/>
        </w:rPr>
        <w:t>∞</w:t>
      </w:r>
      <w:r>
        <w:rPr>
          <w:rFonts w:eastAsia="Times New Roman" w:cs="Times New Roman" w:ascii="Times New Roman" w:hAnsi="Times New Roman"/>
          <w:b w:val="false"/>
          <w:bCs w:val="false"/>
          <w:color w:val="00000A"/>
          <w:sz w:val="28"/>
          <w:szCs w:val="28"/>
          <w:vertAlign w:val="superscript"/>
          <w:lang w:val="en-US"/>
        </w:rPr>
        <w:t xml:space="preserve">LIT </w:t>
      </w:r>
      <w:r>
        <w:rPr>
          <w:rFonts w:eastAsia="Times New Roman" w:cs="Times New Roman" w:ascii="Times New Roman" w:hAnsi="Times New Roman"/>
          <w:b w:val="false"/>
          <w:bCs w:val="false"/>
          <w:color w:val="00000A"/>
          <w:position w:val="0"/>
          <w:sz w:val="28"/>
          <w:sz w:val="28"/>
          <w:szCs w:val="28"/>
          <w:vertAlign w:val="baseline"/>
          <w:lang w:val="en-US"/>
        </w:rPr>
        <w:t>the SPR estimates are below to 0.35 or in the corresponding interval.</w:t>
      </w:r>
    </w:p>
    <w:p>
      <w:pPr>
        <w:pStyle w:val="Normal"/>
        <w:spacing w:lineRule="auto" w:line="480" w:before="0" w:after="200"/>
        <w:jc w:val="both"/>
        <w:rPr>
          <w:b w:val="false"/>
          <w:b w:val="false"/>
          <w:bCs w:val="false"/>
        </w:rPr>
      </w:pPr>
      <w:r>
        <w:rPr>
          <w:rFonts w:eastAsia="Times New Roman" w:cs="Times New Roman" w:ascii="Times New Roman" w:hAnsi="Times New Roman"/>
          <w:b w:val="false"/>
          <w:bCs w:val="false"/>
          <w:color w:val="00000A"/>
          <w:position w:val="0"/>
          <w:sz w:val="28"/>
          <w:sz w:val="28"/>
          <w:szCs w:val="28"/>
          <w:vertAlign w:val="baseline"/>
          <w:lang w:val="en-US"/>
        </w:rPr>
        <w:t xml:space="preserve">The above comments/discussion indicate that although the </w:t>
      </w:r>
      <w:r>
        <w:rPr>
          <w:rFonts w:eastAsia="Times New Roman" w:cs="Times New Roman" w:ascii="TimesNewRomanPSMT" w:hAnsi="TimesNewRomanPSMT"/>
          <w:b w:val="false"/>
          <w:bCs w:val="false"/>
          <w:color w:val="00000A"/>
          <w:position w:val="0"/>
          <w:sz w:val="28"/>
          <w:sz w:val="28"/>
          <w:szCs w:val="28"/>
          <w:vertAlign w:val="baseline"/>
          <w:lang w:val="en-US"/>
        </w:rPr>
        <w:t>variation/misspecification</w:t>
      </w:r>
      <w:r>
        <w:rPr>
          <w:rFonts w:eastAsia="Times New Roman" w:cs="Times New Roman" w:ascii="Times New Roman" w:hAnsi="Times New Roman"/>
          <w:b w:val="false"/>
          <w:bCs w:val="false"/>
          <w:color w:val="00000A"/>
          <w:position w:val="0"/>
          <w:sz w:val="28"/>
          <w:sz w:val="28"/>
          <w:szCs w:val="28"/>
          <w:vertAlign w:val="baseline"/>
          <w:lang w:val="en-US"/>
        </w:rPr>
        <w:t xml:space="preserve"> of both parameters (M/k and L</w:t>
      </w:r>
      <w:r>
        <w:rPr>
          <w:rFonts w:eastAsia="Liberation Serif" w:cs="Liberation Serif" w:ascii="Liberation Serif" w:hAnsi="Liberation Serif"/>
          <w:b w:val="false"/>
          <w:bCs w:val="false"/>
          <w:color w:val="00000A"/>
          <w:sz w:val="28"/>
          <w:szCs w:val="28"/>
          <w:vertAlign w:val="subscript"/>
          <w:lang w:val="en-US"/>
        </w:rPr>
        <w:t>∞</w:t>
      </w:r>
      <w:r>
        <w:rPr>
          <w:rFonts w:eastAsia="Times New Roman" w:cs="Times New Roman" w:ascii="Times New Roman" w:hAnsi="Times New Roman"/>
          <w:b w:val="false"/>
          <w:bCs w:val="false"/>
          <w:color w:val="00000A"/>
          <w:position w:val="0"/>
          <w:sz w:val="28"/>
          <w:sz w:val="28"/>
          <w:szCs w:val="28"/>
          <w:vertAlign w:val="baseline"/>
          <w:lang w:val="en-US"/>
        </w:rPr>
        <w:t>) has an effect on the results of LBSPR method, this effect more important in the case of L</w:t>
      </w:r>
      <w:r>
        <w:rPr>
          <w:rFonts w:eastAsia="Liberation Serif" w:cs="Liberation Serif" w:ascii="Liberation Serif" w:hAnsi="Liberation Serif"/>
          <w:b w:val="false"/>
          <w:bCs w:val="false"/>
          <w:color w:val="00000A"/>
          <w:sz w:val="28"/>
          <w:szCs w:val="28"/>
          <w:vertAlign w:val="subscript"/>
          <w:lang w:val="en-US"/>
        </w:rPr>
        <w:t xml:space="preserve">∞ </w:t>
      </w:r>
      <w:r>
        <w:rPr>
          <w:rFonts w:eastAsia="Liberation Serif" w:cs="Liberation Serif" w:ascii="Liberation Serif" w:hAnsi="Liberation Serif"/>
          <w:b w:val="false"/>
          <w:bCs w:val="false"/>
          <w:color w:val="00000A"/>
          <w:position w:val="0"/>
          <w:sz w:val="28"/>
          <w:sz w:val="28"/>
          <w:szCs w:val="28"/>
          <w:vertAlign w:val="baseline"/>
          <w:lang w:val="en-US"/>
        </w:rPr>
        <w:t>we can conclude hence that this parameter is crucial.</w:t>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b w:val="false"/>
          <w:b w:val="false"/>
          <w:bCs w:val="false"/>
        </w:rPr>
      </w:pPr>
      <w:r>
        <w:rPr>
          <w:b w:val="false"/>
          <w:bCs w:val="false"/>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1: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NewRomanPSMT" w:hAnsi="TimesNewRomanPSMT"/>
          <w:color w:val="00000A"/>
          <w:sz w:val="28"/>
        </w:rPr>
        <w:t>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eastAsia="Times New Roman" w:cs="Times New Roman" w:ascii="Times New Roman" w:hAnsi="Times New Roman"/>
          <w:b w:val="false"/>
          <w:bCs w:val="false"/>
          <w:position w:val="0"/>
          <w:sz w:val="28"/>
          <w:sz w:val="28"/>
          <w:szCs w:val="28"/>
          <w:vertAlign w:val="baseline"/>
          <w:lang w:val="en-US"/>
        </w:rPr>
        <w:t>Figure 2: Plots of the SPR and F/M estimates of the LBSPR method with a smoother line derived from</w:t>
      </w:r>
      <w:r>
        <w:rPr>
          <w:rFonts w:eastAsia="Times New Roman" w:cs="Times New Roman" w:ascii="TimesNewRomanPSMT" w:hAnsi="TimesNewRomanPSMT"/>
          <w:b w:val="false"/>
          <w:bCs w:val="false"/>
          <w:color w:val="00000A"/>
          <w:position w:val="0"/>
          <w:sz w:val="28"/>
          <w:sz w:val="28"/>
          <w:szCs w:val="28"/>
          <w:vertAlign w:val="baseline"/>
          <w:lang w:val="en-US"/>
        </w:rPr>
        <w:t xml:space="preserve"> the sensitivity analysis carried out for </w:t>
      </w:r>
      <w:r>
        <w:rPr>
          <w:rFonts w:ascii="TimesNewRomanPSMT" w:hAnsi="TimesNewRomanPSMT"/>
          <w:color w:val="00000A"/>
          <w:sz w:val="28"/>
        </w:rPr>
        <w:t>LBSPR method applied to G.melastomus, E. encrasicolus, P. bogaraveo, T. luscus, and P. Pollachius. Horizontal dotted lines delimit the range where the stock is considered at MSY level, whereas horizontal dashed lines delimit the range where the stock is considered collapsed.</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TimesNewRomanPS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057247"/>
    </w:sdtPr>
    <w:sdtContent>
      <w:p>
        <w:pPr>
          <w:pStyle w:val="Piedepgina"/>
          <w:rPr/>
        </w:pPr>
        <w:r>
          <w:rPr/>
          <w:fldChar w:fldCharType="begin"/>
        </w:r>
        <w:r>
          <w:rPr/>
          <w:instrText> PAGE </w:instrText>
        </w:r>
        <w:r>
          <w:rPr/>
          <w:fldChar w:fldCharType="separate"/>
        </w:r>
        <w:r>
          <w:rPr/>
          <w:t>1</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Application>LibreOffice/7.0.3.1$Windows_X86_64 LibreOffice_project/d7547858d014d4cf69878db179d326fc3483e082</Application>
  <Pages>27</Pages>
  <Words>4816</Words>
  <Characters>25833</Characters>
  <CharactersWithSpaces>30290</CharactersWithSpaces>
  <Paragraphs>440</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2020-11-26T10:42:08Z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