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left"/>
        <w:rPr>
          <w:rFonts w:ascii="Times New Roman" w:hAnsi="Times New Roman"/>
          <w:sz w:val="28"/>
          <w:szCs w:val="28"/>
        </w:rPr>
      </w:pPr>
      <w:r>
        <w:rPr>
          <w:rFonts w:cs="Times New Roman" w:ascii="Times New Roman" w:hAnsi="Times New Roman"/>
          <w:b/>
          <w:sz w:val="28"/>
          <w:szCs w:val="28"/>
          <w:lang w:val="en-US"/>
        </w:rPr>
        <w:t xml:space="preserve"> </w:t>
      </w:r>
      <w:r>
        <w:rPr>
          <w:rFonts w:cs="Times New Roman" w:ascii="Times New Roman" w:hAnsi="Times New Roman"/>
          <w:b/>
          <w:sz w:val="28"/>
          <w:szCs w:val="28"/>
          <w:lang w:val="en-US"/>
        </w:rPr>
        <w:t>Assessing the sensitivity of length-indicator methods for resources in the Atlantic waters</w:t>
      </w:r>
    </w:p>
    <w:p>
      <w:pPr>
        <w:pStyle w:val="ListParagraph"/>
        <w:spacing w:lineRule="auto" w:line="480"/>
        <w:jc w:val="both"/>
        <w:rPr/>
      </w:pPr>
      <w:r>
        <w:rPr>
          <w:rFonts w:cs="Times New Roman" w:ascii="Times New Roman" w:hAnsi="Times New Roman"/>
          <w:sz w:val="28"/>
          <w:szCs w:val="28"/>
          <w:lang w:val="en-US"/>
        </w:rPr>
        <w:t>Authors</w:t>
      </w:r>
    </w:p>
    <w:p>
      <w:pPr>
        <w:pStyle w:val="ListParagraph"/>
        <w:spacing w:lineRule="auto" w:line="480"/>
        <w:jc w:val="both"/>
        <w:rPr>
          <w:rFonts w:ascii="Times New Roman" w:hAnsi="Times New Roman" w:cs="Times New Roman"/>
          <w:sz w:val="24"/>
          <w:szCs w:val="24"/>
          <w:lang w:val="en-US"/>
        </w:rPr>
      </w:pPr>
      <w:r>
        <w:rPr>
          <w:rFonts w:cs="Times New Roman" w:ascii="Times New Roman" w:hAnsi="Times New Roman"/>
          <w:sz w:val="28"/>
          <w:szCs w:val="28"/>
          <w:lang w:val="en-US"/>
        </w:rPr>
        <w:t>Affiliation</w:t>
      </w:r>
    </w:p>
    <w:p>
      <w:pPr>
        <w:pStyle w:val="ListParagraph"/>
        <w:spacing w:lineRule="auto" w:line="480"/>
        <w:jc w:val="both"/>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spacing w:lineRule="auto" w:line="480"/>
        <w:jc w:val="both"/>
        <w:rPr/>
      </w:pPr>
      <w:r>
        <w:rPr>
          <w:rFonts w:cs="Times New Roman" w:ascii="Times New Roman" w:hAnsi="Times New Roman"/>
          <w:b/>
          <w:sz w:val="28"/>
          <w:szCs w:val="28"/>
          <w:lang w:val="en-US"/>
        </w:rPr>
        <w:t>Abstract</w:t>
      </w:r>
    </w:p>
    <w:p>
      <w:pPr>
        <w:pStyle w:val="Normal"/>
        <w:spacing w:lineRule="auto" w:line="480"/>
        <w:jc w:val="both"/>
        <w:rPr>
          <w:rFonts w:ascii="Times New Roman" w:hAnsi="Times New Roman" w:cs="Times New Roman"/>
          <w:b/>
          <w:b/>
          <w:sz w:val="28"/>
          <w:szCs w:val="28"/>
          <w:lang w:val="en-US"/>
        </w:rPr>
      </w:pPr>
      <w:r>
        <w:rPr>
          <w:rFonts w:cs="Times New Roman" w:ascii="Times New Roman" w:hAnsi="Times New Roman"/>
          <w:b/>
          <w:color w:val="800000"/>
          <w:sz w:val="24"/>
          <w:szCs w:val="24"/>
          <w:lang w:val="en-US"/>
        </w:rPr>
        <w:t xml:space="preserve"> </w:t>
      </w:r>
      <w:r>
        <w:rPr>
          <w:rFonts w:cs="Times New Roman" w:ascii="Times New Roman" w:hAnsi="Times New Roman"/>
          <w:b/>
          <w:color w:val="800000"/>
          <w:sz w:val="24"/>
          <w:szCs w:val="24"/>
          <w:lang w:val="en-US"/>
        </w:rPr>
        <w:t>(Coming soon)</w:t>
      </w:r>
    </w:p>
    <w:p>
      <w:pPr>
        <w:pStyle w:val="Normal"/>
        <w:spacing w:lineRule="auto" w:line="480"/>
        <w:jc w:val="both"/>
        <w:rPr/>
      </w:pPr>
      <w:r>
        <w:rPr>
          <w:rFonts w:cs="Times New Roman" w:ascii="Times New Roman" w:hAnsi="Times New Roman"/>
          <w:b/>
          <w:sz w:val="28"/>
          <w:szCs w:val="28"/>
          <w:lang w:val="en-US"/>
        </w:rPr>
        <w:t xml:space="preserve">Keywords: </w:t>
      </w:r>
      <w:r>
        <w:rPr>
          <w:rFonts w:cs="Times New Roman" w:ascii="Times New Roman" w:hAnsi="Times New Roman"/>
          <w:b/>
          <w:color w:val="800000"/>
          <w:sz w:val="28"/>
          <w:szCs w:val="28"/>
          <w:lang w:val="en-US"/>
        </w:rPr>
        <w:t>(Coming soon)</w:t>
      </w:r>
    </w:p>
    <w:p>
      <w:pPr>
        <w:pStyle w:val="Normal"/>
        <w:spacing w:lineRule="auto" w:line="480"/>
        <w:jc w:val="both"/>
        <w:rPr/>
      </w:pPr>
      <w:r>
        <w:rPr>
          <w:rFonts w:cs="Times New Roman" w:ascii="Times New Roman" w:hAnsi="Times New Roman"/>
          <w:b/>
          <w:sz w:val="28"/>
          <w:szCs w:val="28"/>
          <w:lang w:val="en-US"/>
        </w:rPr>
        <w:t>Introduction</w:t>
      </w:r>
    </w:p>
    <w:p>
      <w:pPr>
        <w:pStyle w:val="Normal"/>
        <w:spacing w:lineRule="auto" w:line="480"/>
        <w:jc w:val="both"/>
        <w:rPr>
          <w:rFonts w:ascii="Times New Roman" w:hAnsi="Times New Roman" w:cs="Times New Roman"/>
          <w:b/>
          <w:b/>
          <w:sz w:val="28"/>
          <w:szCs w:val="28"/>
          <w:lang w:val="en-US"/>
        </w:rPr>
      </w:pPr>
      <w:r>
        <w:rPr>
          <w:rFonts w:cs="Times New Roman" w:ascii="Times New Roman" w:hAnsi="Times New Roman"/>
          <w:b/>
          <w:color w:val="800000"/>
          <w:sz w:val="28"/>
          <w:szCs w:val="28"/>
          <w:lang w:val="en-US"/>
        </w:rPr>
        <w:t>(Coming soon)</w:t>
      </w:r>
    </w:p>
    <w:p>
      <w:pPr>
        <w:pStyle w:val="Normal"/>
        <w:spacing w:lineRule="auto" w:line="480"/>
        <w:jc w:val="both"/>
        <w:rPr/>
      </w:pPr>
      <w:r>
        <w:rPr>
          <w:rFonts w:cs="Times New Roman" w:ascii="Times New Roman" w:hAnsi="Times New Roman"/>
          <w:b/>
          <w:sz w:val="28"/>
          <w:szCs w:val="28"/>
          <w:lang w:val="en-US"/>
        </w:rPr>
        <w:t>Material and Methods</w:t>
      </w:r>
    </w:p>
    <w:p>
      <w:pPr>
        <w:pStyle w:val="Normal"/>
        <w:spacing w:lineRule="auto" w:line="480"/>
        <w:jc w:val="both"/>
        <w:rPr>
          <w:rFonts w:ascii="Times New Roman" w:hAnsi="Times New Roman"/>
          <w:sz w:val="28"/>
          <w:szCs w:val="28"/>
        </w:rPr>
      </w:pPr>
      <w:r>
        <w:rPr>
          <w:rFonts w:cs="Times New Roman" w:ascii="Times New Roman" w:hAnsi="Times New Roman"/>
          <w:b/>
          <w:sz w:val="28"/>
          <w:szCs w:val="28"/>
          <w:lang w:val="en-US"/>
        </w:rPr>
        <w:t>Species data</w:t>
      </w:r>
    </w:p>
    <w:p>
      <w:pPr>
        <w:pStyle w:val="Normal"/>
        <w:spacing w:lineRule="auto" w:line="480"/>
        <w:jc w:val="both"/>
        <w:rPr>
          <w:rFonts w:ascii="Times New Roman" w:hAnsi="Times New Roman" w:cs="Times New Roman"/>
          <w:b/>
          <w:b/>
          <w:sz w:val="28"/>
          <w:szCs w:val="28"/>
          <w:lang w:val="en-US"/>
        </w:rPr>
      </w:pPr>
      <w:r>
        <w:rPr>
          <w:rFonts w:cs="Times New Roman" w:ascii="Times New Roman" w:hAnsi="Times New Roman"/>
          <w:b/>
          <w:sz w:val="28"/>
          <w:szCs w:val="28"/>
          <w:lang w:val="en-US"/>
        </w:rPr>
        <w:t xml:space="preserve"> </w:t>
      </w:r>
      <w:r>
        <w:rPr>
          <w:rFonts w:cs="Times New Roman" w:ascii="Times New Roman" w:hAnsi="Times New Roman"/>
          <w:b/>
          <w:color w:val="800000"/>
          <w:sz w:val="28"/>
          <w:szCs w:val="28"/>
          <w:lang w:val="en-US"/>
        </w:rPr>
        <w:t>(Coming soon)</w:t>
      </w:r>
    </w:p>
    <w:p>
      <w:pPr>
        <w:pStyle w:val="Normal"/>
        <w:spacing w:lineRule="auto" w:line="480"/>
        <w:jc w:val="both"/>
        <w:rPr/>
      </w:pPr>
      <w:r>
        <w:rPr>
          <w:rFonts w:cs="Times New Roman" w:ascii="Times New Roman" w:hAnsi="Times New Roman"/>
          <w:b/>
          <w:sz w:val="28"/>
          <w:szCs w:val="28"/>
          <w:lang w:val="en-US"/>
        </w:rPr>
        <w:t>Statistical analysis</w:t>
      </w:r>
    </w:p>
    <w:p>
      <w:pPr>
        <w:pStyle w:val="Normal"/>
        <w:spacing w:lineRule="auto" w:line="480"/>
        <w:jc w:val="both"/>
        <w:rPr/>
      </w:pPr>
      <w:r>
        <w:rPr>
          <w:rFonts w:cs="Times New Roman" w:ascii="Times New Roman" w:hAnsi="Times New Roman"/>
          <w:b w:val="false"/>
          <w:bCs w:val="false"/>
          <w:sz w:val="28"/>
          <w:szCs w:val="28"/>
          <w:lang w:val="en-US"/>
        </w:rPr>
        <w:t xml:space="preserve">One of the most difficult problems in fisheries is to assess the status of stocks that have insufficient data to conduct a conventional stock assessment, such stocks are known as data-poor or limited. Data-limited stock assessment models provide management advice for those </w:t>
      </w:r>
      <w:r>
        <w:rPr>
          <w:rFonts w:cs="Times New Roman" w:ascii="Times New Roman" w:hAnsi="Times New Roman"/>
          <w:sz w:val="28"/>
          <w:szCs w:val="28"/>
          <w:lang w:val="en-US"/>
        </w:rPr>
        <w:t>data-poor stocks. Numerous data-limited length-based methodologies have been developed since length-frequency data are often the primary data type collected since it is relatively inexpensive and straightforward to obtain. In this article, we focus on the application of two data-limited length-based methodologies: length based indicators (LBI;  developed by WKLIFE V, 2015, although it had been defined previously by Froese, 2004) and length-based spawning potential ratio (LBSPR; Hordyk et al., 2015a,b). LBI method consists on a set of length-based indicators selected for analyzing catch/landings–length composition and classify the stocks according to conservation/sustainability, yield optimization and MSY (maximum sustainable yield) considerations. On the other hand, LBSPR method is a length-based model that assesses stock status by comparing the spawning potential as measured through the length composition data to that expected in an unfished stock. A brief explanation of both methodologies is provided in the following sections.</w:t>
      </w:r>
    </w:p>
    <w:p>
      <w:pPr>
        <w:pStyle w:val="Normal"/>
        <w:spacing w:lineRule="auto" w:line="480"/>
        <w:jc w:val="both"/>
        <w:rPr/>
      </w:pPr>
      <w:r>
        <w:rPr>
          <w:rFonts w:cs="Times New Roman" w:ascii="Times New Roman" w:hAnsi="Times New Roman"/>
          <w:sz w:val="28"/>
          <w:szCs w:val="28"/>
          <w:lang w:val="en-US"/>
        </w:rPr>
        <w:t xml:space="preserve"> </w:t>
      </w:r>
      <w:r>
        <w:rPr>
          <w:rFonts w:cs="Times New Roman" w:ascii="Times New Roman" w:hAnsi="Times New Roman"/>
          <w:b/>
          <w:bCs/>
          <w:sz w:val="28"/>
          <w:szCs w:val="28"/>
          <w:lang w:val="en-US"/>
        </w:rPr>
        <w:t>LBI method</w:t>
      </w:r>
    </w:p>
    <w:p>
      <w:pPr>
        <w:pStyle w:val="Normal"/>
        <w:spacing w:lineRule="auto" w:line="480"/>
        <w:jc w:val="both"/>
        <w:rPr>
          <w:rFonts w:ascii="Times New Roman" w:hAnsi="Times New Roman"/>
          <w:sz w:val="28"/>
          <w:szCs w:val="28"/>
        </w:rPr>
      </w:pPr>
      <w:r>
        <w:rPr>
          <w:rFonts w:ascii="Times New Roman" w:hAnsi="Times New Roman"/>
          <w:sz w:val="28"/>
          <w:szCs w:val="28"/>
        </w:rPr>
        <w:t xml:space="preserve">Length-based indicators describe length frequencies of catch/landings and are compared to appropriate reference points related to conservation, optimal yield and length distribution relative to expectations under MSY assumptions. </w:t>
      </w:r>
    </w:p>
    <w:p>
      <w:pPr>
        <w:pStyle w:val="Normal"/>
        <w:spacing w:lineRule="auto" w:line="480"/>
        <w:jc w:val="both"/>
        <w:rPr/>
      </w:pPr>
      <w:r>
        <w:rPr>
          <w:rFonts w:ascii="Times New Roman" w:hAnsi="Times New Roman"/>
          <w:sz w:val="28"/>
          <w:szCs w:val="28"/>
        </w:rPr>
        <w:t>LBI method requires the following data: length at maturity (L</w:t>
      </w:r>
      <w:r>
        <w:rPr>
          <w:rFonts w:ascii="Times New Roman" w:hAnsi="Times New Roman"/>
          <w:sz w:val="28"/>
          <w:szCs w:val="28"/>
          <w:vertAlign w:val="subscript"/>
        </w:rPr>
        <w:t>mat</w:t>
      </w:r>
      <w:r>
        <w:rPr>
          <w:rFonts w:ascii="Times New Roman" w:hAnsi="Times New Roman"/>
          <w:sz w:val="28"/>
          <w:szCs w:val="28"/>
        </w:rPr>
        <w:t>), von Bertalanffy growth parameter (L</w:t>
      </w:r>
      <w:r>
        <w:rPr>
          <w:rFonts w:eastAsia="Times New Roman" w:cs="Times New Roman" w:ascii="Times New Roman" w:hAnsi="Times New Roman"/>
          <w:sz w:val="28"/>
          <w:szCs w:val="28"/>
          <w:vertAlign w:val="subscript"/>
        </w:rPr>
        <w:t>∞</w:t>
      </w:r>
      <w:r>
        <w:rPr>
          <w:rFonts w:ascii="Times New Roman" w:hAnsi="Times New Roman"/>
          <w:sz w:val="28"/>
          <w:szCs w:val="28"/>
        </w:rPr>
        <w:t>), ratio of natural mortality to von Bertalanffy growth rate (M/k), catch/landings at length per year, length–weight relationship parameters (a and b parameter in the equation W=aL</w:t>
      </w:r>
      <w:r>
        <w:rPr>
          <w:rFonts w:ascii="Times New Roman" w:hAnsi="Times New Roman"/>
          <w:sz w:val="28"/>
          <w:szCs w:val="28"/>
          <w:vertAlign w:val="superscript"/>
        </w:rPr>
        <w:t>b</w:t>
      </w:r>
      <w:r>
        <w:rPr>
          <w:rFonts w:ascii="Times New Roman" w:hAnsi="Times New Roman"/>
          <w:position w:val="0"/>
          <w:sz w:val="28"/>
          <w:sz w:val="28"/>
          <w:szCs w:val="28"/>
          <w:vertAlign w:val="baseline"/>
        </w:rPr>
        <w:t xml:space="preserve"> being W and L the corresponding weight and length, respectively</w:t>
      </w:r>
      <w:r>
        <w:rPr>
          <w:rFonts w:ascii="Times New Roman" w:hAnsi="Times New Roman"/>
          <w:sz w:val="28"/>
          <w:szCs w:val="28"/>
        </w:rPr>
        <w:t>). Instead of the values of parameters a and b  we can use the mean weights-at-length per year as an input in the model.</w:t>
      </w:r>
    </w:p>
    <w:p>
      <w:pPr>
        <w:pStyle w:val="Normal"/>
        <w:spacing w:lineRule="auto" w:line="480"/>
        <w:jc w:val="both"/>
        <w:rPr/>
      </w:pPr>
      <w:r>
        <w:rPr>
          <w:rFonts w:ascii="Times New Roman" w:hAnsi="Times New Roman"/>
          <w:sz w:val="28"/>
          <w:szCs w:val="28"/>
        </w:rPr>
        <w:t xml:space="preserve">Table 1 present the indicators, reference points, indicator ratios and their expected values. </w:t>
      </w:r>
    </w:p>
    <w:p>
      <w:pPr>
        <w:pStyle w:val="Normal"/>
        <w:spacing w:lineRule="auto" w:line="480"/>
        <w:jc w:val="both"/>
        <w:rPr/>
      </w:pPr>
      <w:r>
        <w:rPr>
          <w:rFonts w:ascii="Times New Roman" w:hAnsi="Times New Roman"/>
          <w:sz w:val="28"/>
          <w:szCs w:val="28"/>
        </w:rPr>
        <w:t>In Table 1 the indicators L</w:t>
      </w:r>
      <w:r>
        <w:rPr>
          <w:rFonts w:ascii="Times New Roman" w:hAnsi="Times New Roman"/>
          <w:sz w:val="28"/>
          <w:szCs w:val="28"/>
          <w:vertAlign w:val="subscript"/>
        </w:rPr>
        <w:t>95%</w:t>
      </w:r>
      <w:r>
        <w:rPr>
          <w:rFonts w:ascii="Times New Roman" w:hAnsi="Times New Roman"/>
          <w:sz w:val="28"/>
          <w:szCs w:val="28"/>
        </w:rPr>
        <w:t xml:space="preserve">  and L</w:t>
      </w:r>
      <w:r>
        <w:rPr>
          <w:rFonts w:ascii="Times New Roman" w:hAnsi="Times New Roman"/>
          <w:sz w:val="28"/>
          <w:szCs w:val="28"/>
          <w:vertAlign w:val="subscript"/>
        </w:rPr>
        <w:t>max5%</w:t>
      </w:r>
      <w:r>
        <w:rPr>
          <w:rFonts w:ascii="Times New Roman" w:hAnsi="Times New Roman"/>
          <w:sz w:val="28"/>
          <w:szCs w:val="28"/>
        </w:rPr>
        <w:t xml:space="preserve">   analyze the conservation of large individuals through the comparison of such indicators, which characterize the upper portion of the length frequency distribution, to the reference point L</w:t>
      </w:r>
      <w:r>
        <w:rPr>
          <w:rFonts w:ascii="Times New Roman" w:hAnsi="Times New Roman"/>
          <w:sz w:val="28"/>
          <w:szCs w:val="28"/>
          <w:vertAlign w:val="subscript"/>
        </w:rPr>
        <w:t>∞</w:t>
      </w:r>
      <w:r>
        <w:rPr>
          <w:rFonts w:ascii="Times New Roman" w:hAnsi="Times New Roman"/>
          <w:sz w:val="28"/>
          <w:szCs w:val="28"/>
        </w:rPr>
        <w:t>. The corresponding ratio provides information about the degree of truncation of the population length structure that may be caused by fishing, and is expected to be above 0.8, based on a simulation study carried out by Miethe and Dobby (2015).</w:t>
      </w:r>
    </w:p>
    <w:p>
      <w:pPr>
        <w:pStyle w:val="Normal"/>
        <w:spacing w:lineRule="auto" w:line="480"/>
        <w:jc w:val="both"/>
        <w:rPr/>
      </w:pPr>
      <w:r>
        <w:rPr>
          <w:rFonts w:ascii="Times New Roman" w:hAnsi="Times New Roman"/>
          <w:sz w:val="28"/>
          <w:szCs w:val="28"/>
        </w:rPr>
        <w:t>The indicator P</w:t>
      </w:r>
      <w:r>
        <w:rPr>
          <w:rFonts w:ascii="Times New Roman" w:hAnsi="Times New Roman"/>
          <w:sz w:val="28"/>
          <w:szCs w:val="28"/>
          <w:vertAlign w:val="subscript"/>
        </w:rPr>
        <w:t>mega</w:t>
      </w:r>
      <w:r>
        <w:rPr>
          <w:rFonts w:ascii="Times New Roman" w:hAnsi="Times New Roman"/>
          <w:sz w:val="28"/>
          <w:szCs w:val="28"/>
        </w:rPr>
        <w:t xml:space="preserve"> (Table 1) is the proportion of mega-spawners in the stock (fish larger than the optimum length plus 10%) and follows the idea summarized by Froese (2004) as “Let the mega-spawners live”.  Froese (2004) and ICES (2015) concluded that values above 0.3 correspond to health stocks.</w:t>
      </w:r>
    </w:p>
    <w:p>
      <w:pPr>
        <w:pStyle w:val="Normal"/>
        <w:spacing w:lineRule="auto" w:line="480"/>
        <w:jc w:val="both"/>
        <w:rPr/>
      </w:pPr>
      <w:r>
        <w:rPr>
          <w:rFonts w:ascii="Times New Roman" w:hAnsi="Times New Roman"/>
          <w:sz w:val="28"/>
          <w:szCs w:val="28"/>
        </w:rPr>
        <w:t>On the other hand, indicators L</w:t>
      </w:r>
      <w:r>
        <w:rPr>
          <w:rFonts w:ascii="Times New Roman" w:hAnsi="Times New Roman"/>
          <w:sz w:val="28"/>
          <w:szCs w:val="28"/>
          <w:vertAlign w:val="subscript"/>
        </w:rPr>
        <w:t>25%</w:t>
      </w:r>
      <w:r>
        <w:rPr>
          <w:rFonts w:ascii="Times New Roman" w:hAnsi="Times New Roman"/>
          <w:sz w:val="28"/>
          <w:szCs w:val="28"/>
        </w:rPr>
        <w:t xml:space="preserve"> and L</w:t>
      </w:r>
      <w:r>
        <w:rPr>
          <w:rFonts w:ascii="Times New Roman" w:hAnsi="Times New Roman"/>
          <w:sz w:val="28"/>
          <w:szCs w:val="28"/>
          <w:vertAlign w:val="subscript"/>
        </w:rPr>
        <w:t>c</w:t>
      </w:r>
      <w:r>
        <w:rPr>
          <w:rFonts w:ascii="Times New Roman" w:hAnsi="Times New Roman"/>
          <w:sz w:val="28"/>
          <w:szCs w:val="28"/>
        </w:rPr>
        <w:t xml:space="preserve"> relate to the conservation of immatures, and follow the principle “Let them spawn” (Froese, 2004). Hence, the the ratio of both indicators to the reference point  L</w:t>
      </w:r>
      <w:r>
        <w:rPr>
          <w:rFonts w:ascii="Times New Roman" w:hAnsi="Times New Roman"/>
          <w:sz w:val="28"/>
          <w:szCs w:val="28"/>
          <w:vertAlign w:val="subscript"/>
        </w:rPr>
        <w:t>mat</w:t>
      </w:r>
      <w:r>
        <w:rPr>
          <w:rFonts w:ascii="Times New Roman" w:hAnsi="Times New Roman"/>
          <w:sz w:val="28"/>
          <w:szCs w:val="28"/>
        </w:rPr>
        <w:t xml:space="preserve"> is expected to be greater than 1 (Table 1).</w:t>
      </w:r>
    </w:p>
    <w:p>
      <w:pPr>
        <w:pStyle w:val="Normal"/>
        <w:spacing w:lineRule="auto" w:line="480"/>
        <w:jc w:val="both"/>
        <w:rPr/>
      </w:pPr>
      <w:r>
        <w:rPr>
          <w:rFonts w:ascii="Times New Roman" w:hAnsi="Times New Roman"/>
          <w:sz w:val="28"/>
          <w:szCs w:val="28"/>
        </w:rPr>
        <w:t>Finally, in Table 1, we describe two indicator ratios (L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r>
        <w:rPr>
          <w:rFonts w:ascii="Times New Roman" w:hAnsi="Times New Roman"/>
          <w:position w:val="0"/>
          <w:sz w:val="28"/>
          <w:sz w:val="28"/>
          <w:szCs w:val="28"/>
          <w:vertAlign w:val="baseline"/>
        </w:rPr>
        <w:t xml:space="preserve"> and L</w:t>
      </w:r>
      <w:r>
        <w:rPr>
          <w:rFonts w:ascii="Times New Roman" w:hAnsi="Times New Roman"/>
          <w:sz w:val="28"/>
          <w:szCs w:val="28"/>
          <w:vertAlign w:val="subscript"/>
        </w:rPr>
        <w:t>maxy</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r>
        <w:rPr>
          <w:rFonts w:ascii="Times New Roman" w:hAnsi="Times New Roman"/>
          <w:sz w:val="28"/>
          <w:szCs w:val="28"/>
        </w:rPr>
        <w:t xml:space="preserve"> relate to the optimal yield which follow the principle “Let them grow” (Froese, 2004) and a ratio indicator (L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F=M)</w:t>
      </w:r>
      <w:r>
        <w:rPr>
          <w:rFonts w:ascii="Times New Roman" w:hAnsi="Times New Roman"/>
          <w:sz w:val="28"/>
          <w:szCs w:val="28"/>
        </w:rPr>
        <w:t xml:space="preserve"> focus on MSY considerations since its reference point is the length at which F=M and F=M is considered as proxy for MSY.</w:t>
      </w:r>
    </w:p>
    <w:tbl>
      <w:tblPr>
        <w:tblW w:w="8670" w:type="dxa"/>
        <w:jc w:val="left"/>
        <w:tblInd w:w="84" w:type="dxa"/>
        <w:tblLayout w:type="fixed"/>
        <w:tblCellMar>
          <w:top w:w="55" w:type="dxa"/>
          <w:left w:w="39" w:type="dxa"/>
          <w:bottom w:w="55" w:type="dxa"/>
          <w:right w:w="55" w:type="dxa"/>
        </w:tblCellMar>
      </w:tblPr>
      <w:tblGrid>
        <w:gridCol w:w="1140"/>
        <w:gridCol w:w="1526"/>
        <w:gridCol w:w="1636"/>
        <w:gridCol w:w="1532"/>
        <w:gridCol w:w="1199"/>
        <w:gridCol w:w="1636"/>
      </w:tblGrid>
      <w:tr>
        <w:trPr/>
        <w:tc>
          <w:tcPr>
            <w:tcW w:w="1140"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Indicator</w:t>
            </w:r>
          </w:p>
        </w:tc>
        <w:tc>
          <w:tcPr>
            <w:tcW w:w="1526"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Calculation</w:t>
            </w:r>
          </w:p>
        </w:tc>
        <w:tc>
          <w:tcPr>
            <w:tcW w:w="1636"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Reference</w:t>
            </w:r>
          </w:p>
        </w:tc>
        <w:tc>
          <w:tcPr>
            <w:tcW w:w="1532"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Indicator ratio</w:t>
            </w:r>
          </w:p>
        </w:tc>
        <w:tc>
          <w:tcPr>
            <w:tcW w:w="1199"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Expected value</w:t>
            </w:r>
          </w:p>
        </w:tc>
        <w:tc>
          <w:tcPr>
            <w:tcW w:w="1636" w:type="dxa"/>
            <w:tcBorders>
              <w:top w:val="single" w:sz="2" w:space="0" w:color="000001"/>
              <w:left w:val="single" w:sz="2" w:space="0" w:color="000001"/>
              <w:bottom w:val="single" w:sz="2" w:space="0" w:color="000001"/>
              <w:right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Property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bookmarkStart w:id="0" w:name="__DdeLink__703_494104677"/>
            <w:bookmarkEnd w:id="0"/>
            <w:r>
              <w:rPr>
                <w:rFonts w:ascii="Times New Roman" w:hAnsi="Times New Roman"/>
                <w:sz w:val="28"/>
                <w:szCs w:val="28"/>
              </w:rPr>
              <w:t>L</w:t>
            </w:r>
            <w:r>
              <w:rPr>
                <w:rFonts w:ascii="Times New Roman" w:hAnsi="Times New Roman"/>
                <w:sz w:val="28"/>
                <w:szCs w:val="28"/>
                <w:vertAlign w:val="subscript"/>
              </w:rPr>
              <w:t>max5%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Mean length of largest 5%</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eastAsia="Times New Roman" w:cs="Times New Roman" w:ascii="Times New Roman" w:hAnsi="Times New Roman"/>
                <w:sz w:val="28"/>
                <w:szCs w:val="28"/>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max5%</w:t>
            </w:r>
            <w:r>
              <w:rPr>
                <w:rFonts w:ascii="Times New Roman" w:hAnsi="Times New Roman"/>
                <w:position w:val="0"/>
                <w:sz w:val="28"/>
                <w:sz w:val="28"/>
                <w:szCs w:val="28"/>
                <w:vertAlign w:val="baseline"/>
              </w:rPr>
              <w:t>/L</w:t>
            </w:r>
            <w:r>
              <w:rPr>
                <w:rFonts w:eastAsia="Times New Roman" w:cs="Times New Roman" w:ascii="Times New Roman" w:hAnsi="Times New Roman"/>
                <w:sz w:val="28"/>
                <w:szCs w:val="28"/>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95%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95th percentile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eastAsia="Times New Roman" w:cs="Times New Roman" w:ascii="Times New Roman" w:hAnsi="Times New Roman"/>
                <w:sz w:val="28"/>
                <w:szCs w:val="28"/>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95%</w:t>
            </w:r>
            <w:r>
              <w:rPr>
                <w:rFonts w:ascii="Times New Roman" w:hAnsi="Times New Roman"/>
                <w:position w:val="0"/>
                <w:sz w:val="28"/>
                <w:sz w:val="28"/>
                <w:szCs w:val="28"/>
                <w:vertAlign w:val="baseline"/>
              </w:rPr>
              <w:t>/L</w:t>
            </w:r>
            <w:r>
              <w:rPr>
                <w:rFonts w:eastAsia="Times New Roman" w:cs="Times New Roman" w:ascii="Times New Roman" w:hAnsi="Times New Roman"/>
                <w:sz w:val="28"/>
                <w:szCs w:val="28"/>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(large individuals);CL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P</w:t>
            </w:r>
            <w:r>
              <w:rPr>
                <w:rFonts w:ascii="Times New Roman" w:hAnsi="Times New Roman"/>
                <w:sz w:val="28"/>
                <w:szCs w:val="28"/>
                <w:vertAlign w:val="subscript"/>
              </w:rPr>
              <w:t>mega</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Proportion of individuals above L</w:t>
            </w:r>
            <w:r>
              <w:rPr>
                <w:rFonts w:ascii="Times New Roman" w:hAnsi="Times New Roman"/>
                <w:sz w:val="28"/>
                <w:szCs w:val="28"/>
                <w:vertAlign w:val="subscript"/>
              </w:rPr>
              <w:t>opt</w:t>
            </w:r>
            <w:r>
              <w:rPr>
                <w:rFonts w:ascii="Times New Roman" w:hAnsi="Times New Roman"/>
                <w:sz w:val="28"/>
                <w:szCs w:val="28"/>
              </w:rPr>
              <w:t xml:space="preserve"> + 10%</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0.3-0.4</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P</w:t>
            </w:r>
            <w:r>
              <w:rPr>
                <w:rFonts w:ascii="Times New Roman" w:hAnsi="Times New Roman"/>
                <w:sz w:val="28"/>
                <w:szCs w:val="28"/>
                <w:vertAlign w:val="subscript"/>
              </w:rPr>
              <w:t>mega</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&gt;0.3</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25%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25th percentile of length distribution</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25%</w:t>
            </w:r>
            <w:r>
              <w:rPr>
                <w:rFonts w:ascii="Times New Roman" w:hAnsi="Times New Roman"/>
                <w:position w:val="0"/>
                <w:sz w:val="28"/>
                <w:sz w:val="28"/>
                <w:szCs w:val="28"/>
                <w:vertAlign w:val="baseline"/>
              </w:rPr>
              <w:t>/</w:t>
            </w:r>
            <w:r>
              <w:rPr>
                <w:rFonts w:ascii="Times New Roman" w:hAnsi="Times New Roman"/>
                <w:sz w:val="28"/>
                <w:szCs w:val="28"/>
              </w:rPr>
              <w:t>L</w:t>
            </w:r>
            <w:r>
              <w:rPr>
                <w:rFonts w:ascii="Times New Roman" w:hAnsi="Times New Roman"/>
                <w:sz w:val="28"/>
                <w:szCs w:val="28"/>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(immatures); 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c</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Length at first catch (length at 50% of mode)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L</w:t>
            </w:r>
            <w:r>
              <w:rPr>
                <w:rFonts w:ascii="Times New Roman" w:hAnsi="Times New Roman"/>
                <w:sz w:val="28"/>
                <w:szCs w:val="28"/>
                <w:vertAlign w:val="subscript"/>
              </w:rPr>
              <w:t>c</w:t>
            </w:r>
            <w:r>
              <w:rPr>
                <w:rFonts w:ascii="Times New Roman" w:hAnsi="Times New Roman"/>
                <w:position w:val="0"/>
                <w:sz w:val="28"/>
                <w:sz w:val="28"/>
                <w:szCs w:val="28"/>
                <w:vertAlign w:val="baseline"/>
              </w:rPr>
              <w:t>/L</w:t>
            </w:r>
            <w:r>
              <w:rPr>
                <w:rFonts w:ascii="Times New Roman" w:hAnsi="Times New Roman"/>
                <w:sz w:val="28"/>
                <w:szCs w:val="28"/>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(immatures);CI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Mean length of individuals &gt; L</w:t>
            </w:r>
            <w:r>
              <w:rPr>
                <w:rFonts w:ascii="Times New Roman" w:hAnsi="Times New Roman"/>
                <w:sz w:val="28"/>
                <w:szCs w:val="28"/>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opt</w:t>
            </w:r>
            <w:r>
              <w:rPr>
                <w:rFonts w:ascii="Times New Roman" w:hAnsi="Times New Roman"/>
                <w:sz w:val="28"/>
                <w:szCs w:val="28"/>
              </w:rPr>
              <w:t>=3L</w:t>
            </w:r>
            <w:r>
              <w:rPr>
                <w:rFonts w:eastAsia="Times New Roman" w:cs="Times New Roman" w:ascii="Times New Roman" w:hAnsi="Times New Roman"/>
                <w:sz w:val="28"/>
                <w:szCs w:val="28"/>
                <w:vertAlign w:val="subscript"/>
              </w:rPr>
              <w:t>∞</w:t>
            </w:r>
            <w:r>
              <w:rPr>
                <w:rFonts w:ascii="Times New Roman" w:hAnsi="Times New Roman"/>
                <w:sz w:val="28"/>
                <w:szCs w:val="28"/>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Times New Roman" w:cs="Times New Roman" w:ascii="Times New Roman" w:hAnsi="Times New Roman"/>
                <w:sz w:val="28"/>
                <w:szCs w:val="28"/>
              </w:rPr>
              <w:t>≈</w:t>
            </w:r>
            <w:r>
              <w:rPr>
                <w:rFonts w:eastAsia="Calibri" w:cs="" w:ascii="Times New Roman" w:hAnsi="Times New Roman"/>
                <w:sz w:val="28"/>
                <w:szCs w:val="28"/>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maxy</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Length class with maximum biomass in catch</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opt</w:t>
            </w:r>
            <w:r>
              <w:rPr>
                <w:rFonts w:ascii="Times New Roman" w:hAnsi="Times New Roman"/>
                <w:sz w:val="28"/>
                <w:szCs w:val="28"/>
              </w:rPr>
              <w:t>=3L</w:t>
            </w:r>
            <w:r>
              <w:rPr>
                <w:rFonts w:eastAsia="Times New Roman" w:cs="Times New Roman" w:ascii="Times New Roman" w:hAnsi="Times New Roman"/>
                <w:sz w:val="28"/>
                <w:szCs w:val="28"/>
                <w:vertAlign w:val="subscript"/>
              </w:rPr>
              <w:t>∞</w:t>
            </w:r>
            <w:r>
              <w:rPr>
                <w:rFonts w:ascii="Times New Roman" w:hAnsi="Times New Roman"/>
                <w:sz w:val="28"/>
                <w:szCs w:val="28"/>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maxy</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Times New Roman" w:cs="Times New Roman" w:ascii="Times New Roman" w:hAnsi="Times New Roman"/>
                <w:sz w:val="28"/>
                <w:szCs w:val="28"/>
              </w:rPr>
              <w:t>≈</w:t>
            </w:r>
            <w:r>
              <w:rPr>
                <w:rFonts w:eastAsia="Calibri" w:cs="" w:ascii="Times New Roman" w:hAnsi="Times New Roman"/>
                <w:sz w:val="28"/>
                <w:szCs w:val="28"/>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Mean length of individuals &gt; L</w:t>
            </w:r>
            <w:r>
              <w:rPr>
                <w:rFonts w:ascii="Times New Roman" w:hAnsi="Times New Roman"/>
                <w:sz w:val="28"/>
                <w:szCs w:val="28"/>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F=M</w:t>
            </w:r>
            <w:r>
              <w:rPr>
                <w:rFonts w:ascii="Times New Roman" w:hAnsi="Times New Roman"/>
                <w:position w:val="0"/>
                <w:sz w:val="28"/>
                <w:sz w:val="28"/>
                <w:szCs w:val="28"/>
                <w:vertAlign w:val="baseline"/>
              </w:rPr>
              <w:t>= (1-a)L</w:t>
            </w:r>
            <w:r>
              <w:rPr>
                <w:rFonts w:ascii="Times New Roman" w:hAnsi="Times New Roman"/>
                <w:sz w:val="28"/>
                <w:szCs w:val="28"/>
                <w:vertAlign w:val="subscript"/>
              </w:rPr>
              <w:t>c</w:t>
            </w:r>
            <w:r>
              <w:rPr>
                <w:rFonts w:ascii="Times New Roman" w:hAnsi="Times New Roman"/>
                <w:position w:val="0"/>
                <w:sz w:val="28"/>
                <w:sz w:val="28"/>
                <w:szCs w:val="28"/>
                <w:vertAlign w:val="baseline"/>
              </w:rPr>
              <w:t>+aL</w:t>
            </w:r>
            <w:r>
              <w:rPr>
                <w:rFonts w:eastAsia="Times New Roman" w:cs="Times New Roman" w:ascii="Times New Roman" w:hAnsi="Times New Roman"/>
                <w:sz w:val="28"/>
                <w:szCs w:val="28"/>
                <w:vertAlign w:val="subscript"/>
              </w:rPr>
              <w:t>∞</w:t>
            </w:r>
          </w:p>
          <w:p>
            <w:pPr>
              <w:pStyle w:val="Contenidodelatabla"/>
              <w:widowControl w:val="false"/>
              <w:spacing w:before="0" w:after="200"/>
              <w:rPr/>
            </w:pPr>
            <w:r>
              <w:rPr>
                <w:rFonts w:eastAsia="Calibri" w:cs="" w:ascii="Times New Roman" w:hAnsi="Times New Roman"/>
                <w:position w:val="0"/>
                <w:sz w:val="28"/>
                <w:sz w:val="28"/>
                <w:szCs w:val="28"/>
                <w:vertAlign w:val="baseline"/>
              </w:rPr>
              <w:t>a=1/((M/k)+1)</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F=M</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Times New Roman" w:cs="Times New Roman" w:ascii="Times New Roman" w:hAnsi="Times New Roman"/>
                <w:sz w:val="28"/>
                <w:szCs w:val="28"/>
              </w:rPr>
              <w:t>≈</w:t>
            </w:r>
            <w:r>
              <w:rPr>
                <w:rFonts w:eastAsia="Calibri" w:cs="" w:ascii="Times New Roman" w:hAnsi="Times New Roman"/>
                <w:sz w:val="28"/>
                <w:szCs w:val="28"/>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MSY</w:t>
            </w:r>
          </w:p>
        </w:tc>
      </w:tr>
    </w:tbl>
    <w:p>
      <w:pPr>
        <w:pStyle w:val="Normal"/>
        <w:spacing w:lineRule="auto" w:line="480"/>
        <w:jc w:val="both"/>
        <w:rPr>
          <w:rFonts w:eastAsia="Calibri" w:cs=""/>
        </w:rPr>
      </w:pPr>
      <w:r>
        <w:rPr>
          <w:rFonts w:eastAsia="Calibri" w:cs=""/>
        </w:rPr>
      </w:r>
    </w:p>
    <w:p>
      <w:pPr>
        <w:pStyle w:val="Normal"/>
        <w:spacing w:lineRule="auto" w:line="480"/>
        <w:jc w:val="both"/>
        <w:rPr/>
      </w:pPr>
      <w:r>
        <w:rPr>
          <w:rFonts w:eastAsia="Calibri" w:cs="" w:ascii="Times New Roman" w:hAnsi="Times New Roman"/>
          <w:sz w:val="28"/>
          <w:szCs w:val="28"/>
        </w:rPr>
        <w:t>Table 1: Summary of the length based indicators with the corresponding reference points, indicator ratios and expected values grouped in terms of conservation/sustainability, optimal yield and MSY considerations.</w:t>
      </w:r>
    </w:p>
    <w:p>
      <w:pPr>
        <w:pStyle w:val="Normal"/>
        <w:spacing w:lineRule="auto" w:line="480"/>
        <w:jc w:val="both"/>
        <w:rPr>
          <w:rFonts w:ascii="Times New Roman" w:hAnsi="Times New Roman"/>
          <w:sz w:val="28"/>
          <w:szCs w:val="28"/>
        </w:rPr>
      </w:pPr>
      <w:r>
        <w:rPr>
          <w:rFonts w:ascii="Times New Roman" w:hAnsi="Times New Roman"/>
          <w:sz w:val="28"/>
          <w:szCs w:val="28"/>
        </w:rPr>
        <w:t xml:space="preserve"> </w:t>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cs="Times New Roman"/>
          <w:lang w:val="en-US"/>
        </w:rPr>
      </w:pPr>
      <w:r>
        <w:rPr>
          <w:rFonts w:cs="Times New Roman"/>
          <w:lang w:val="en-US"/>
        </w:rPr>
      </w:r>
    </w:p>
    <w:p>
      <w:pPr>
        <w:pStyle w:val="Normal"/>
        <w:spacing w:lineRule="auto" w:line="480"/>
        <w:jc w:val="both"/>
        <w:rPr/>
      </w:pPr>
      <w:r>
        <w:rPr>
          <w:rFonts w:cs="Times New Roman" w:ascii="Times New Roman" w:hAnsi="Times New Roman"/>
          <w:b/>
          <w:bCs/>
          <w:sz w:val="28"/>
          <w:szCs w:val="28"/>
          <w:lang w:val="en-US"/>
        </w:rPr>
        <w:t>LBSPR method</w:t>
      </w:r>
    </w:p>
    <w:p>
      <w:pPr>
        <w:pStyle w:val="Normal"/>
        <w:spacing w:lineRule="auto" w:line="480"/>
        <w:jc w:val="both"/>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The original LBSPR model described by Hordyk et al. (2015a, b) is based on a conventional age-structured equilibrium population model. The method uses maximum likelihood methods to find the values of relative</w:t>
      </w:r>
    </w:p>
    <w:p>
      <w:pPr>
        <w:pStyle w:val="Normal"/>
        <w:spacing w:lineRule="auto" w:line="480"/>
        <w:jc w:val="both"/>
        <w:rPr>
          <w:rFonts w:ascii="Times New Roman" w:hAnsi="Times New Roman"/>
          <w:sz w:val="28"/>
          <w:szCs w:val="28"/>
        </w:rPr>
      </w:pPr>
      <w:r>
        <w:rPr>
          <w:rFonts w:cs="Times New Roman" w:ascii="Times New Roman" w:hAnsi="Times New Roman"/>
          <w:sz w:val="28"/>
          <w:szCs w:val="28"/>
          <w:lang w:val="en-US"/>
        </w:rPr>
        <w:t>fishing mortality (F/M) and selectivity-at-length that minimize the difference between the observed and the expected length composition</w:t>
      </w:r>
    </w:p>
    <w:p>
      <w:pPr>
        <w:pStyle w:val="Normal"/>
        <w:spacing w:lineRule="auto" w:line="480"/>
        <w:jc w:val="both"/>
        <w:rPr/>
      </w:pPr>
      <w:r>
        <w:rPr>
          <w:rFonts w:cs="Times New Roman" w:ascii="Times New Roman" w:hAnsi="Times New Roman"/>
          <w:sz w:val="28"/>
          <w:szCs w:val="28"/>
          <w:lang w:val="en-US"/>
        </w:rPr>
        <w:t>of the catch, and calculates the resulting SPR. An inconvenient of this model is that the selectivity is age-based not length-based, whereas, selectivity in fish is often length-dependent, which results in differential fishing mortality rates across fish of the same age; an effect known as “Lee’s Phenomenon” (Lee, 1912). The age-structured LBSPR model did not account for Lee’s Phenomenon, and is therefore expected to over-estimate fishing mortality when selectivity is length-dependent. For this reason in this article we consider an extension of such model proposed by Hordyk et al. (2016) which consists on a length-structured version of the LBSPR model that uses growth-type-groups (GTG) to account for length-based selectivity (known as GTG-LBSPR model).  Throughout the article we make a slight abuse of notation referring to such model simply as LBSPR. The LBSPR model uses length composition to estimate the spawning potential ratio (SPR) for data-limited stocks by developing a computationally efficient length-structured per recruit model that splits the population into a number of sub-cohorts, or growth-type-groups, to account for length-dependent fishing mortality rates.</w:t>
      </w:r>
    </w:p>
    <w:p>
      <w:pPr>
        <w:pStyle w:val="Normal"/>
        <w:spacing w:lineRule="auto" w:line="480"/>
        <w:jc w:val="both"/>
        <w:rPr/>
      </w:pPr>
      <w:r>
        <w:rPr>
          <w:rFonts w:cs="Times New Roman" w:ascii="Times New Roman" w:hAnsi="Times New Roman"/>
          <w:sz w:val="28"/>
          <w:szCs w:val="28"/>
          <w:lang w:val="en-US"/>
        </w:rPr>
        <w:t>The LBSPR model requires the following parameters: an estimate of the ratio M/k, L</w:t>
      </w:r>
      <w:r>
        <w:rPr>
          <w:rFonts w:eastAsia="Times New Roman" w:cs="Times New Roman" w:ascii="Times New Roman" w:hAnsi="Times New Roman"/>
          <w:sz w:val="28"/>
          <w:szCs w:val="28"/>
          <w:vertAlign w:val="subscript"/>
          <w:lang w:val="en-US"/>
        </w:rPr>
        <w:t>∞</w:t>
      </w:r>
      <w:r>
        <w:rPr>
          <w:rFonts w:cs="Times New Roman" w:ascii="Times New Roman" w:hAnsi="Times New Roman"/>
          <w:sz w:val="28"/>
          <w:szCs w:val="28"/>
          <w:lang w:val="en-US"/>
        </w:rPr>
        <w:t xml:space="preserve">, and knowledge of maturity-at-size </w:t>
      </w:r>
      <w:r>
        <w:rPr>
          <w:rFonts w:cs="Times New Roman" w:ascii="Times New Roman" w:hAnsi="Times New Roman"/>
          <w:sz w:val="28"/>
          <w:szCs w:val="28"/>
          <w:lang w:val="en-US"/>
        </w:rPr>
        <w:t>(L</w:t>
      </w:r>
      <w:r>
        <w:rPr>
          <w:rFonts w:cs="Times New Roman" w:ascii="Times New Roman" w:hAnsi="Times New Roman"/>
          <w:sz w:val="28"/>
          <w:szCs w:val="28"/>
          <w:vertAlign w:val="subscript"/>
          <w:lang w:val="en-US"/>
        </w:rPr>
        <w:t xml:space="preserve">50 </w:t>
      </w:r>
      <w:r>
        <w:rPr>
          <w:rFonts w:cs="Times New Roman" w:ascii="Times New Roman" w:hAnsi="Times New Roman"/>
          <w:position w:val="0"/>
          <w:sz w:val="28"/>
          <w:sz w:val="28"/>
          <w:szCs w:val="28"/>
          <w:vertAlign w:val="baseline"/>
          <w:lang w:val="en-US"/>
        </w:rPr>
        <w:t>and L</w:t>
      </w:r>
      <w:r>
        <w:rPr>
          <w:rFonts w:cs="Times New Roman" w:ascii="Times New Roman" w:hAnsi="Times New Roman"/>
          <w:sz w:val="28"/>
          <w:szCs w:val="28"/>
          <w:vertAlign w:val="subscript"/>
          <w:lang w:val="en-US"/>
        </w:rPr>
        <w:t>95,</w:t>
      </w:r>
      <w:r>
        <w:rPr>
          <w:rFonts w:cs="Times New Roman" w:ascii="Times New Roman" w:hAnsi="Times New Roman"/>
          <w:position w:val="0"/>
          <w:sz w:val="28"/>
          <w:sz w:val="28"/>
          <w:szCs w:val="28"/>
          <w:vertAlign w:val="baseline"/>
          <w:lang w:val="en-US"/>
        </w:rPr>
        <w:t>length at 50% and 95% of maturity, respectively)</w:t>
      </w:r>
      <w:r>
        <w:rPr>
          <w:rFonts w:cs="Times New Roman" w:ascii="Times New Roman" w:hAnsi="Times New Roman"/>
          <w:sz w:val="28"/>
          <w:szCs w:val="28"/>
          <w:lang w:val="en-US"/>
        </w:rPr>
        <w:t>, and uses data on the length composition of the catch to estimate the SPR.</w:t>
      </w:r>
    </w:p>
    <w:p>
      <w:pPr>
        <w:pStyle w:val="Normal"/>
        <w:spacing w:lineRule="auto" w:line="480"/>
        <w:jc w:val="both"/>
        <w:rPr>
          <w:rFonts w:ascii="Times New Roman" w:hAnsi="Times New Roman"/>
          <w:b/>
          <w:b/>
          <w:bCs/>
          <w:sz w:val="28"/>
          <w:szCs w:val="28"/>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Sensitivity analysis</w:t>
      </w:r>
    </w:p>
    <w:p>
      <w:pPr>
        <w:pStyle w:val="Normal"/>
        <w:spacing w:lineRule="auto" w:line="480"/>
        <w:jc w:val="both"/>
        <w:rPr/>
      </w:pPr>
      <w:r>
        <w:rPr>
          <w:rFonts w:cs="Times New Roman" w:ascii="Times New Roman" w:hAnsi="Times New Roman"/>
          <w:b/>
          <w:bCs/>
          <w:sz w:val="28"/>
          <w:szCs w:val="28"/>
          <w:lang w:val="en-US"/>
        </w:rPr>
        <w:t xml:space="preserve"> </w:t>
      </w:r>
      <w:r>
        <w:rPr>
          <w:rFonts w:cs="Times New Roman" w:ascii="Times New Roman" w:hAnsi="Times New Roman"/>
          <w:b w:val="false"/>
          <w:bCs w:val="false"/>
          <w:sz w:val="28"/>
          <w:szCs w:val="28"/>
          <w:lang w:val="en-US"/>
        </w:rPr>
        <w:t>ICES (2018) and Hordyk (2015b) pointed out the relevance of examining the sensitivity of the model to error in the input parameters, for LBI and  LBSPR methods, respectively. In both cases the accuracy of the model results depends on the precision of the life history parameters. The simulation study carried out by Hordyk (2015b) shows that the estimation model was considerably sensitive to the variation/misspecification of the parameters L</w:t>
      </w:r>
      <w:r>
        <w:rPr>
          <w:rFonts w:eastAsia="Times New Roman" w:cs="Times New Roman" w:ascii="Times New Roman" w:hAnsi="Times New Roman"/>
          <w:b w:val="false"/>
          <w:bCs w:val="false"/>
          <w:sz w:val="28"/>
          <w:szCs w:val="28"/>
          <w:vertAlign w:val="subscript"/>
          <w:lang w:val="en-US"/>
        </w:rPr>
        <w:t>∞</w:t>
      </w:r>
      <w:r>
        <w:rPr>
          <w:rFonts w:eastAsia="Calibri" w:cs="Times New Roman" w:ascii="Times New Roman" w:hAnsi="Times New Roman"/>
          <w:b w:val="false"/>
          <w:bCs w:val="false"/>
          <w:sz w:val="28"/>
          <w:szCs w:val="28"/>
          <w:vertAlign w:val="subscript"/>
          <w:lang w:val="en-US"/>
        </w:rPr>
        <w:t xml:space="preserve"> </w:t>
      </w:r>
      <w:r>
        <w:rPr>
          <w:rFonts w:eastAsia="Calibri" w:cs="Times New Roman" w:ascii="Times New Roman" w:hAnsi="Times New Roman"/>
          <w:b w:val="false"/>
          <w:bCs w:val="false"/>
          <w:position w:val="0"/>
          <w:sz w:val="28"/>
          <w:sz w:val="28"/>
          <w:szCs w:val="28"/>
          <w:vertAlign w:val="baseline"/>
          <w:lang w:val="en-US"/>
        </w:rPr>
        <w:t>and M/k. For this reason, sensitivity of the model results due to variation in such parameters has been evaluated for our real cases of study (names of the species). Firstly, the LBI and LB-SPR methods have been applied using the M/k and L</w:t>
      </w:r>
      <w:r>
        <w:rPr>
          <w:rFonts w:eastAsia="Times New Roman" w:cs="Times New Roman" w:ascii="Times New Roman" w:hAnsi="Times New Roman"/>
          <w:b w:val="false"/>
          <w:bCs w:val="false"/>
          <w:sz w:val="28"/>
          <w:szCs w:val="28"/>
          <w:vertAlign w:val="subscript"/>
          <w:lang w:val="en-US"/>
        </w:rPr>
        <w:t>∞</w:t>
      </w:r>
      <w:r>
        <w:rPr>
          <w:rFonts w:eastAsia="Calibri" w:cs="Times New Roman" w:ascii="Times New Roman" w:hAnsi="Times New Roman"/>
          <w:b w:val="false"/>
          <w:bCs w:val="false"/>
          <w:sz w:val="28"/>
          <w:szCs w:val="28"/>
          <w:vertAlign w:val="subscript"/>
          <w:lang w:val="en-US"/>
        </w:rPr>
        <w:t xml:space="preserve"> </w:t>
      </w:r>
      <w:r>
        <w:rPr>
          <w:rFonts w:eastAsia="Calibri" w:cs="Times New Roman" w:ascii="Times New Roman" w:hAnsi="Times New Roman"/>
          <w:b w:val="false"/>
          <w:bCs w:val="false"/>
          <w:position w:val="0"/>
          <w:sz w:val="28"/>
          <w:sz w:val="28"/>
          <w:szCs w:val="28"/>
          <w:vertAlign w:val="baseline"/>
          <w:lang w:val="en-US"/>
        </w:rPr>
        <w:t>values fixed by the researcher after a literature review and/or the analysis of other reliable information about the species. We refer to such values as M/k</w:t>
      </w:r>
      <w:r>
        <w:rPr>
          <w:rFonts w:eastAsia="Calibri" w:cs="Times New Roman" w:ascii="Times New Roman" w:hAnsi="Times New Roman"/>
          <w:b w:val="false"/>
          <w:bCs w:val="false"/>
          <w:sz w:val="28"/>
          <w:szCs w:val="28"/>
          <w:vertAlign w:val="superscript"/>
          <w:lang w:val="en-US"/>
        </w:rPr>
        <w:t xml:space="preserve">LIT </w:t>
      </w:r>
      <w:r>
        <w:rPr>
          <w:rFonts w:eastAsia="Calibri" w:cs="Times New Roman" w:ascii="Times New Roman" w:hAnsi="Times New Roman"/>
          <w:b w:val="false"/>
          <w:bCs w:val="false"/>
          <w:position w:val="0"/>
          <w:sz w:val="28"/>
          <w:sz w:val="28"/>
          <w:szCs w:val="28"/>
          <w:vertAlign w:val="baseline"/>
          <w:lang w:val="en-US"/>
        </w:rPr>
        <w:t>and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and to the corresponding model as reference model. Hence, to analyze the effect of underestimation and overestimation of these parameters the model is recalculated using a lower or upper bound of one of the two parameters instead of the reference value </w:t>
      </w: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r>
        <w:rPr>
          <w:rFonts w:eastAsia="Calibri" w:cs="Times New Roman" w:ascii="Times New Roman" w:hAnsi="Times New Roman"/>
          <w:b w:val="false"/>
          <w:bCs w:val="false"/>
          <w:position w:val="0"/>
          <w:sz w:val="28"/>
          <w:sz w:val="28"/>
          <w:szCs w:val="28"/>
          <w:vertAlign w:val="baseline"/>
          <w:lang w:val="en-US"/>
        </w:rPr>
        <w:t xml:space="preserve">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That is, we adjust the models summarized in Table 2.</w:t>
      </w:r>
    </w:p>
    <w:p>
      <w:pPr>
        <w:pStyle w:val="Normal"/>
        <w:spacing w:lineRule="auto" w:line="480"/>
        <w:jc w:val="both"/>
        <w:rPr>
          <w:rFonts w:ascii="Times New Roman" w:hAnsi="Times New Roman" w:eastAsia="Times New Roman" w:cs="Times New Roman"/>
          <w:b w:val="false"/>
          <w:b w:val="false"/>
          <w:bCs w:val="false"/>
          <w:position w:val="0"/>
          <w:sz w:val="28"/>
          <w:sz w:val="28"/>
          <w:vertAlign w:val="baseline"/>
          <w:lang w:val="en-US"/>
        </w:rPr>
      </w:pPr>
      <w:r>
        <w:rPr>
          <w:rFonts w:eastAsia="Times New Roman" w:cs="Times New Roman" w:ascii="Times New Roman" w:hAnsi="Times New Roman"/>
          <w:b w:val="false"/>
          <w:bCs w:val="false"/>
          <w:position w:val="0"/>
          <w:sz w:val="28"/>
          <w:sz w:val="28"/>
          <w:vertAlign w:val="baseline"/>
          <w:lang w:val="en-US"/>
        </w:rPr>
      </w:r>
    </w:p>
    <w:tbl>
      <w:tblPr>
        <w:tblW w:w="8504" w:type="dxa"/>
        <w:jc w:val="left"/>
        <w:tblInd w:w="84" w:type="dxa"/>
        <w:tblLayout w:type="fixed"/>
        <w:tblCellMar>
          <w:top w:w="55" w:type="dxa"/>
          <w:left w:w="39" w:type="dxa"/>
          <w:bottom w:w="55" w:type="dxa"/>
          <w:right w:w="55" w:type="dxa"/>
        </w:tblCellMar>
      </w:tblPr>
      <w:tblGrid>
        <w:gridCol w:w="2834"/>
        <w:gridCol w:w="2835"/>
        <w:gridCol w:w="2835"/>
      </w:tblGrid>
      <w:tr>
        <w:trPr/>
        <w:tc>
          <w:tcPr>
            <w:tcW w:w="2834"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Model</w:t>
            </w:r>
          </w:p>
        </w:tc>
        <w:tc>
          <w:tcPr>
            <w:tcW w:w="2835"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pPr>
            <w:r>
              <w:rPr>
                <w:rFonts w:eastAsia="Calibri" w:cs="" w:ascii="Times New Roman" w:hAnsi="Times New Roman"/>
                <w:position w:val="0"/>
                <w:sz w:val="28"/>
                <w:sz w:val="28"/>
                <w:szCs w:val="28"/>
                <w:vertAlign w:val="baseline"/>
              </w:rPr>
              <w:t>L</w:t>
            </w:r>
            <w:r>
              <w:rPr>
                <w:rFonts w:eastAsia="Calibri" w:cs="Calibri" w:ascii="Times New Roman" w:hAnsi="Times New Roman"/>
                <w:sz w:val="28"/>
                <w:szCs w:val="28"/>
                <w:vertAlign w:val="subscript"/>
              </w:rPr>
              <w:t>∞</w:t>
            </w:r>
            <w:r>
              <w:rPr>
                <w:rFonts w:eastAsia="Calibri" w:cs="" w:ascii="Times New Roman" w:hAnsi="Times New Roman"/>
                <w:sz w:val="28"/>
                <w:szCs w:val="28"/>
                <w:vertAlign w:val="subscript"/>
              </w:rPr>
              <w:t xml:space="preserve"> </w:t>
            </w:r>
            <w:r>
              <w:rPr>
                <w:rFonts w:eastAsia="Calibri" w:cs="" w:ascii="Times New Roman" w:hAnsi="Times New Roman"/>
                <w:position w:val="0"/>
                <w:sz w:val="28"/>
                <w:sz w:val="28"/>
                <w:szCs w:val="28"/>
                <w:vertAlign w:val="baseline"/>
              </w:rPr>
              <w:t>value</w:t>
            </w:r>
          </w:p>
        </w:tc>
        <w:tc>
          <w:tcPr>
            <w:tcW w:w="2835" w:type="dxa"/>
            <w:tcBorders>
              <w:top w:val="single" w:sz="2" w:space="0" w:color="000001"/>
              <w:left w:val="single" w:sz="2" w:space="0" w:color="000001"/>
              <w:bottom w:val="single" w:sz="2" w:space="0" w:color="000001"/>
              <w:right w:val="single" w:sz="2" w:space="0" w:color="000001"/>
            </w:tcBorders>
            <w:shd w:fill="B2B2B2"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 value</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1: Reference model</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2: Underestimated </w:t>
            </w:r>
            <w:r>
              <w:rPr>
                <w:rFonts w:eastAsia="Calibri" w:cs="Times New Roman" w:ascii="Times New Roman" w:hAnsi="Times New Roman"/>
                <w:b w:val="false"/>
                <w:bCs w:val="false"/>
                <w:position w:val="0"/>
                <w:sz w:val="28"/>
                <w:sz w:val="28"/>
                <w:szCs w:val="28"/>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0.75*M/k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3: Overestimated  </w:t>
            </w:r>
            <w:r>
              <w:rPr>
                <w:rFonts w:eastAsia="Calibri" w:cs="Times New Roman" w:ascii="Times New Roman" w:hAnsi="Times New Roman"/>
                <w:b w:val="false"/>
                <w:bCs w:val="false"/>
                <w:position w:val="0"/>
                <w:sz w:val="28"/>
                <w:sz w:val="28"/>
                <w:szCs w:val="28"/>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1.25*M/k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4: Underestimated </w:t>
            </w: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0.75*L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5: Overestimated  </w:t>
            </w: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1.25*L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Calibri" w:cs="Times New Roman" w:ascii="Times New Roman" w:hAnsi="Times New Roman"/>
                <w:b w:val="false"/>
                <w:bCs w:val="false"/>
                <w:position w:val="0"/>
                <w:sz w:val="28"/>
                <w:sz w:val="28"/>
                <w:szCs w:val="28"/>
                <w:vertAlign w:val="baseline"/>
                <w:lang w:val="en-US"/>
              </w:rPr>
              <w:t>6: M/k=1.5</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1.5</w:t>
            </w:r>
          </w:p>
        </w:tc>
      </w:tr>
    </w:tbl>
    <w:p>
      <w:pPr>
        <w:pStyle w:val="Normal"/>
        <w:spacing w:lineRule="auto" w:line="480"/>
        <w:jc w:val="both"/>
        <w:rPr>
          <w:rFonts w:ascii="Times New Roman" w:hAnsi="Times New Roman" w:eastAsia="Times New Roman" w:cs="Times New Roman"/>
          <w:b w:val="false"/>
          <w:b w:val="false"/>
          <w:bCs w:val="false"/>
          <w:position w:val="0"/>
          <w:sz w:val="28"/>
          <w:sz w:val="28"/>
          <w:vertAlign w:val="baseline"/>
          <w:lang w:val="en-US"/>
        </w:rPr>
      </w:pPr>
      <w:r>
        <w:rPr>
          <w:rFonts w:eastAsia="Times New Roman" w:cs="Times New Roman" w:ascii="Times New Roman" w:hAnsi="Times New Roman"/>
          <w:b w:val="false"/>
          <w:bCs w:val="false"/>
          <w:position w:val="0"/>
          <w:sz w:val="28"/>
          <w:sz w:val="28"/>
          <w:vertAlign w:val="baseline"/>
          <w:lang w:val="en-US"/>
        </w:rPr>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Table 2: Description of the 6 parameter configurations to understand the robustness and sensitivity of the LBI and LBSPR methods.</w:t>
      </w:r>
    </w:p>
    <w:p>
      <w:pPr>
        <w:pStyle w:val="Normal"/>
        <w:spacing w:lineRule="auto" w:line="480"/>
        <w:jc w:val="both"/>
        <w:rPr>
          <w:rFonts w:ascii="Times New Roman" w:hAnsi="Times New Roman"/>
          <w:b/>
          <w:b/>
          <w:bCs/>
          <w:sz w:val="28"/>
          <w:szCs w:val="28"/>
        </w:rPr>
      </w:pPr>
      <w:r>
        <w:rPr>
          <w:rFonts w:eastAsia="Times New Roman" w:cs="Times New Roman" w:ascii="Times New Roman" w:hAnsi="Times New Roman"/>
          <w:b w:val="false"/>
          <w:bCs w:val="false"/>
          <w:position w:val="0"/>
          <w:sz w:val="28"/>
          <w:sz w:val="28"/>
          <w:szCs w:val="28"/>
          <w:vertAlign w:val="baseline"/>
          <w:lang w:val="en-US"/>
        </w:rPr>
        <w:t xml:space="preserve">The upper and lower bounds of parameters </w:t>
      </w: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r>
        <w:rPr>
          <w:rFonts w:eastAsia="Calibri" w:cs="Times New Roman" w:ascii="Times New Roman" w:hAnsi="Times New Roman"/>
          <w:b w:val="false"/>
          <w:bCs w:val="false"/>
          <w:position w:val="0"/>
          <w:sz w:val="28"/>
          <w:sz w:val="28"/>
          <w:szCs w:val="28"/>
          <w:vertAlign w:val="baseline"/>
          <w:lang w:val="en-US"/>
        </w:rPr>
        <w:t xml:space="preserve">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in Table 2 follow the simulation study of Hordyk (2015b). Furthermore, we have also considered </w:t>
      </w:r>
      <w:r>
        <w:rPr>
          <w:rFonts w:eastAsia="Calibri" w:cs="Times New Roman" w:ascii="Times New Roman" w:hAnsi="Times New Roman"/>
          <w:b w:val="false"/>
          <w:bCs w:val="false"/>
          <w:position w:val="0"/>
          <w:sz w:val="28"/>
          <w:sz w:val="28"/>
          <w:szCs w:val="28"/>
          <w:vertAlign w:val="baseline"/>
          <w:lang w:val="en-US"/>
        </w:rPr>
        <w:t xml:space="preserve">M/k=1.5 since the results of Jensen (1996) suggest that an optimal value for M/k is 1.5. </w:t>
      </w:r>
    </w:p>
    <w:p>
      <w:pPr>
        <w:pStyle w:val="Normal"/>
        <w:spacing w:lineRule="auto" w:line="480"/>
        <w:jc w:val="both"/>
        <w:rPr/>
      </w:pPr>
      <w:r>
        <w:rPr>
          <w:rFonts w:eastAsia="Calibri" w:cs="Times New Roman" w:ascii="Times New Roman" w:hAnsi="Times New Roman"/>
          <w:b w:val="false"/>
          <w:bCs w:val="false"/>
          <w:position w:val="0"/>
          <w:sz w:val="28"/>
          <w:sz w:val="28"/>
          <w:szCs w:val="28"/>
          <w:vertAlign w:val="baseline"/>
          <w:lang w:val="en-US"/>
        </w:rPr>
        <w:t>After adjusting each of the 6 models described in Table 2 the results of  models 2-6 are compared with the results provided by the reference model analyzing in this way the effect of variability on the parameters M/k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 xml:space="preserve">. </w:t>
      </w:r>
    </w:p>
    <w:p>
      <w:pPr>
        <w:pStyle w:val="Normal"/>
        <w:spacing w:lineRule="auto" w:line="480"/>
        <w:jc w:val="both"/>
        <w:rPr/>
      </w:pPr>
      <w:r>
        <w:rPr>
          <w:rFonts w:eastAsia="Times New Roman" w:cs="Times New Roman" w:ascii="Times New Roman" w:hAnsi="Times New Roman"/>
          <w:b/>
          <w:bCs/>
          <w:position w:val="0"/>
          <w:sz w:val="28"/>
          <w:sz w:val="28"/>
          <w:szCs w:val="28"/>
          <w:vertAlign w:val="baseline"/>
          <w:lang w:val="en-US"/>
        </w:rPr>
        <w:t>Species data</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T</w:t>
      </w:r>
      <w:r>
        <w:rPr>
          <w:rFonts w:eastAsia="Times New Roman" w:cs="Times New Roman" w:ascii="Times New Roman" w:hAnsi="Times New Roman"/>
          <w:b w:val="false"/>
          <w:bCs w:val="false"/>
          <w:position w:val="0"/>
          <w:sz w:val="28"/>
          <w:sz w:val="28"/>
          <w:szCs w:val="28"/>
          <w:vertAlign w:val="baseline"/>
          <w:lang w:val="en-US"/>
        </w:rPr>
        <w:t xml:space="preserve">he species/stocks considered in the sensitive analysis of LBI and LBSPR methods described above are: G.melastomus, E. encrasicolus, P. bogaraveo, T. luscus, and  P. Pollachius., and N. norvegicus FU25 and FU2627 (Males and Females). The data of catch/landings at length per year for all species has been obtained from </w:t>
      </w:r>
      <w:r>
        <w:rPr>
          <w:rFonts w:eastAsia="Times New Roman" w:cs="Times New Roman" w:ascii="Times New Roman" w:hAnsi="Times New Roman"/>
          <w:b w:val="false"/>
          <w:bCs w:val="false"/>
          <w:color w:val="C9211E"/>
          <w:position w:val="0"/>
          <w:sz w:val="28"/>
          <w:sz w:val="28"/>
          <w:szCs w:val="28"/>
          <w:vertAlign w:val="baseline"/>
          <w:lang w:val="en-US"/>
        </w:rPr>
        <w:t xml:space="preserve">().  </w:t>
      </w:r>
      <w:r>
        <w:rPr>
          <w:rFonts w:eastAsia="Times New Roman" w:cs="Times New Roman" w:ascii="Times New Roman" w:hAnsi="Times New Roman"/>
          <w:b w:val="false"/>
          <w:bCs w:val="false"/>
          <w:color w:val="111111"/>
          <w:position w:val="0"/>
          <w:sz w:val="28"/>
          <w:sz w:val="28"/>
          <w:szCs w:val="28"/>
          <w:vertAlign w:val="baseline"/>
          <w:lang w:val="en-US"/>
        </w:rPr>
        <w:t>Table 5 reports the values of the life history parameters (</w:t>
      </w:r>
      <w:r>
        <w:rPr>
          <w:rFonts w:eastAsia="Times New Roman" w:cs="Times New Roman" w:ascii="Times New Roman" w:hAnsi="Times New Roman"/>
          <w:b w:val="false"/>
          <w:bCs w:val="false"/>
          <w:color w:val="111111"/>
          <w:position w:val="0"/>
          <w:sz w:val="28"/>
          <w:sz w:val="28"/>
          <w:szCs w:val="28"/>
          <w:vertAlign w:val="baseline"/>
          <w:lang w:val="en-US"/>
        </w:rPr>
        <w:t>M/k, L</w:t>
      </w:r>
      <w:r>
        <w:rPr>
          <w:rFonts w:eastAsia="Liberation Serif" w:cs="Liberation Serif" w:ascii="Liberation Serif" w:hAnsi="Liberation Serif"/>
          <w:b w:val="false"/>
          <w:bCs w:val="false"/>
          <w:color w:val="111111"/>
          <w:sz w:val="28"/>
          <w:szCs w:val="28"/>
          <w:vertAlign w:val="subscript"/>
          <w:lang w:val="en-US"/>
        </w:rPr>
        <w:t xml:space="preserve">∞, </w:t>
      </w:r>
      <w:r>
        <w:rPr>
          <w:rFonts w:eastAsia="Liberation Serif" w:cs="Liberation Serif" w:ascii="Liberation Serif" w:hAnsi="Liberation Serif"/>
          <w:b w:val="false"/>
          <w:bCs w:val="false"/>
          <w:color w:val="111111"/>
          <w:position w:val="0"/>
          <w:sz w:val="28"/>
          <w:sz w:val="28"/>
          <w:szCs w:val="28"/>
          <w:vertAlign w:val="baseline"/>
          <w:lang w:val="en-US"/>
        </w:rPr>
        <w:t>L</w:t>
      </w:r>
      <w:r>
        <w:rPr>
          <w:rFonts w:eastAsia="Liberation Serif" w:cs="Liberation Serif" w:ascii="Liberation Serif" w:hAnsi="Liberation Serif"/>
          <w:b w:val="false"/>
          <w:bCs w:val="false"/>
          <w:color w:val="111111"/>
          <w:sz w:val="28"/>
          <w:szCs w:val="28"/>
          <w:vertAlign w:val="subscript"/>
          <w:lang w:val="en-US"/>
        </w:rPr>
        <w:t xml:space="preserve">50 </w:t>
      </w:r>
      <w:r>
        <w:rPr>
          <w:rFonts w:eastAsia="Liberation Serif" w:cs="Liberation Serif" w:ascii="Liberation Serif" w:hAnsi="Liberation Serif"/>
          <w:b w:val="false"/>
          <w:bCs w:val="false"/>
          <w:color w:val="111111"/>
          <w:position w:val="0"/>
          <w:sz w:val="28"/>
          <w:sz w:val="28"/>
          <w:szCs w:val="28"/>
          <w:vertAlign w:val="baseline"/>
          <w:lang w:val="en-US"/>
        </w:rPr>
        <w:t>and L</w:t>
      </w:r>
      <w:r>
        <w:rPr>
          <w:rFonts w:eastAsia="Liberation Serif" w:cs="Liberation Serif" w:ascii="Liberation Serif" w:hAnsi="Liberation Serif"/>
          <w:b w:val="false"/>
          <w:bCs w:val="false"/>
          <w:color w:val="111111"/>
          <w:sz w:val="28"/>
          <w:szCs w:val="28"/>
          <w:vertAlign w:val="subscript"/>
          <w:lang w:val="en-US"/>
        </w:rPr>
        <w:t>95</w:t>
      </w:r>
      <w:r>
        <w:rPr>
          <w:rFonts w:eastAsia="Times New Roman" w:cs="Times New Roman" w:ascii="Times New Roman" w:hAnsi="Times New Roman"/>
          <w:b w:val="false"/>
          <w:bCs w:val="false"/>
          <w:color w:val="111111"/>
          <w:position w:val="0"/>
          <w:sz w:val="28"/>
          <w:sz w:val="28"/>
          <w:szCs w:val="28"/>
          <w:vertAlign w:val="baseline"/>
          <w:lang w:val="en-US"/>
        </w:rPr>
        <w:t xml:space="preserve">) of each stock. </w:t>
      </w:r>
      <w:r>
        <w:rPr>
          <w:rFonts w:eastAsia="Times New Roman" w:cs="Times New Roman" w:ascii="Times New Roman" w:hAnsi="Times New Roman"/>
          <w:b w:val="false"/>
          <w:bCs w:val="false"/>
          <w:color w:val="111111"/>
          <w:position w:val="0"/>
          <w:sz w:val="28"/>
          <w:sz w:val="28"/>
          <w:szCs w:val="28"/>
          <w:vertAlign w:val="baseline"/>
          <w:lang w:val="en-US"/>
        </w:rPr>
        <w:t xml:space="preserve">The life history paremeter values have been derived from the following scientific sources:  </w:t>
      </w:r>
      <w:r>
        <w:rPr>
          <w:rFonts w:eastAsia="Times New Roman" w:cs="Times New Roman" w:ascii="Times New Roman" w:hAnsi="Times New Roman"/>
          <w:b w:val="false"/>
          <w:bCs w:val="false"/>
          <w:color w:val="111111"/>
          <w:position w:val="0"/>
          <w:sz w:val="28"/>
          <w:sz w:val="28"/>
          <w:szCs w:val="28"/>
          <w:vertAlign w:val="baseline"/>
          <w:lang w:val="en-US"/>
        </w:rPr>
        <w:t xml:space="preserve">N. norvegicus FU25 </w:t>
      </w:r>
      <w:r>
        <w:rPr>
          <w:rFonts w:eastAsia="Times New Roman" w:cs="Times New Roman" w:ascii="Times New Roman" w:hAnsi="Times New Roman"/>
          <w:b w:val="false"/>
          <w:bCs w:val="false"/>
          <w:color w:val="111111"/>
          <w:position w:val="0"/>
          <w:sz w:val="28"/>
          <w:sz w:val="28"/>
          <w:szCs w:val="28"/>
          <w:vertAlign w:val="baseline"/>
          <w:lang w:val="en-US"/>
        </w:rPr>
        <w:t>follows</w:t>
      </w:r>
      <w:r>
        <w:rPr>
          <w:rFonts w:eastAsia="Times New Roman" w:cs="Times New Roman" w:ascii="Times New Roman" w:hAnsi="Times New Roman"/>
          <w:b w:val="false"/>
          <w:bCs w:val="false"/>
          <w:color w:val="FF0000"/>
          <w:position w:val="0"/>
          <w:sz w:val="28"/>
          <w:sz w:val="28"/>
          <w:szCs w:val="28"/>
          <w:vertAlign w:val="baseline"/>
          <w:lang w:val="en-US"/>
        </w:rPr>
        <w:t xml:space="preserve"> (referencias), ……., finally, </w:t>
      </w:r>
      <w:r>
        <w:rPr>
          <w:rFonts w:eastAsia="Times New Roman" w:cs="Times New Roman" w:ascii="Times New Roman" w:hAnsi="Times New Roman"/>
          <w:b w:val="false"/>
          <w:bCs w:val="false"/>
          <w:color w:val="FF0000"/>
          <w:position w:val="0"/>
          <w:sz w:val="28"/>
          <w:sz w:val="28"/>
          <w:szCs w:val="28"/>
          <w:vertAlign w:val="baseline"/>
          <w:lang w:val="en-US"/>
        </w:rPr>
        <w:t xml:space="preserve">P. Pollachius </w:t>
      </w:r>
      <w:r>
        <w:rPr>
          <w:rFonts w:eastAsia="Times New Roman" w:cs="Times New Roman" w:ascii="Times New Roman" w:hAnsi="Times New Roman"/>
          <w:b w:val="false"/>
          <w:bCs w:val="false"/>
          <w:color w:val="FF0000"/>
          <w:position w:val="0"/>
          <w:sz w:val="28"/>
          <w:sz w:val="28"/>
          <w:szCs w:val="28"/>
          <w:vertAlign w:val="baseline"/>
          <w:lang w:val="en-US"/>
        </w:rPr>
        <w:t xml:space="preserve">follows (referencias). </w:t>
      </w:r>
      <w:r>
        <w:rPr>
          <w:rFonts w:eastAsia="Times New Roman" w:cs="Times New Roman" w:ascii="Times New Roman" w:hAnsi="Times New Roman"/>
          <w:b w:val="false"/>
          <w:bCs w:val="false"/>
          <w:color w:val="FF0000"/>
          <w:position w:val="0"/>
          <w:sz w:val="28"/>
          <w:sz w:val="28"/>
          <w:szCs w:val="28"/>
          <w:vertAlign w:val="baseline"/>
          <w:lang w:val="en-US"/>
        </w:rPr>
        <w:t>Excepto las referentes a M porque este valor no es necesario.</w:t>
      </w:r>
    </w:p>
    <w:p>
      <w:pPr>
        <w:pStyle w:val="Normal"/>
        <w:spacing w:lineRule="auto" w:line="480"/>
        <w:jc w:val="both"/>
        <w:rPr>
          <w:rFonts w:ascii="Times New Roman" w:hAnsi="Times New Roman" w:eastAsia="Times New Roman" w:cs="Times New Roman"/>
          <w:b/>
          <w:b/>
          <w:bCs/>
          <w:position w:val="0"/>
          <w:sz w:val="22"/>
          <w:sz w:val="28"/>
          <w:szCs w:val="28"/>
          <w:vertAlign w:val="baseline"/>
          <w:lang w:val="en-US"/>
        </w:rPr>
      </w:pPr>
      <w:r>
        <w:rPr/>
      </w:r>
    </w:p>
    <w:p>
      <w:pPr>
        <w:pStyle w:val="Normal"/>
        <w:spacing w:lineRule="auto" w:line="480"/>
        <w:jc w:val="both"/>
        <w:rPr/>
      </w:pPr>
      <w:r>
        <w:rPr>
          <w:rFonts w:eastAsia="Times New Roman" w:cs="Times New Roman" w:ascii="Times New Roman" w:hAnsi="Times New Roman"/>
          <w:b/>
          <w:bCs w:val="false"/>
          <w:position w:val="0"/>
          <w:sz w:val="28"/>
          <w:sz w:val="28"/>
          <w:szCs w:val="28"/>
          <w:vertAlign w:val="baseline"/>
          <w:lang w:val="en-US"/>
        </w:rPr>
        <w:t>Results</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 xml:space="preserve">Throughout the current Section the results of the sensitivity analysis carried for LBI and LBSPR methods are summarized and commented. </w:t>
      </w:r>
    </w:p>
    <w:p>
      <w:pPr>
        <w:pStyle w:val="Normal"/>
        <w:spacing w:lineRule="auto" w:line="480"/>
        <w:jc w:val="both"/>
        <w:rPr>
          <w:b/>
          <w:b/>
          <w:bCs/>
        </w:rPr>
      </w:pPr>
      <w:r>
        <w:rPr>
          <w:rFonts w:eastAsia="Times New Roman" w:cs="Times New Roman" w:ascii="Times New Roman" w:hAnsi="Times New Roman"/>
          <w:b/>
          <w:bCs/>
          <w:position w:val="0"/>
          <w:sz w:val="28"/>
          <w:sz w:val="28"/>
          <w:szCs w:val="28"/>
          <w:vertAlign w:val="baseline"/>
          <w:lang w:val="en-US"/>
        </w:rPr>
        <w:t>LBI results</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Firstly, the results derived from the analysis of LBI method has been summarized in Tables 3 and 4. The first one consider the results of N. norvegicus FU25 and FU2627 (Males and Females), whereas the second one contains the information of the remaining species (G.melastomus, E. encrasicolus, P. bogaraveo, T. luscus, and  P. Pollachius).</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Tables 3 and 4 focus on reporting for models 2-6 which conclusions  have been changed respect to the ones in the reference model (model 1).</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More precisely, each row of Tables 3 and 4 reports the information of one of the 7 species addressed in this article, whereas each column reports the conclusions from model 2 to model 6 respect to model 1. The information in column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is the following:</w:t>
      </w:r>
    </w:p>
    <w:p>
      <w:pPr>
        <w:pStyle w:val="Normal"/>
        <w:numPr>
          <w:ilvl w:val="0"/>
          <w:numId w:val="2"/>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If the relation between an indicator ratio and the corresponding expected value in model 1 remains in model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for all years,</w:t>
      </w:r>
      <w:r>
        <w:rPr>
          <w:rFonts w:eastAsia="Times New Roman" w:cs="Times New Roman" w:ascii="Times New Roman" w:hAnsi="Times New Roman"/>
          <w:b w:val="false"/>
          <w:bCs w:val="false"/>
          <w:i/>
          <w:iCs/>
          <w:position w:val="0"/>
          <w:sz w:val="28"/>
          <w:sz w:val="28"/>
          <w:szCs w:val="28"/>
          <w:vertAlign w:val="baseline"/>
          <w:lang w:val="en-US"/>
        </w:rPr>
        <w:t xml:space="preserve"> </w:t>
      </w:r>
      <w:r>
        <w:rPr>
          <w:rFonts w:eastAsia="Times New Roman" w:cs="Times New Roman" w:ascii="Times New Roman" w:hAnsi="Times New Roman"/>
          <w:b w:val="false"/>
          <w:bCs w:val="false"/>
          <w:position w:val="0"/>
          <w:sz w:val="28"/>
          <w:sz w:val="28"/>
          <w:szCs w:val="28"/>
          <w:vertAlign w:val="baseline"/>
          <w:lang w:val="en-US"/>
        </w:rPr>
        <w:t xml:space="preserve">then such indicator ratio is not mentioned in column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w:t>
      </w:r>
    </w:p>
    <w:p>
      <w:pPr>
        <w:pStyle w:val="Normal"/>
        <w:numPr>
          <w:ilvl w:val="0"/>
          <w:numId w:val="2"/>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If an indicator ratio is below the corresponding expected value in model 1 whereas in model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the opposite result is obtained then such indicator ratio is typed in green in column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with the percentage of the years in which this change has occurred.</w:t>
      </w:r>
    </w:p>
    <w:p>
      <w:pPr>
        <w:pStyle w:val="Normal"/>
        <w:numPr>
          <w:ilvl w:val="0"/>
          <w:numId w:val="2"/>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Analogous to 2. , if an indicator ratio is above the corresponding expected value in model 1 whereas in model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the opposite result is obtained then such indicator ratio is typed in red in column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with the percentage of the years in which this change has been observed.</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According with the above explanation throughout this article we said that the conclusion derived from an indicator changes from one model to another when the value of such indicator in one model is above (below) the expected value whereas, for the other model, we obtain the opposite relation among both quantities. Minor changes in the indicator values (changes which do not lead to different conclusions) are not relevant in this study.</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 xml:space="preserve">Tables 3 and 4 shows, as expected, that variation of the parameter </w:t>
      </w:r>
      <w:r>
        <w:rPr>
          <w:rFonts w:eastAsia="Calibri" w:cs="Times New Roman" w:ascii="Times New Roman" w:hAnsi="Times New Roman"/>
          <w:b w:val="false"/>
          <w:bCs w:val="false"/>
          <w:position w:val="0"/>
          <w:sz w:val="28"/>
          <w:sz w:val="28"/>
          <w:szCs w:val="28"/>
          <w:vertAlign w:val="baseline"/>
          <w:lang w:val="en-US"/>
        </w:rPr>
        <w:t>M/k leads to changes in the conclusions derived from the indicator ratios</w:t>
      </w:r>
      <w:r>
        <w:rPr>
          <w:rFonts w:eastAsia="Calibri" w:cs="Times New Roman" w:ascii="Times New Roman" w:hAnsi="Times New Roman"/>
          <w:b w:val="false"/>
          <w:bCs w:val="false"/>
          <w:color w:val="000000"/>
          <w:position w:val="0"/>
          <w:sz w:val="28"/>
          <w:sz w:val="28"/>
          <w:szCs w:val="28"/>
          <w:vertAlign w:val="baseline"/>
          <w:lang w:val="en-US"/>
        </w:rPr>
        <w:t xml:space="preserve"> L</w:t>
      </w:r>
      <w:r>
        <w:rPr>
          <w:rFonts w:ascii="Times New Roman" w:hAnsi="Times New Roman"/>
          <w:b w:val="false"/>
          <w:bCs w:val="false"/>
          <w:color w:val="000000"/>
          <w:sz w:val="28"/>
          <w:szCs w:val="28"/>
          <w:vertAlign w:val="subscript"/>
        </w:rPr>
        <w:t>mean</w:t>
      </w:r>
      <w:r>
        <w:rPr>
          <w:rFonts w:ascii="Times New Roman" w:hAnsi="Times New Roman"/>
          <w:b w:val="false"/>
          <w:bCs w:val="false"/>
          <w:color w:val="000000"/>
          <w:sz w:val="28"/>
          <w:szCs w:val="28"/>
        </w:rPr>
        <w:t>/L</w:t>
      </w:r>
      <w:r>
        <w:rPr>
          <w:rFonts w:ascii="Times New Roman" w:hAnsi="Times New Roman"/>
          <w:b w:val="false"/>
          <w:bCs w:val="false"/>
          <w:color w:val="000000"/>
          <w:sz w:val="28"/>
          <w:szCs w:val="28"/>
          <w:vertAlign w:val="subscript"/>
        </w:rPr>
        <w:t>opt</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color w:val="000000"/>
          <w:position w:val="0"/>
          <w:sz w:val="28"/>
          <w:sz w:val="28"/>
          <w:szCs w:val="28"/>
          <w:vertAlign w:val="baseline"/>
          <w:lang w:val="en-US"/>
        </w:rPr>
        <w:t>L</w:t>
      </w:r>
      <w:r>
        <w:rPr>
          <w:rFonts w:ascii="Times New Roman" w:hAnsi="Times New Roman"/>
          <w:color w:val="000000"/>
          <w:sz w:val="28"/>
          <w:szCs w:val="28"/>
          <w:vertAlign w:val="subscript"/>
        </w:rPr>
        <w:t>mean</w:t>
      </w:r>
      <w:r>
        <w:rPr>
          <w:rFonts w:ascii="Times New Roman" w:hAnsi="Times New Roman"/>
          <w:color w:val="000000"/>
          <w:sz w:val="28"/>
          <w:szCs w:val="28"/>
        </w:rPr>
        <w:t>/L</w:t>
      </w:r>
      <w:r>
        <w:rPr>
          <w:rFonts w:ascii="Times New Roman" w:hAnsi="Times New Roman"/>
          <w:color w:val="000000"/>
          <w:sz w:val="28"/>
          <w:szCs w:val="28"/>
          <w:vertAlign w:val="subscript"/>
        </w:rPr>
        <w:t>F=M</w:t>
      </w:r>
      <w:r>
        <w:rPr>
          <w:rFonts w:eastAsia="Calibri" w:cs="Times New Roman" w:ascii="Times New Roman" w:hAnsi="Times New Roman"/>
          <w:b w:val="false"/>
          <w:bCs w:val="false"/>
          <w:color w:val="000000"/>
          <w:position w:val="0"/>
          <w:sz w:val="28"/>
          <w:sz w:val="28"/>
          <w:szCs w:val="28"/>
          <w:vertAlign w:val="baseline"/>
          <w:lang w:val="en-US"/>
        </w:rPr>
        <w:t xml:space="preserve"> and P</w:t>
      </w:r>
      <w:r>
        <w:rPr>
          <w:rFonts w:ascii="Times New Roman" w:hAnsi="Times New Roman"/>
          <w:b w:val="false"/>
          <w:bCs w:val="false"/>
          <w:color w:val="000000"/>
          <w:sz w:val="28"/>
          <w:szCs w:val="28"/>
          <w:vertAlign w:val="subscript"/>
        </w:rPr>
        <w:t xml:space="preserve">mega. </w:t>
      </w:r>
      <w:r>
        <w:rPr>
          <w:rFonts w:ascii="Times New Roman" w:hAnsi="Times New Roman"/>
          <w:b w:val="false"/>
          <w:bCs w:val="false"/>
          <w:color w:val="000000"/>
          <w:position w:val="0"/>
          <w:sz w:val="28"/>
          <w:sz w:val="28"/>
          <w:szCs w:val="28"/>
          <w:vertAlign w:val="baseline"/>
        </w:rPr>
        <w:t xml:space="preserve">Such indicators relates to the optimal yield, MSY and conservation of large individuals, respectively. Overestimation of </w:t>
      </w:r>
      <w:r>
        <w:rPr>
          <w:rFonts w:eastAsia="Calibri" w:cs="Times New Roman" w:ascii="Times New Roman" w:hAnsi="Times New Roman"/>
          <w:b w:val="false"/>
          <w:bCs w:val="false"/>
          <w:color w:val="000000"/>
          <w:position w:val="0"/>
          <w:sz w:val="28"/>
          <w:sz w:val="28"/>
          <w:szCs w:val="28"/>
          <w:vertAlign w:val="baseline"/>
          <w:lang w:val="en-US"/>
        </w:rPr>
        <w:t>M/k</w:t>
      </w:r>
      <w:r>
        <w:rPr>
          <w:rFonts w:ascii="Times New Roman" w:hAnsi="Times New Roman"/>
          <w:b w:val="false"/>
          <w:bCs w:val="false"/>
          <w:color w:val="000000"/>
          <w:position w:val="0"/>
          <w:sz w:val="28"/>
          <w:sz w:val="28"/>
          <w:szCs w:val="28"/>
          <w:vertAlign w:val="baseline"/>
        </w:rPr>
        <w:t xml:space="preserve"> (model 3 o</w:t>
      </w:r>
      <w:r>
        <w:rPr>
          <w:rFonts w:eastAsia="Calibri" w:cs="Times New Roman" w:ascii="Times New Roman" w:hAnsi="Times New Roman"/>
          <w:b w:val="false"/>
          <w:bCs w:val="false"/>
          <w:color w:val="000000"/>
          <w:position w:val="0"/>
          <w:sz w:val="28"/>
          <w:sz w:val="28"/>
          <w:szCs w:val="28"/>
          <w:vertAlign w:val="baseline"/>
          <w:lang w:val="en-US"/>
        </w:rPr>
        <w:t>f Table 2) leads to a more optimistic perception of the state</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of stock, since as we can see in Tables 3 and 4 the values of the indicator ratios changes from below to the expected value to above it.  Whereas the opposite behavior is detected under underestimation of M/k (model 2 of Table 2). The conclusions of model 6 of Table 2 (M/k=1.5) depend on whether M/k</w:t>
      </w:r>
      <w:r>
        <w:rPr>
          <w:rFonts w:eastAsia="Calibri" w:cs="Times New Roman" w:ascii="Times New Roman" w:hAnsi="Times New Roman"/>
          <w:b w:val="false"/>
          <w:bCs w:val="false"/>
          <w:color w:val="000000"/>
          <w:sz w:val="28"/>
          <w:szCs w:val="28"/>
          <w:vertAlign w:val="superscript"/>
          <w:lang w:val="en-US"/>
        </w:rPr>
        <w:t>LIT</w:t>
      </w:r>
      <w:r>
        <w:rPr>
          <w:rFonts w:eastAsia="Calibri" w:cs="Times New Roman" w:ascii="Times New Roman" w:hAnsi="Times New Roman"/>
          <w:b w:val="false"/>
          <w:bCs w:val="false"/>
          <w:color w:val="000000"/>
          <w:position w:val="0"/>
          <w:sz w:val="28"/>
          <w:sz w:val="28"/>
          <w:szCs w:val="28"/>
          <w:vertAlign w:val="baseline"/>
          <w:lang w:val="en-US"/>
        </w:rPr>
        <w:t xml:space="preserve"> is less than or greater than 1.5 and therefore if we are in a particular case of underestimation or overestimation.</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Taking into account that 3 different models varying the value of parameter M/k has been adjusted for each of the 7 stocks (and that 2 stocks are divided in females and males) we have 27 different models to assess the sensitivity of LBI for variability on M/k. It is important to mention that changes in the conclusions derived from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F=M </w:t>
      </w:r>
      <w:r>
        <w:rPr>
          <w:rFonts w:eastAsia="Calibri" w:cs="Times New Roman" w:ascii="Times New Roman" w:hAnsi="Times New Roman"/>
          <w:b w:val="false"/>
          <w:bCs w:val="false"/>
          <w:color w:val="000000"/>
          <w:position w:val="0"/>
          <w:sz w:val="28"/>
          <w:sz w:val="28"/>
          <w:szCs w:val="28"/>
          <w:vertAlign w:val="baseline"/>
          <w:lang w:val="en-US"/>
        </w:rPr>
        <w:t>indicators</w:t>
      </w:r>
    </w:p>
    <w:p>
      <w:pPr>
        <w:pStyle w:val="Normal"/>
        <w:spacing w:lineRule="auto" w:line="480"/>
        <w:jc w:val="both"/>
        <w:rPr/>
      </w:pPr>
      <w:r>
        <w:rPr>
          <w:rFonts w:eastAsia="Calibri" w:cs="Times New Roman" w:ascii="Times New Roman" w:hAnsi="Times New Roman"/>
          <w:b w:val="false"/>
          <w:bCs w:val="false"/>
          <w:color w:val="000000"/>
          <w:kern w:val="0"/>
          <w:position w:val="0"/>
          <w:sz w:val="28"/>
          <w:sz w:val="28"/>
          <w:szCs w:val="28"/>
          <w:vertAlign w:val="baseline"/>
          <w:lang w:val="en-US" w:eastAsia="en-US" w:bidi="ar-SA"/>
        </w:rPr>
        <w:t>arise</w:t>
      </w:r>
      <w:r>
        <w:rPr>
          <w:rFonts w:eastAsia="Calibri" w:cs="Times New Roman" w:ascii="Times New Roman" w:hAnsi="Times New Roman"/>
          <w:b w:val="false"/>
          <w:bCs w:val="false"/>
          <w:color w:val="000000"/>
          <w:position w:val="0"/>
          <w:sz w:val="28"/>
          <w:sz w:val="28"/>
          <w:szCs w:val="28"/>
          <w:vertAlign w:val="baseline"/>
          <w:lang w:val="en-US"/>
        </w:rPr>
        <w:t xml:space="preserve"> in 74% of the models whereas for P</w:t>
      </w:r>
      <w:r>
        <w:rPr>
          <w:rFonts w:eastAsia="Calibri" w:cs="Times New Roman" w:ascii="Times New Roman" w:hAnsi="Times New Roman"/>
          <w:b w:val="false"/>
          <w:bCs w:val="false"/>
          <w:color w:val="000000"/>
          <w:sz w:val="28"/>
          <w:szCs w:val="28"/>
          <w:vertAlign w:val="subscript"/>
          <w:lang w:val="en-US"/>
        </w:rPr>
        <w:t xml:space="preserve">mega </w:t>
      </w:r>
      <w:r>
        <w:rPr>
          <w:rFonts w:eastAsia="Calibri" w:cs="Times New Roman" w:ascii="Times New Roman" w:hAnsi="Times New Roman"/>
          <w:b w:val="false"/>
          <w:bCs w:val="false"/>
          <w:color w:val="000000"/>
          <w:position w:val="0"/>
          <w:sz w:val="28"/>
          <w:sz w:val="28"/>
          <w:szCs w:val="28"/>
          <w:vertAlign w:val="baseline"/>
          <w:lang w:val="en-US"/>
        </w:rPr>
        <w:t>such value is 33%. Hence in for our stocks it seems clear that underestimation or overestimation of M/k has more effect on the conclusions derived from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F=M</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b w:val="false"/>
          <w:bCs w:val="false"/>
          <w:color w:val="000000"/>
          <w:sz w:val="28"/>
          <w:szCs w:val="28"/>
          <w:vertAlign w:val="subscript"/>
          <w:lang w:val="en-US"/>
        </w:rPr>
        <w:t xml:space="preserve"> </w:t>
      </w:r>
      <w:r>
        <w:rPr>
          <w:rFonts w:eastAsia="Calibri" w:cs="Times New Roman" w:ascii="Times New Roman" w:hAnsi="Times New Roman"/>
          <w:b w:val="false"/>
          <w:bCs w:val="false"/>
          <w:color w:val="000000"/>
          <w:position w:val="0"/>
          <w:sz w:val="28"/>
          <w:sz w:val="28"/>
          <w:szCs w:val="28"/>
          <w:vertAlign w:val="baseline"/>
          <w:lang w:val="en-US"/>
        </w:rPr>
        <w:t xml:space="preserve">  than from those from P</w:t>
      </w:r>
      <w:r>
        <w:rPr>
          <w:rFonts w:eastAsia="Calibri" w:cs="Times New Roman" w:ascii="Times New Roman" w:hAnsi="Times New Roman"/>
          <w:b w:val="false"/>
          <w:bCs w:val="false"/>
          <w:color w:val="000000"/>
          <w:sz w:val="28"/>
          <w:szCs w:val="28"/>
          <w:vertAlign w:val="subscript"/>
          <w:lang w:val="en-US"/>
        </w:rPr>
        <w:t xml:space="preserve">mega. </w:t>
      </w:r>
      <w:r>
        <w:rPr>
          <w:rFonts w:eastAsia="Calibri" w:cs="Times New Roman" w:ascii="Times New Roman" w:hAnsi="Times New Roman"/>
          <w:b w:val="false"/>
          <w:bCs w:val="false"/>
          <w:color w:val="000000"/>
          <w:position w:val="0"/>
          <w:sz w:val="28"/>
          <w:sz w:val="28"/>
          <w:szCs w:val="28"/>
          <w:vertAlign w:val="baseline"/>
          <w:lang w:val="en-US"/>
        </w:rPr>
        <w:t>To wit, the effect of underestimation or overestimation of this parameter in our stocks changes (in a huge percentage of the cases) the conclusions relate to MSY and OY properties.</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Note that the percentages (of years for which the conclusion derived from the indicator is changes respect to model 1) in Tables 3 and 4 are below 50% except in 6 cases corresponding to N. norvegicus FU2627 Females (M/k=1.5), G.melastomus (under- and over-estimation), E. Encrasicolus (underestimation) and P. Bogaraveo (overestimation). Finally, it is worth to mention that species T. Luscus is the unique species for which no changes in the conclusions have been detected in spite of the variation on M/k parameter.</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 xml:space="preserve">After analyzing the sensitive of LBI to variations on M/k value, we focus now on the sensitivity of the method to variations on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 xml:space="preserve">∞ </w:t>
      </w:r>
      <w:r>
        <w:rPr>
          <w:rFonts w:eastAsia="Calibri" w:cs="Calibri" w:ascii="Times New Roman" w:hAnsi="Times New Roman"/>
          <w:b w:val="false"/>
          <w:bCs w:val="false"/>
          <w:color w:val="000000"/>
          <w:position w:val="0"/>
          <w:sz w:val="28"/>
          <w:sz w:val="28"/>
          <w:szCs w:val="28"/>
          <w:vertAlign w:val="baseline"/>
          <w:lang w:val="en-US"/>
        </w:rPr>
        <w:t xml:space="preserve">value. </w:t>
      </w:r>
      <w:r>
        <w:rPr>
          <w:rFonts w:eastAsia="Times New Roman" w:cs="Times New Roman" w:ascii="Times New Roman" w:hAnsi="Times New Roman"/>
          <w:b w:val="false"/>
          <w:bCs w:val="false"/>
          <w:color w:val="000000"/>
          <w:position w:val="0"/>
          <w:sz w:val="28"/>
          <w:sz w:val="28"/>
          <w:szCs w:val="28"/>
          <w:vertAlign w:val="baseline"/>
          <w:lang w:val="en-US"/>
        </w:rPr>
        <w:t xml:space="preserve">Tables 3 and 4 shows that variation of the parameter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leads to changes in the conclusions derived from the indicator ratios L</w:t>
      </w:r>
      <w:r>
        <w:rPr>
          <w:rFonts w:eastAsia="Calibri" w:cs="Calibri" w:ascii="Times New Roman" w:hAnsi="Times New Roman"/>
          <w:b w:val="false"/>
          <w:bCs w:val="false"/>
          <w:color w:val="000000"/>
          <w:sz w:val="28"/>
          <w:szCs w:val="28"/>
          <w:vertAlign w:val="subscript"/>
          <w:lang w:val="en-US"/>
        </w:rPr>
        <w:t>mean</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opt</w:t>
      </w:r>
      <w:r>
        <w:rPr>
          <w:rFonts w:eastAsia="Calibri" w:cs="Times New Roman" w:ascii="Times New Roman" w:hAnsi="Times New Roman"/>
          <w:b w:val="false"/>
          <w:bCs w:val="false"/>
          <w:color w:val="000000"/>
          <w:position w:val="0"/>
          <w:sz w:val="28"/>
          <w:sz w:val="28"/>
          <w:szCs w:val="28"/>
          <w:vertAlign w:val="baseline"/>
          <w:lang w:val="en-US"/>
        </w:rPr>
        <w:t>, L</w:t>
      </w:r>
      <w:r>
        <w:rPr>
          <w:rFonts w:eastAsia="Calibri" w:cs="Calibri" w:ascii="Times New Roman" w:hAnsi="Times New Roman"/>
          <w:b w:val="false"/>
          <w:bCs w:val="false"/>
          <w:color w:val="000000"/>
          <w:sz w:val="28"/>
          <w:szCs w:val="28"/>
          <w:vertAlign w:val="subscript"/>
          <w:lang w:val="en-US"/>
        </w:rPr>
        <w:t>mean</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 xml:space="preserve">F=M, </w:t>
      </w:r>
      <w:r>
        <w:rPr>
          <w:rFonts w:eastAsia="Calibri" w:cs="Times New Roman" w:ascii="Times New Roman" w:hAnsi="Times New Roman"/>
          <w:b w:val="false"/>
          <w:bCs w:val="false"/>
          <w:color w:val="000000"/>
          <w:position w:val="0"/>
          <w:sz w:val="28"/>
          <w:sz w:val="28"/>
          <w:szCs w:val="28"/>
          <w:vertAlign w:val="baseline"/>
          <w:lang w:val="en-US"/>
        </w:rPr>
        <w:t>P</w:t>
      </w:r>
      <w:r>
        <w:rPr>
          <w:rFonts w:eastAsia="Calibri" w:cs="Calibri" w:ascii="Times New Roman" w:hAnsi="Times New Roman"/>
          <w:b w:val="false"/>
          <w:bCs w:val="false"/>
          <w:color w:val="000000"/>
          <w:sz w:val="28"/>
          <w:szCs w:val="28"/>
          <w:vertAlign w:val="subscript"/>
          <w:lang w:val="en-US"/>
        </w:rPr>
        <w:t xml:space="preserve">mega </w:t>
      </w:r>
      <w:r>
        <w:rPr>
          <w:rFonts w:eastAsia="Calibri" w:cs="Calibri" w:ascii="Times New Roman" w:hAnsi="Times New Roman"/>
          <w:b w:val="false"/>
          <w:bCs w:val="false"/>
          <w:color w:val="000000"/>
          <w:position w:val="0"/>
          <w:sz w:val="28"/>
          <w:sz w:val="28"/>
          <w:szCs w:val="28"/>
          <w:vertAlign w:val="baseline"/>
          <w:lang w:val="en-US"/>
        </w:rPr>
        <w:t xml:space="preserve">and </w:t>
      </w:r>
      <w:r>
        <w:rPr>
          <w:rFonts w:eastAsia="Calibri" w:cs="Calibri" w:ascii="Times New Roman" w:hAnsi="Times New Roman"/>
          <w:b w:val="false"/>
          <w:bCs w:val="false"/>
          <w:color w:val="000000"/>
          <w:sz w:val="28"/>
          <w:szCs w:val="28"/>
          <w:vertAlign w:val="subscript"/>
          <w:lang w:val="en-US"/>
        </w:rPr>
        <w:t>.</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max5%</w:t>
      </w:r>
      <w:r>
        <w:rPr>
          <w:rFonts w:eastAsia="Calibri" w:cs="Calibri" w:ascii="Times New Roman" w:hAnsi="Times New Roman"/>
          <w:b w:val="false"/>
          <w:bCs w:val="false"/>
          <w:color w:val="000000"/>
          <w:position w:val="0"/>
          <w:sz w:val="28"/>
          <w:sz w:val="28"/>
          <w:szCs w:val="28"/>
          <w:vertAlign w:val="baseline"/>
          <w:lang w:val="en-US"/>
        </w:rPr>
        <w:t>/L</w:t>
      </w:r>
      <w:r>
        <w:rPr>
          <w:rFonts w:eastAsia="Times New Roman" w:cs="Times New Roman" w:ascii="Times New Roman" w:hAnsi="Times New Roman"/>
          <w:b w:val="false"/>
          <w:bCs w:val="false"/>
          <w:color w:val="000000"/>
          <w:sz w:val="28"/>
          <w:szCs w:val="28"/>
          <w:vertAlign w:val="subscript"/>
          <w:lang w:val="en-US"/>
        </w:rPr>
        <w:t>∞.</w:t>
      </w:r>
      <w:r>
        <w:rPr>
          <w:rFonts w:eastAsia="Calibri" w:cs="Calibri" w:ascii="Times New Roman" w:hAnsi="Times New Roman"/>
          <w:b w:val="false"/>
          <w:bCs w:val="false"/>
          <w:color w:val="000000"/>
          <w:sz w:val="28"/>
          <w:szCs w:val="28"/>
          <w:vertAlign w:val="subscript"/>
          <w:lang w:val="en-US"/>
        </w:rPr>
        <w:t xml:space="preserve"> </w:t>
      </w:r>
      <w:r>
        <w:rPr>
          <w:rFonts w:eastAsia="Calibri" w:cs="Calibri" w:ascii="Times New Roman" w:hAnsi="Times New Roman"/>
          <w:b w:val="false"/>
          <w:bCs w:val="false"/>
          <w:color w:val="000000"/>
          <w:position w:val="0"/>
          <w:sz w:val="28"/>
          <w:sz w:val="28"/>
          <w:szCs w:val="28"/>
          <w:vertAlign w:val="baseline"/>
          <w:lang w:val="en-US"/>
        </w:rPr>
        <w:t xml:space="preserve">Such indicators relates to the optimal yield, MSY and conservation of large individuals, respectively. </w:t>
      </w:r>
      <w:r>
        <w:rPr>
          <w:rFonts w:eastAsia="Calibri" w:cs="Calibri" w:ascii="Times New Roman" w:hAnsi="Times New Roman"/>
          <w:b w:val="false"/>
          <w:bCs w:val="false"/>
          <w:color w:val="000000"/>
          <w:kern w:val="0"/>
          <w:position w:val="0"/>
          <w:sz w:val="28"/>
          <w:sz w:val="28"/>
          <w:szCs w:val="28"/>
          <w:vertAlign w:val="baseline"/>
          <w:lang w:val="en-US" w:eastAsia="en-US" w:bidi="ar-SA"/>
        </w:rPr>
        <w:t>Under</w:t>
      </w:r>
      <w:r>
        <w:rPr>
          <w:rFonts w:eastAsia="Calibri" w:cs="Calibri" w:ascii="Times New Roman" w:hAnsi="Times New Roman"/>
          <w:b w:val="false"/>
          <w:bCs w:val="false"/>
          <w:color w:val="000000"/>
          <w:position w:val="0"/>
          <w:sz w:val="28"/>
          <w:sz w:val="28"/>
          <w:szCs w:val="28"/>
          <w:vertAlign w:val="baseline"/>
          <w:lang w:val="en-US"/>
        </w:rPr>
        <w:t xml:space="preserve">estimation of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 xml:space="preserve">∞ </w:t>
      </w:r>
      <w:r>
        <w:rPr>
          <w:rFonts w:eastAsia="Calibri" w:cs="Calibri" w:ascii="Times New Roman" w:hAnsi="Times New Roman"/>
          <w:b w:val="false"/>
          <w:bCs w:val="false"/>
          <w:color w:val="000000"/>
          <w:position w:val="0"/>
          <w:sz w:val="28"/>
          <w:sz w:val="28"/>
          <w:szCs w:val="28"/>
          <w:vertAlign w:val="baseline"/>
          <w:lang w:val="en-US"/>
        </w:rPr>
        <w:t xml:space="preserve"> (model 4 o</w:t>
      </w:r>
      <w:r>
        <w:rPr>
          <w:rFonts w:eastAsia="Calibri" w:cs="Times New Roman" w:ascii="Times New Roman" w:hAnsi="Times New Roman"/>
          <w:b w:val="false"/>
          <w:bCs w:val="false"/>
          <w:color w:val="000000"/>
          <w:position w:val="0"/>
          <w:sz w:val="28"/>
          <w:sz w:val="28"/>
          <w:szCs w:val="28"/>
          <w:vertAlign w:val="baseline"/>
          <w:lang w:val="en-US"/>
        </w:rPr>
        <w:t xml:space="preserve">f Table 2) leads to a more optimistic perception of the state of stock, since as we can see in Tables 3 and 4 the values of the indicator ratios changes from below to the expected value to above it.  Whereas the opposite behavior is detected under underestimation of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(model 5 of Table 2). </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 xml:space="preserve">Taking into account that 2 different models varying the value of parameter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has been adjusted for each of the 7 stocks (and that 2 stocks are divided in females and males) we have 18 different models to assess the sensitivity of LBI for variability on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Changes in the conclusions derived from P</w:t>
      </w:r>
      <w:r>
        <w:rPr>
          <w:rFonts w:eastAsia="Calibri" w:cs="Calibri" w:ascii="Times New Roman" w:hAnsi="Times New Roman"/>
          <w:b w:val="false"/>
          <w:bCs w:val="false"/>
          <w:color w:val="000000"/>
          <w:sz w:val="28"/>
          <w:szCs w:val="28"/>
          <w:vertAlign w:val="subscript"/>
          <w:lang w:val="en-US"/>
        </w:rPr>
        <w:t xml:space="preserve">mega </w:t>
      </w:r>
      <w:r>
        <w:rPr>
          <w:rFonts w:eastAsia="Calibri" w:cs="Calibri" w:ascii="Times New Roman" w:hAnsi="Times New Roman"/>
          <w:b w:val="false"/>
          <w:bCs w:val="false"/>
          <w:color w:val="000000"/>
          <w:position w:val="0"/>
          <w:sz w:val="28"/>
          <w:sz w:val="28"/>
          <w:szCs w:val="28"/>
          <w:vertAlign w:val="baseline"/>
          <w:lang w:val="en-US"/>
        </w:rPr>
        <w:t xml:space="preserve">and </w:t>
      </w:r>
      <w:r>
        <w:rPr>
          <w:rFonts w:eastAsia="Calibri" w:cs="Calibri" w:ascii="Times New Roman" w:hAnsi="Times New Roman"/>
          <w:b w:val="false"/>
          <w:bCs w:val="false"/>
          <w:color w:val="000000"/>
          <w:sz w:val="28"/>
          <w:szCs w:val="28"/>
          <w:vertAlign w:val="subscript"/>
          <w:lang w:val="en-US"/>
        </w:rPr>
        <w:t>.</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max5%</w:t>
      </w:r>
      <w:r>
        <w:rPr>
          <w:rFonts w:eastAsia="Calibri" w:cs="Calibri" w:ascii="Times New Roman" w:hAnsi="Times New Roman"/>
          <w:b w:val="false"/>
          <w:bCs w:val="false"/>
          <w:color w:val="000000"/>
          <w:position w:val="0"/>
          <w:sz w:val="28"/>
          <w:sz w:val="28"/>
          <w:szCs w:val="28"/>
          <w:vertAlign w:val="baseline"/>
          <w:lang w:val="en-US"/>
        </w:rPr>
        <w:t>/L</w:t>
      </w:r>
      <w:r>
        <w:rPr>
          <w:rFonts w:eastAsia="Times New Roman" w:cs="Times New Roman" w:ascii="Times New Roman" w:hAnsi="Times New Roman"/>
          <w:b w:val="false"/>
          <w:bCs w:val="false"/>
          <w:color w:val="000000"/>
          <w:sz w:val="28"/>
          <w:szCs w:val="28"/>
          <w:vertAlign w:val="subscript"/>
          <w:lang w:val="en-US"/>
        </w:rPr>
        <w:t xml:space="preserve">∞ </w:t>
      </w:r>
      <w:r>
        <w:rPr>
          <w:rFonts w:eastAsia="Calibri" w:cs="Times New Roman" w:ascii="Times New Roman" w:hAnsi="Times New Roman"/>
          <w:b w:val="false"/>
          <w:bCs w:val="false"/>
          <w:color w:val="000000"/>
          <w:position w:val="0"/>
          <w:sz w:val="28"/>
          <w:sz w:val="28"/>
          <w:szCs w:val="28"/>
          <w:vertAlign w:val="baseline"/>
          <w:lang w:val="en-US"/>
        </w:rPr>
        <w:t xml:space="preserve">indicators </w:t>
      </w:r>
      <w:r>
        <w:rPr>
          <w:rFonts w:eastAsia="Calibri" w:cs="Times New Roman" w:ascii="Times New Roman" w:hAnsi="Times New Roman"/>
          <w:b w:val="false"/>
          <w:bCs w:val="false"/>
          <w:color w:val="000000"/>
          <w:kern w:val="0"/>
          <w:position w:val="0"/>
          <w:sz w:val="28"/>
          <w:sz w:val="28"/>
          <w:szCs w:val="28"/>
          <w:vertAlign w:val="baseline"/>
          <w:lang w:val="en-US" w:eastAsia="en-US" w:bidi="ar-SA"/>
        </w:rPr>
        <w:t>arise</w:t>
      </w:r>
      <w:r>
        <w:rPr>
          <w:rFonts w:eastAsia="Calibri" w:cs="Times New Roman" w:ascii="Times New Roman" w:hAnsi="Times New Roman"/>
          <w:b w:val="false"/>
          <w:bCs w:val="false"/>
          <w:color w:val="000000"/>
          <w:position w:val="0"/>
          <w:sz w:val="28"/>
          <w:sz w:val="28"/>
          <w:szCs w:val="28"/>
          <w:vertAlign w:val="baseline"/>
          <w:lang w:val="en-US"/>
        </w:rPr>
        <w:t xml:space="preserve"> in 66% of the models whereas for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F=M </w:t>
      </w:r>
      <w:r>
        <w:rPr>
          <w:rFonts w:eastAsia="Calibri" w:cs="Times New Roman" w:ascii="Times New Roman" w:hAnsi="Times New Roman"/>
          <w:b w:val="false"/>
          <w:bCs w:val="false"/>
          <w:color w:val="000000"/>
          <w:position w:val="0"/>
          <w:sz w:val="28"/>
          <w:sz w:val="28"/>
          <w:szCs w:val="28"/>
          <w:vertAlign w:val="baseline"/>
          <w:lang w:val="en-US"/>
        </w:rPr>
        <w:t>such value is 88% and 83%. Note that the percentages are close to each other, hence, for our stocks, it seems that underestimation or overestimation of L</w:t>
      </w:r>
      <w:r>
        <w:rPr>
          <w:rFonts w:eastAsia="Liberation Serif" w:cs="Liberation Serif" w:ascii="Liberation Serif" w:hAnsi="Liberation Serif"/>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has more or less the same effect on the conclusions derived from the four indicators. Note that for all species (except </w:t>
      </w:r>
      <w:r>
        <w:rPr>
          <w:rFonts w:eastAsia="Calibri" w:cs="Times New Roman" w:ascii="Times New Roman" w:hAnsi="Times New Roman"/>
          <w:b w:val="false"/>
          <w:bCs w:val="false"/>
          <w:color w:val="1D1C1D"/>
          <w:position w:val="0"/>
          <w:sz w:val="28"/>
          <w:sz w:val="28"/>
          <w:szCs w:val="28"/>
          <w:vertAlign w:val="baseline"/>
          <w:lang w:val="en-US"/>
        </w:rPr>
        <w:t xml:space="preserve">N. norvegicus FU2627 </w:t>
      </w:r>
      <w:r>
        <w:rPr>
          <w:rFonts w:ascii="Times New Roman" w:hAnsi="Times New Roman"/>
          <w:color w:val="00000A"/>
          <w:sz w:val="28"/>
          <w:szCs w:val="28"/>
        </w:rPr>
        <w:t>Males) at least for one indicator</w:t>
      </w:r>
      <w:r>
        <w:rPr>
          <w:rFonts w:eastAsia="Calibri" w:cs="Times New Roman" w:ascii="Times New Roman" w:hAnsi="Times New Roman"/>
          <w:b w:val="false"/>
          <w:bCs w:val="false"/>
          <w:color w:val="000000"/>
          <w:position w:val="0"/>
          <w:sz w:val="28"/>
          <w:sz w:val="28"/>
          <w:szCs w:val="28"/>
          <w:vertAlign w:val="baseline"/>
          <w:lang w:val="en-US"/>
        </w:rPr>
        <w:t xml:space="preserve"> the percentage (of years for which the conclusion derived from the indicator changes respect to model 1, Tables 3 and 4) is above 50%. Finally, it is worth to mention that species T. Luscus is the unique species for which no changes in the conclusions have been detected in spite of overestimation of L</w:t>
      </w:r>
      <w:r>
        <w:rPr>
          <w:rFonts w:eastAsia="Liberation Serif" w:cs="Liberation Serif" w:ascii="Liberation Serif" w:hAnsi="Liberation Serif"/>
          <w:b w:val="false"/>
          <w:bCs w:val="false"/>
          <w:color w:val="000000"/>
          <w:sz w:val="28"/>
          <w:szCs w:val="28"/>
          <w:vertAlign w:val="subscript"/>
          <w:lang w:val="en-US"/>
        </w:rPr>
        <w:t xml:space="preserve">∞, </w:t>
      </w:r>
      <w:r>
        <w:rPr>
          <w:rFonts w:eastAsia="Liberation Serif" w:cs="Liberation Serif" w:ascii="Liberation Serif" w:hAnsi="Liberation Serif"/>
          <w:b w:val="false"/>
          <w:bCs w:val="false"/>
          <w:color w:val="000000"/>
          <w:position w:val="0"/>
          <w:sz w:val="28"/>
          <w:sz w:val="28"/>
          <w:szCs w:val="28"/>
          <w:vertAlign w:val="baseline"/>
          <w:lang w:val="en-US"/>
        </w:rPr>
        <w:t>however for this species the model has not been robust to the underestimation of such parameter.</w:t>
      </w:r>
    </w:p>
    <w:p>
      <w:pPr>
        <w:pStyle w:val="Normal"/>
        <w:spacing w:lineRule="auto" w:line="480"/>
        <w:jc w:val="both"/>
        <w:rPr/>
      </w:pPr>
      <w:r>
        <w:rPr>
          <w:rFonts w:eastAsia="Liberation Serif" w:cs="Liberation Serif" w:ascii="Liberation Serif" w:hAnsi="Liberation Serif"/>
          <w:b w:val="false"/>
          <w:bCs w:val="false"/>
          <w:color w:val="000000"/>
          <w:position w:val="0"/>
          <w:sz w:val="28"/>
          <w:sz w:val="28"/>
          <w:szCs w:val="28"/>
          <w:vertAlign w:val="baseline"/>
          <w:lang w:val="en-US"/>
        </w:rPr>
        <w:t xml:space="preserve">Conclusions above support that LBI method is more sensitive to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w:t>
      </w:r>
      <w:r>
        <w:rPr>
          <w:rFonts w:eastAsia="Liberation Serif" w:cs="Liberation Serif" w:ascii="Liberation Serif" w:hAnsi="Liberation Serif"/>
          <w:b w:val="false"/>
          <w:bCs w:val="false"/>
          <w:color w:val="000000"/>
          <w:position w:val="0"/>
          <w:sz w:val="28"/>
          <w:sz w:val="28"/>
          <w:szCs w:val="28"/>
          <w:vertAlign w:val="baseline"/>
          <w:lang w:val="en-US"/>
        </w:rPr>
        <w:t xml:space="preserve"> of </w:t>
      </w:r>
      <w:r>
        <w:rPr>
          <w:rFonts w:eastAsia="Calibri" w:cs="Times New Roman" w:ascii="Times New Roman" w:hAnsi="Times New Roman"/>
          <w:b w:val="false"/>
          <w:bCs w:val="false"/>
          <w:color w:val="000000"/>
          <w:position w:val="0"/>
          <w:sz w:val="28"/>
          <w:sz w:val="28"/>
          <w:szCs w:val="28"/>
          <w:vertAlign w:val="baseline"/>
          <w:lang w:val="en-US"/>
        </w:rPr>
        <w:t>L</w:t>
      </w:r>
      <w:r>
        <w:rPr>
          <w:rFonts w:eastAsia="Liberation Serif" w:cs="Liberation Serif" w:ascii="Liberation Serif" w:hAnsi="Liberation Serif"/>
          <w:b w:val="false"/>
          <w:bCs w:val="false"/>
          <w:color w:val="000000"/>
          <w:sz w:val="28"/>
          <w:szCs w:val="28"/>
          <w:vertAlign w:val="subscript"/>
          <w:lang w:val="en-US"/>
        </w:rPr>
        <w:t xml:space="preserve">∞ </w:t>
      </w:r>
      <w:r>
        <w:rPr>
          <w:rFonts w:eastAsia="Liberation Serif" w:cs="Liberation Serif" w:ascii="Liberation Serif" w:hAnsi="Liberation Serif"/>
          <w:b w:val="false"/>
          <w:bCs w:val="false"/>
          <w:color w:val="000000"/>
          <w:position w:val="0"/>
          <w:sz w:val="28"/>
          <w:sz w:val="28"/>
          <w:szCs w:val="28"/>
          <w:vertAlign w:val="baseline"/>
          <w:lang w:val="en-US"/>
        </w:rPr>
        <w:t xml:space="preserve">than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w:t>
      </w:r>
      <w:r>
        <w:rPr>
          <w:rFonts w:eastAsia="Liberation Serif" w:cs="Liberation Serif" w:ascii="Liberation Serif" w:hAnsi="Liberation Serif"/>
          <w:b w:val="false"/>
          <w:bCs w:val="false"/>
          <w:color w:val="000000"/>
          <w:position w:val="0"/>
          <w:sz w:val="28"/>
          <w:sz w:val="28"/>
          <w:szCs w:val="28"/>
          <w:vertAlign w:val="baseline"/>
          <w:lang w:val="en-US"/>
        </w:rPr>
        <w:t xml:space="preserve"> of M/k. However, we have verified that both parameters have a huge influence on the final conclusions and that the method is clearly sensitive to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 of both parameters.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10365" w:type="dxa"/>
        <w:jc w:val="left"/>
        <w:tblInd w:w="-766" w:type="dxa"/>
        <w:tblLayout w:type="fixed"/>
        <w:tblCellMar>
          <w:top w:w="55" w:type="dxa"/>
          <w:left w:w="45" w:type="dxa"/>
          <w:bottom w:w="55" w:type="dxa"/>
          <w:right w:w="55" w:type="dxa"/>
        </w:tblCellMar>
      </w:tblPr>
      <w:tblGrid>
        <w:gridCol w:w="2160"/>
        <w:gridCol w:w="1752"/>
        <w:gridCol w:w="1698"/>
        <w:gridCol w:w="1423"/>
        <w:gridCol w:w="1580"/>
        <w:gridCol w:w="1751"/>
      </w:tblGrid>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2"/>
                <w:szCs w:val="22"/>
              </w:rPr>
            </w:pPr>
            <w:r>
              <w:rPr>
                <w:rFonts w:ascii="Times New Roman" w:hAnsi="Times New Roman"/>
                <w:sz w:val="22"/>
                <w:szCs w:val="22"/>
              </w:rPr>
              <w:t>Specie</w:t>
            </w:r>
          </w:p>
        </w:tc>
        <w:tc>
          <w:tcPr>
            <w:tcW w:w="1752"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0.75*M/k</w:t>
            </w:r>
            <w:r>
              <w:rPr>
                <w:rFonts w:eastAsia="Calibri" w:cs="Times New Roman" w:ascii="Times New Roman" w:hAnsi="Times New Roman"/>
                <w:b w:val="false"/>
                <w:bCs w:val="false"/>
                <w:sz w:val="22"/>
                <w:szCs w:val="22"/>
                <w:vertAlign w:val="superscript"/>
                <w:lang w:val="en-US"/>
              </w:rPr>
              <w:t>LIT</w:t>
            </w:r>
          </w:p>
        </w:tc>
        <w:tc>
          <w:tcPr>
            <w:tcW w:w="1698"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1.25*M/k</w:t>
            </w:r>
            <w:r>
              <w:rPr>
                <w:rFonts w:eastAsia="Calibri" w:cs="Times New Roman" w:ascii="Times New Roman" w:hAnsi="Times New Roman"/>
                <w:b w:val="false"/>
                <w:bCs w:val="false"/>
                <w:sz w:val="22"/>
                <w:szCs w:val="22"/>
                <w:vertAlign w:val="superscript"/>
                <w:lang w:val="en-US"/>
              </w:rPr>
              <w:t>LIT</w:t>
            </w:r>
          </w:p>
        </w:tc>
        <w:tc>
          <w:tcPr>
            <w:tcW w:w="1423"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580"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M/k=1.5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FU25</w:t>
            </w:r>
            <w:r>
              <w:rPr>
                <w:rFonts w:ascii="Times New Roman" w:hAnsi="Times New Roman"/>
                <w:sz w:val="22"/>
                <w:szCs w:val="22"/>
              </w:rPr>
              <w:t xml:space="preserve"> 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F=M</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(5%)</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position w:val="0"/>
                <w:sz w:val="22"/>
                <w:sz w:val="22"/>
                <w:vertAlign w:val="baseline"/>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(8%)</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eastAsia="Times New Roman" w:cs="Times New Roman"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(58%)</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(92%)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(63%)</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FU25</w:t>
            </w:r>
            <w:r>
              <w:rPr>
                <w:rFonts w:ascii="Times New Roman" w:hAnsi="Times New Roman"/>
                <w:sz w:val="22"/>
                <w:szCs w:val="22"/>
              </w:rPr>
              <w:t xml:space="preserve"> Females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(8%)</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mega</w:t>
            </w:r>
            <w:r>
              <w:rPr>
                <w:rFonts w:ascii="Times New Roman" w:hAnsi="Times New Roman"/>
                <w:color w:val="669933"/>
                <w:sz w:val="22"/>
                <w:szCs w:val="22"/>
                <w:vertAlign w:val="subscript"/>
              </w:rPr>
              <w:t xml:space="preserve"> </w:t>
            </w:r>
            <w:r>
              <w:rPr>
                <w:rFonts w:ascii="Times New Roman" w:hAnsi="Times New Roman"/>
                <w:color w:val="669933"/>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(47%)</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(21%)</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(100%)</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(89%)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(68%)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(84%)</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(8%)</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opt</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F=M</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(8%)</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FU2627</w:t>
            </w:r>
            <w:r>
              <w:rPr>
                <w:rFonts w:ascii="Times New Roman" w:hAnsi="Times New Roman"/>
                <w:sz w:val="22"/>
                <w:szCs w:val="22"/>
              </w:rPr>
              <w:t xml:space="preserve"> 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(16%)</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(16%)</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mega</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(12%)</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opt</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(12%)</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bookmarkStart w:id="1" w:name="__DdeLink__536_1014603788"/>
            <w:bookmarkEnd w:id="1"/>
            <w:r>
              <w:rPr>
                <w:rFonts w:ascii="Times New Roman" w:hAnsi="Times New Roman"/>
                <w:color w:val="669933"/>
                <w:position w:val="0"/>
                <w:sz w:val="22"/>
                <w:sz w:val="22"/>
                <w:szCs w:val="22"/>
                <w:vertAlign w:val="baseline"/>
              </w:rPr>
              <w:t>(16%)</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669933"/>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(44%)</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(47%)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(41%)</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(38%)</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(47%)</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(19%)</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(41%)</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(34%)</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(16%)</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(16%)</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FU2627</w:t>
            </w:r>
            <w:r>
              <w:rPr>
                <w:rFonts w:ascii="Times New Roman" w:hAnsi="Times New Roman"/>
                <w:sz w:val="22"/>
                <w:szCs w:val="22"/>
              </w:rPr>
              <w:t xml:space="preserve"> Females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(38%)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(31%)</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(9%)</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(47%)</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(38%)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(12%)</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(47%)</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(53%)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(50%)</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lineRule="auto" w:line="276"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lineRule="auto" w:line="276"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(53%)</w:t>
            </w:r>
          </w:p>
          <w:p>
            <w:pPr>
              <w:pStyle w:val="Contenidodelatabla"/>
              <w:widowControl w:val="false"/>
              <w:spacing w:lineRule="auto" w:line="276"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lineRule="auto" w:line="276"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(44%)</w:t>
            </w:r>
          </w:p>
          <w:p>
            <w:pPr>
              <w:pStyle w:val="Contenidodelatabla"/>
              <w:widowControl w:val="false"/>
              <w:spacing w:lineRule="auto" w:line="276"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bidi w:val="0"/>
              <w:spacing w:lineRule="auto" w:line="276" w:before="0" w:after="200"/>
              <w:ind w:left="0" w:right="-1020" w:hanging="0"/>
              <w:jc w:val="left"/>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(50%)</w:t>
            </w:r>
          </w:p>
          <w:p>
            <w:pPr>
              <w:pStyle w:val="Contenidodelatabla"/>
              <w:widowControl w:val="false"/>
              <w:bidi w:val="0"/>
              <w:spacing w:lineRule="auto" w:line="276" w:before="0" w:after="200"/>
              <w:ind w:left="0" w:right="-1020" w:hanging="0"/>
              <w:jc w:val="left"/>
              <w:rPr>
                <w:rFonts w:ascii="Times New Roman" w:hAnsi="Times New Roman"/>
                <w:position w:val="0"/>
                <w:sz w:val="22"/>
                <w:sz w:val="22"/>
                <w:szCs w:val="22"/>
                <w:vertAlign w:val="baseline"/>
              </w:rPr>
            </w:pPr>
            <w:r>
              <w:rPr>
                <w:rFonts w:ascii="Times New Roman" w:hAnsi="Times New Roman"/>
                <w:position w:val="0"/>
                <w:sz w:val="22"/>
                <w:sz w:val="22"/>
                <w:szCs w:val="22"/>
                <w:vertAlign w:val="baseline"/>
              </w:rPr>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t xml:space="preserve">Table 3: Summary of </w:t>
      </w:r>
      <w:r>
        <w:rPr>
          <w:rFonts w:eastAsia="Times New Roman" w:cs="Times New Roman" w:ascii="Times New Roman" w:hAnsi="Times New Roman"/>
          <w:b w:val="false"/>
          <w:bCs w:val="false"/>
          <w:position w:val="0"/>
          <w:sz w:val="28"/>
          <w:sz w:val="28"/>
          <w:szCs w:val="28"/>
          <w:vertAlign w:val="baseline"/>
          <w:lang w:val="en-US"/>
        </w:rPr>
        <w:t>the results of the sensitivity analysis carried out for LBI  method  applied to N. norvegicus FU25 and FU2627 (Males and Females).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10365" w:type="dxa"/>
        <w:jc w:val="left"/>
        <w:tblInd w:w="-766" w:type="dxa"/>
        <w:tblLayout w:type="fixed"/>
        <w:tblCellMar>
          <w:top w:w="55" w:type="dxa"/>
          <w:left w:w="45" w:type="dxa"/>
          <w:bottom w:w="55" w:type="dxa"/>
          <w:right w:w="55" w:type="dxa"/>
        </w:tblCellMar>
      </w:tblPr>
      <w:tblGrid>
        <w:gridCol w:w="2160"/>
        <w:gridCol w:w="1751"/>
        <w:gridCol w:w="1698"/>
        <w:gridCol w:w="1423"/>
        <w:gridCol w:w="1581"/>
        <w:gridCol w:w="1751"/>
      </w:tblGrid>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2"/>
                <w:szCs w:val="22"/>
              </w:rPr>
            </w:pPr>
            <w:r>
              <w:rPr>
                <w:rFonts w:ascii="Times New Roman" w:hAnsi="Times New Roman"/>
                <w:sz w:val="22"/>
                <w:szCs w:val="22"/>
              </w:rPr>
              <w:t>Specie</w:t>
            </w:r>
          </w:p>
        </w:tc>
        <w:tc>
          <w:tcPr>
            <w:tcW w:w="1751"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0.75*M/k</w:t>
            </w:r>
            <w:r>
              <w:rPr>
                <w:rFonts w:eastAsia="Calibri" w:cs="Times New Roman" w:ascii="Times New Roman" w:hAnsi="Times New Roman"/>
                <w:b w:val="false"/>
                <w:bCs w:val="false"/>
                <w:sz w:val="22"/>
                <w:szCs w:val="22"/>
                <w:vertAlign w:val="superscript"/>
                <w:lang w:val="en-US"/>
              </w:rPr>
              <w:t>LIT</w:t>
            </w:r>
          </w:p>
        </w:tc>
        <w:tc>
          <w:tcPr>
            <w:tcW w:w="1698"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1.25*M/k</w:t>
            </w:r>
            <w:r>
              <w:rPr>
                <w:rFonts w:eastAsia="Calibri" w:cs="Times New Roman" w:ascii="Times New Roman" w:hAnsi="Times New Roman"/>
                <w:b w:val="false"/>
                <w:bCs w:val="false"/>
                <w:sz w:val="22"/>
                <w:szCs w:val="22"/>
                <w:vertAlign w:val="superscript"/>
                <w:lang w:val="en-US"/>
              </w:rPr>
              <w:t>LIT</w:t>
            </w:r>
          </w:p>
        </w:tc>
        <w:tc>
          <w:tcPr>
            <w:tcW w:w="1423"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581"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M/k=1.5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b w:val="false"/>
                <w:i w:val="false"/>
                <w:iCs w:val="false"/>
                <w:color w:val="1D1C1D"/>
                <w:spacing w:val="0"/>
                <w:sz w:val="22"/>
                <w:szCs w:val="22"/>
              </w:rPr>
              <w:t>G.melastomus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(50%)</w:t>
            </w:r>
          </w:p>
          <w:p>
            <w:pPr>
              <w:pStyle w:val="Contenidodelatabla"/>
              <w:widowControl w:val="false"/>
              <w:spacing w:before="0" w:after="200"/>
              <w:rPr>
                <w:b/>
                <w:b/>
                <w:bCs/>
                <w:color w:val="000000"/>
                <w:sz w:val="22"/>
                <w:szCs w:val="22"/>
              </w:rPr>
            </w:pPr>
            <w:r>
              <w:rPr>
                <w:b/>
                <w:bCs/>
                <w:color w:val="000000"/>
                <w:sz w:val="22"/>
                <w:szCs w:val="22"/>
              </w:rPr>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(50%)</w:t>
            </w:r>
          </w:p>
          <w:p>
            <w:pPr>
              <w:pStyle w:val="Contenidodelatabla"/>
              <w:widowControl w:val="false"/>
              <w:spacing w:before="0" w:after="200"/>
              <w:rPr>
                <w:b/>
                <w:b/>
                <w:bCs/>
                <w:color w:val="000000"/>
              </w:rPr>
            </w:pPr>
            <w:r>
              <w:rPr>
                <w:b/>
                <w:bCs/>
                <w:color w:val="000000"/>
              </w:rPr>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eastAsia="Times New Roman" w:cs="Times New Roman"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(50%)</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(100%)</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b w:val="false"/>
                <w:bCs w:val="false"/>
                <w:color w:val="FF0000"/>
                <w:position w:val="0"/>
                <w:sz w:val="28"/>
                <w:sz w:val="28"/>
                <w:szCs w:val="28"/>
                <w:vertAlign w:val="baseline"/>
              </w:rPr>
              <w:t>P</w:t>
            </w:r>
            <w:r>
              <w:rPr>
                <w:rFonts w:ascii="Times New Roman" w:hAnsi="Times New Roman"/>
                <w:b w:val="false"/>
                <w:bCs w:val="false"/>
                <w:color w:val="FF0000"/>
                <w:sz w:val="28"/>
                <w:szCs w:val="28"/>
                <w:vertAlign w:val="subscript"/>
              </w:rPr>
              <w:t xml:space="preserve">mega </w:t>
            </w:r>
            <w:r>
              <w:rPr>
                <w:rFonts w:ascii="Times New Roman" w:hAnsi="Times New Roman"/>
                <w:b w:val="false"/>
                <w:bCs w:val="false"/>
                <w:color w:val="FF0000"/>
                <w:position w:val="0"/>
                <w:sz w:val="22"/>
                <w:sz w:val="22"/>
                <w:szCs w:val="22"/>
                <w:vertAlign w:val="baseline"/>
              </w:rPr>
              <w:t>(50%)</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(100%)</w:t>
            </w:r>
          </w:p>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(100%)</w:t>
            </w:r>
          </w:p>
          <w:p>
            <w:pPr>
              <w:pStyle w:val="Contenidodelatabla"/>
              <w:widowControl w:val="false"/>
              <w:spacing w:before="0" w:after="200"/>
              <w:rPr>
                <w:b/>
                <w:b/>
                <w:bCs/>
                <w:color w:val="000000"/>
              </w:rPr>
            </w:pPr>
            <w:r>
              <w:rPr>
                <w:b/>
                <w:bCs/>
                <w:color w:val="000000"/>
              </w:rPr>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E. encrasicolus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(6%)</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(19%)</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(81%)</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(97%)</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(31%)</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(75%)</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b w:val="false"/>
                <w:b w:val="false"/>
                <w:bCs w:val="false"/>
                <w:color w:val="FF0000"/>
                <w:sz w:val="22"/>
                <w:szCs w:val="22"/>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max5%</w:t>
            </w:r>
            <w:r>
              <w:rPr>
                <w:rFonts w:ascii="Times New Roman" w:hAnsi="Times New Roman"/>
                <w:b w:val="false"/>
                <w:bCs w:val="false"/>
                <w:color w:val="FF0000"/>
                <w:position w:val="0"/>
                <w:sz w:val="28"/>
                <w:sz w:val="28"/>
                <w:szCs w:val="28"/>
                <w:vertAlign w:val="baseline"/>
              </w:rPr>
              <w:t>/L</w:t>
            </w:r>
            <w:r>
              <w:rPr>
                <w:rFonts w:eastAsia="Times New Roman" w:cs="Times New Roman" w:ascii="Times New Roman" w:hAnsi="Times New Roman"/>
                <w:b w:val="false"/>
                <w:bCs w:val="false"/>
                <w:color w:val="FF0000"/>
                <w:sz w:val="28"/>
                <w:szCs w:val="28"/>
                <w:vertAlign w:val="subscript"/>
              </w:rPr>
              <w:t xml:space="preserve">∞ </w:t>
            </w:r>
            <w:r>
              <w:rPr>
                <w:rFonts w:eastAsia="Times New Roman" w:cs="Times New Roman" w:ascii="Times New Roman" w:hAnsi="Times New Roman"/>
                <w:b w:val="false"/>
                <w:bCs w:val="false"/>
                <w:color w:val="FF0000"/>
                <w:position w:val="0"/>
                <w:sz w:val="22"/>
                <w:sz w:val="22"/>
                <w:szCs w:val="22"/>
                <w:vertAlign w:val="baseline"/>
              </w:rPr>
              <w:t>(19%)</w:t>
            </w:r>
          </w:p>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(66%)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(6%)</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F=M</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(3%)</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P. bogaraveo</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(4%)</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opt</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(78%)</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bookmarkStart w:id="2" w:name="__DdeLink__536_10146037881"/>
            <w:bookmarkEnd w:id="2"/>
            <w:r>
              <w:rPr>
                <w:rFonts w:ascii="Times New Roman" w:hAnsi="Times New Roman"/>
                <w:color w:val="669933"/>
                <w:position w:val="0"/>
                <w:sz w:val="22"/>
                <w:sz w:val="22"/>
                <w:szCs w:val="22"/>
                <w:vertAlign w:val="baseline"/>
              </w:rPr>
              <w:t>(22%)</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669933"/>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(22%)</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(100%)</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(83%)</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(91%)</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(74%)</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(4%)</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color w:val="669933"/>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(4%)</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i w:val="false"/>
                <w:iCs w:val="false"/>
                <w:sz w:val="22"/>
                <w:szCs w:val="22"/>
              </w:rPr>
              <w:t>T. luscus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(80%)</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(100%)</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(40%)</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lineRule="auto" w:line="276" w:before="0" w:after="200"/>
              <w:rPr>
                <w:b/>
                <w:b/>
                <w:bCs/>
                <w:color w:val="000000"/>
                <w:sz w:val="22"/>
                <w:szCs w:val="22"/>
              </w:rPr>
            </w:pPr>
            <w:r>
              <w:rPr>
                <w:b/>
                <w:bCs/>
                <w:color w:val="000000"/>
                <w:sz w:val="22"/>
                <w:szCs w:val="22"/>
              </w:rPr>
            </w:r>
          </w:p>
        </w:tc>
      </w:tr>
      <w:tr>
        <w:trPr/>
        <w:tc>
          <w:tcPr>
            <w:tcW w:w="2160" w:type="dxa"/>
            <w:tcBorders>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i w:val="false"/>
                <w:iCs w:val="false"/>
                <w:sz w:val="22"/>
                <w:szCs w:val="22"/>
              </w:rPr>
            </w:r>
          </w:p>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b w:val="false"/>
                <w:i w:val="false"/>
                <w:iCs w:val="false"/>
                <w:caps w:val="false"/>
                <w:smallCaps w:val="false"/>
                <w:color w:val="1D1C1D"/>
                <w:spacing w:val="0"/>
                <w:sz w:val="22"/>
                <w:szCs w:val="22"/>
              </w:rPr>
              <w:t>P. pollachius</w:t>
            </w:r>
          </w:p>
        </w:tc>
        <w:tc>
          <w:tcPr>
            <w:tcW w:w="1751"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b w:val="false"/>
                <w:b w:val="false"/>
                <w:bCs w:val="false"/>
                <w:color w:val="FF0000"/>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mean</w:t>
            </w: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 xml:space="preserve">F=M </w:t>
            </w:r>
            <w:r>
              <w:rPr>
                <w:rFonts w:ascii="Times New Roman" w:hAnsi="Times New Roman"/>
                <w:b w:val="false"/>
                <w:bCs w:val="false"/>
                <w:color w:val="FF0000"/>
                <w:position w:val="0"/>
                <w:sz w:val="22"/>
                <w:sz w:val="22"/>
                <w:szCs w:val="22"/>
                <w:vertAlign w:val="baseline"/>
              </w:rPr>
              <w:t>(11%)</w:t>
            </w:r>
          </w:p>
        </w:tc>
        <w:tc>
          <w:tcPr>
            <w:tcW w:w="1698" w:type="dxa"/>
            <w:tcBorders>
              <w:left w:val="single" w:sz="2" w:space="0" w:color="000001"/>
              <w:bottom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(33%)</w:t>
            </w:r>
          </w:p>
        </w:tc>
        <w:tc>
          <w:tcPr>
            <w:tcW w:w="1423"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(89%)</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b w:val="false"/>
                <w:b w:val="false"/>
                <w:bCs w:val="false"/>
                <w:color w:val="000000"/>
              </w:rPr>
            </w:pPr>
            <w:r>
              <w:rPr>
                <w:rFonts w:ascii="Times New Roman" w:hAnsi="Times New Roman"/>
                <w:b w:val="false"/>
                <w:bCs w:val="false"/>
                <w:color w:val="669933"/>
                <w:position w:val="0"/>
                <w:sz w:val="28"/>
                <w:sz w:val="28"/>
                <w:szCs w:val="28"/>
                <w:vertAlign w:val="baseline"/>
              </w:rPr>
              <w:t>L</w:t>
            </w:r>
            <w:r>
              <w:rPr>
                <w:rFonts w:ascii="Times New Roman" w:hAnsi="Times New Roman"/>
                <w:b w:val="false"/>
                <w:bCs w:val="false"/>
                <w:color w:val="669933"/>
                <w:sz w:val="28"/>
                <w:szCs w:val="28"/>
                <w:vertAlign w:val="subscript"/>
              </w:rPr>
              <w:t>mean</w:t>
            </w:r>
            <w:r>
              <w:rPr>
                <w:rFonts w:ascii="Times New Roman" w:hAnsi="Times New Roman"/>
                <w:b w:val="false"/>
                <w:bCs w:val="false"/>
                <w:color w:val="669933"/>
                <w:position w:val="0"/>
                <w:sz w:val="28"/>
                <w:sz w:val="28"/>
                <w:szCs w:val="28"/>
                <w:vertAlign w:val="baseline"/>
              </w:rPr>
              <w:t>/L</w:t>
            </w:r>
            <w:r>
              <w:rPr>
                <w:rFonts w:ascii="Times New Roman" w:hAnsi="Times New Roman"/>
                <w:b w:val="false"/>
                <w:bCs w:val="false"/>
                <w:color w:val="669933"/>
                <w:sz w:val="28"/>
                <w:szCs w:val="28"/>
                <w:vertAlign w:val="subscript"/>
              </w:rPr>
              <w:t xml:space="preserve">F=M </w:t>
            </w:r>
            <w:r>
              <w:rPr>
                <w:rFonts w:ascii="Times New Roman" w:hAnsi="Times New Roman"/>
                <w:b w:val="false"/>
                <w:bCs w:val="false"/>
                <w:color w:val="669933"/>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(67%)</w:t>
            </w:r>
          </w:p>
          <w:p>
            <w:pPr>
              <w:pStyle w:val="Contenidodelatabla"/>
              <w:widowControl w:val="false"/>
              <w:spacing w:before="0" w:after="200"/>
              <w:rPr>
                <w:b/>
                <w:b/>
                <w:bCs/>
                <w:color w:val="000000"/>
              </w:rPr>
            </w:pPr>
            <w:r>
              <w:rPr>
                <w:b/>
                <w:bCs/>
                <w:color w:val="000000"/>
              </w:rPr>
            </w:r>
          </w:p>
        </w:tc>
        <w:tc>
          <w:tcPr>
            <w:tcW w:w="1581"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(22%)</w:t>
            </w:r>
          </w:p>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b w:val="false"/>
                <w:b w:val="false"/>
                <w:bCs w:val="false"/>
                <w:color w:val="FF0000"/>
                <w:sz w:val="22"/>
                <w:szCs w:val="22"/>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max5%</w:t>
            </w:r>
            <w:r>
              <w:rPr>
                <w:rFonts w:ascii="Times New Roman" w:hAnsi="Times New Roman"/>
                <w:b w:val="false"/>
                <w:bCs w:val="false"/>
                <w:color w:val="FF0000"/>
                <w:position w:val="0"/>
                <w:sz w:val="28"/>
                <w:sz w:val="28"/>
                <w:szCs w:val="28"/>
                <w:vertAlign w:val="baseline"/>
              </w:rPr>
              <w:t>/L</w:t>
            </w:r>
            <w:r>
              <w:rPr>
                <w:rFonts w:eastAsia="Times New Roman" w:cs="Times New Roman" w:ascii="Times New Roman" w:hAnsi="Times New Roman"/>
                <w:b w:val="false"/>
                <w:bCs w:val="false"/>
                <w:color w:val="FF0000"/>
                <w:sz w:val="28"/>
                <w:szCs w:val="28"/>
                <w:vertAlign w:val="subscript"/>
              </w:rPr>
              <w:t xml:space="preserve">∞ </w:t>
            </w:r>
            <w:r>
              <w:rPr>
                <w:rFonts w:eastAsia="Times New Roman" w:cs="Times New Roman" w:ascii="Times New Roman" w:hAnsi="Times New Roman"/>
                <w:b w:val="false"/>
                <w:bCs w:val="false"/>
                <w:color w:val="FF0000"/>
                <w:position w:val="0"/>
                <w:sz w:val="22"/>
                <w:sz w:val="22"/>
                <w:szCs w:val="22"/>
                <w:vertAlign w:val="baseline"/>
              </w:rPr>
              <w:t>(11%)</w:t>
            </w:r>
          </w:p>
        </w:tc>
        <w:tc>
          <w:tcPr>
            <w:tcW w:w="1751" w:type="dxa"/>
            <w:tcBorders>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(11%)</w:t>
            </w:r>
          </w:p>
          <w:p>
            <w:pPr>
              <w:pStyle w:val="Contenidodelatabla"/>
              <w:widowControl w:val="false"/>
              <w:spacing w:before="0" w:after="200"/>
              <w:rPr>
                <w:b/>
                <w:b/>
                <w:bCs/>
                <w:color w:val="000000"/>
              </w:rPr>
            </w:pPr>
            <w:r>
              <w:rPr>
                <w:b/>
                <w:bCs/>
                <w:color w:val="000000"/>
              </w:rPr>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t xml:space="preserve">Tabla 4: Summary of </w:t>
      </w:r>
      <w:r>
        <w:rPr>
          <w:rFonts w:eastAsia="Times New Roman" w:cs="Times New Roman" w:ascii="Times New Roman" w:hAnsi="Times New Roman"/>
          <w:b w:val="false"/>
          <w:bCs w:val="false"/>
          <w:position w:val="0"/>
          <w:sz w:val="28"/>
          <w:sz w:val="28"/>
          <w:szCs w:val="28"/>
          <w:vertAlign w:val="baseline"/>
          <w:lang w:val="en-US"/>
        </w:rPr>
        <w:t>the results of the sensitivity analysis carried out for LBI  method  applied to G.melastomus, E. encrasicolus, P. bogaraveo, T. luscus, and  P. Pollachius.</w:t>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b/>
          <w:b/>
          <w:bCs/>
        </w:rPr>
      </w:pPr>
      <w:r>
        <w:rPr>
          <w:rFonts w:eastAsia="Times New Roman" w:cs="Times New Roman" w:ascii="Times New Roman" w:hAnsi="Times New Roman"/>
          <w:b/>
          <w:bCs/>
          <w:position w:val="0"/>
          <w:sz w:val="28"/>
          <w:sz w:val="28"/>
          <w:szCs w:val="28"/>
          <w:vertAlign w:val="baseline"/>
          <w:lang w:val="en-US"/>
        </w:rPr>
        <w:t>LBSPR results</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The results of the sensitivity analysis carried out for LBSPR method has been summarized in Figures 1 and 2, </w:t>
      </w:r>
      <w:r>
        <w:rPr>
          <w:rFonts w:eastAsia="Times New Roman" w:cs="Times New Roman" w:ascii="Times New Roman" w:hAnsi="Times New Roman"/>
          <w:b w:val="false"/>
          <w:bCs w:val="false"/>
          <w:position w:val="0"/>
          <w:sz w:val="28"/>
          <w:sz w:val="28"/>
          <w:szCs w:val="28"/>
          <w:vertAlign w:val="baseline"/>
          <w:lang w:val="en-US"/>
        </w:rPr>
        <w:t>which</w:t>
      </w:r>
      <w:r>
        <w:rPr>
          <w:rFonts w:eastAsia="Times New Roman" w:cs="Times New Roman" w:ascii="Times New Roman" w:hAnsi="Times New Roman"/>
          <w:b w:val="false"/>
          <w:bCs w:val="false"/>
          <w:position w:val="0"/>
          <w:sz w:val="28"/>
          <w:sz w:val="28"/>
          <w:szCs w:val="28"/>
          <w:vertAlign w:val="baseline"/>
          <w:lang w:val="en-US"/>
        </w:rPr>
        <w:t xml:space="preserve"> </w:t>
      </w:r>
      <w:r>
        <w:rPr>
          <w:rFonts w:eastAsia="Times New Roman" w:cs="Times New Roman" w:ascii="Times New Roman" w:hAnsi="Times New Roman"/>
          <w:b w:val="false"/>
          <w:bCs w:val="false"/>
          <w:position w:val="0"/>
          <w:sz w:val="28"/>
          <w:sz w:val="28"/>
          <w:szCs w:val="28"/>
          <w:vertAlign w:val="baseline"/>
          <w:lang w:val="en-US"/>
        </w:rPr>
        <w:t xml:space="preserve">shows the SPR and F/M estimates of the LBSPR method with a smoother line for all the 6 parameter configurations in Table 2. Figure 1 reports such information for </w:t>
      </w:r>
    </w:p>
    <w:p>
      <w:pPr>
        <w:pStyle w:val="Normal"/>
        <w:spacing w:lineRule="auto" w:line="480" w:before="0" w:after="200"/>
        <w:jc w:val="both"/>
        <w:rPr/>
      </w:pPr>
      <w:r>
        <w:rPr>
          <w:rFonts w:eastAsia="Times New Roman" w:cs="Times New Roman" w:ascii="TimesNewRomanPSMT" w:hAnsi="TimesNewRomanPSMT"/>
          <w:b w:val="false"/>
          <w:bCs w:val="false"/>
          <w:color w:val="00000A"/>
          <w:position w:val="0"/>
          <w:sz w:val="28"/>
          <w:sz w:val="28"/>
          <w:szCs w:val="28"/>
          <w:vertAlign w:val="baseline"/>
          <w:lang w:val="en-US"/>
        </w:rPr>
        <w:t xml:space="preserve">N. </w:t>
      </w:r>
      <w:r>
        <w:rPr>
          <w:rFonts w:ascii="TimesNewRomanPSMT" w:hAnsi="TimesNewRomanPSMT"/>
          <w:color w:val="00000A"/>
          <w:sz w:val="28"/>
        </w:rPr>
        <w:t xml:space="preserve">norvegicus FU25 and FU2627 (Males and Females), whereas </w:t>
      </w:r>
      <w:r>
        <w:rPr>
          <w:rFonts w:ascii="TimesNewRomanPSMT" w:hAnsi="TimesNewRomanPSMT"/>
          <w:color w:val="00000A"/>
          <w:sz w:val="28"/>
        </w:rPr>
        <w:t>Figure 2</w:t>
      </w:r>
      <w:r>
        <w:rPr>
          <w:rFonts w:ascii="TimesNewRomanPSMT" w:hAnsi="TimesNewRomanPSMT"/>
          <w:color w:val="00000A"/>
          <w:sz w:val="28"/>
        </w:rPr>
        <w:t xml:space="preserve"> contains the information of the remaining species (G.melastomus, E.</w:t>
      </w:r>
      <w:r>
        <w:rPr>
          <w:rFonts w:ascii="TimesNewRomanPSMT" w:hAnsi="TimesNewRomanPSMT"/>
          <w:b w:val="false"/>
          <w:bCs w:val="false"/>
          <w:color w:val="00000A"/>
          <w:sz w:val="28"/>
        </w:rPr>
        <w:t xml:space="preserve">encrasicolus, P. bogaraveo, T. luscus, and P. Pollachius). </w:t>
      </w:r>
    </w:p>
    <w:p>
      <w:pPr>
        <w:pStyle w:val="Normal"/>
        <w:spacing w:lineRule="auto" w:line="480" w:before="0" w:after="200"/>
        <w:jc w:val="both"/>
        <w:rPr/>
      </w:pPr>
      <w:r>
        <w:rPr>
          <w:rFonts w:ascii="TimesNewRomanPSMT" w:hAnsi="TimesNewRomanPSMT"/>
          <w:b w:val="false"/>
          <w:bCs w:val="false"/>
          <w:color w:val="00000A"/>
          <w:sz w:val="28"/>
        </w:rPr>
        <w:t xml:space="preserve">Before proceeding to </w:t>
      </w:r>
      <w:r>
        <w:rPr>
          <w:rFonts w:ascii="TimesNewRomanPSMT" w:hAnsi="TimesNewRomanPSMT"/>
          <w:b w:val="false"/>
          <w:bCs w:val="false"/>
          <w:color w:val="00000A"/>
          <w:sz w:val="28"/>
        </w:rPr>
        <w:t>discuss</w:t>
      </w:r>
      <w:r>
        <w:rPr>
          <w:rFonts w:ascii="TimesNewRomanPSMT" w:hAnsi="TimesNewRomanPSMT"/>
          <w:b w:val="false"/>
          <w:bCs w:val="false"/>
          <w:color w:val="00000A"/>
          <w:sz w:val="28"/>
        </w:rPr>
        <w:t xml:space="preserve"> the information contained in the </w:t>
      </w:r>
      <w:r>
        <w:rPr>
          <w:rFonts w:ascii="TimesNewRomanPSMT" w:hAnsi="TimesNewRomanPSMT"/>
          <w:b w:val="false"/>
          <w:bCs w:val="false"/>
          <w:color w:val="00000A"/>
          <w:sz w:val="28"/>
        </w:rPr>
        <w:t>plots</w:t>
      </w:r>
      <w:r>
        <w:rPr>
          <w:rFonts w:ascii="TimesNewRomanPSMT" w:hAnsi="TimesNewRomanPSMT"/>
          <w:b w:val="false"/>
          <w:bCs w:val="false"/>
          <w:color w:val="00000A"/>
          <w:sz w:val="28"/>
        </w:rPr>
        <w:t xml:space="preserve">, we must clarify some details about them. </w:t>
      </w:r>
      <w:r>
        <w:rPr>
          <w:rFonts w:ascii="TimesNewRomanPSMT" w:hAnsi="TimesNewRomanPSMT"/>
          <w:b w:val="false"/>
          <w:bCs w:val="false"/>
          <w:color w:val="00000A"/>
          <w:sz w:val="28"/>
        </w:rPr>
        <w:t xml:space="preserve">In Figure 1, for </w:t>
      </w:r>
      <w:r>
        <w:rPr>
          <w:rFonts w:eastAsia="Times New Roman" w:cs="Times New Roman" w:ascii="TimesNewRomanPSMT" w:hAnsi="TimesNewRomanPSMT"/>
          <w:b w:val="false"/>
          <w:bCs w:val="false"/>
          <w:color w:val="00000A"/>
          <w:position w:val="0"/>
          <w:sz w:val="28"/>
          <w:sz w:val="28"/>
          <w:szCs w:val="28"/>
          <w:vertAlign w:val="baseline"/>
          <w:lang w:val="en-US"/>
        </w:rPr>
        <w:t xml:space="preserve">N. </w:t>
      </w:r>
      <w:r>
        <w:rPr>
          <w:rFonts w:ascii="TimesNewRomanPSMT" w:hAnsi="TimesNewRomanPSMT"/>
          <w:b w:val="false"/>
          <w:bCs w:val="false"/>
          <w:color w:val="00000A"/>
          <w:sz w:val="28"/>
        </w:rPr>
        <w:t>norvegicus FU2627 Males the dark blue line (M/k=1.5) does not appear on the corresponding graph, since it overlaps with the red line (</w:t>
      </w:r>
      <w:r>
        <w:rPr>
          <w:rFonts w:eastAsia="Calibri" w:cs="Times New Roman" w:ascii="Times New Roman" w:hAnsi="Times New Roman"/>
          <w:b w:val="false"/>
          <w:bCs w:val="false"/>
          <w:color w:val="00000A"/>
          <w:position w:val="0"/>
          <w:sz w:val="28"/>
          <w:sz w:val="28"/>
          <w:szCs w:val="28"/>
          <w:vertAlign w:val="baseline"/>
          <w:lang w:val="en-US"/>
        </w:rPr>
        <w:t>0.75*M/k</w:t>
      </w:r>
      <w:r>
        <w:rPr>
          <w:rFonts w:eastAsia="Calibri" w:cs="Times New Roman" w:ascii="Times New Roman" w:hAnsi="Times New Roman"/>
          <w:b w:val="false"/>
          <w:bCs w:val="false"/>
          <w:color w:val="00000A"/>
          <w:sz w:val="28"/>
          <w:szCs w:val="28"/>
          <w:vertAlign w:val="superscript"/>
          <w:lang w:val="en-US"/>
        </w:rPr>
        <w:t>LIT</w:t>
      </w:r>
      <w:r>
        <w:rPr>
          <w:rFonts w:eastAsia="Calibri" w:cs="Times New Roman" w:ascii="Times New Roman" w:hAnsi="Times New Roman"/>
          <w:b w:val="false"/>
          <w:bCs w:val="false"/>
          <w:color w:val="00000A"/>
          <w:position w:val="0"/>
          <w:sz w:val="28"/>
          <w:sz w:val="28"/>
          <w:szCs w:val="28"/>
          <w:vertAlign w:val="baseline"/>
          <w:lang w:val="en-US"/>
        </w:rPr>
        <w:t xml:space="preserve">=0.75*2=1.5). In Figure 2, for G. Melastomus the </w:t>
      </w:r>
      <w:r>
        <w:rPr>
          <w:rFonts w:eastAsia="Calibri" w:cs="Times New Roman" w:ascii="TimesNewRomanPSMT" w:hAnsi="TimesNewRomanPSMT"/>
          <w:b w:val="false"/>
          <w:bCs w:val="false"/>
          <w:color w:val="00000A"/>
          <w:position w:val="0"/>
          <w:sz w:val="28"/>
          <w:sz w:val="28"/>
          <w:szCs w:val="28"/>
          <w:vertAlign w:val="baseline"/>
          <w:lang w:val="en-US"/>
        </w:rPr>
        <w:t xml:space="preserve">dark blue line (M/k=1.5) is also missed, in this case it overlaps with the black line (reference model) since  </w:t>
      </w:r>
      <w:r>
        <w:rPr>
          <w:rFonts w:eastAsia="Calibri" w:cs="Times New Roman" w:ascii="Times New Roman" w:hAnsi="Times New Roman"/>
          <w:b w:val="false"/>
          <w:bCs w:val="false"/>
          <w:color w:val="00000A"/>
          <w:position w:val="0"/>
          <w:sz w:val="28"/>
          <w:sz w:val="28"/>
          <w:szCs w:val="28"/>
          <w:vertAlign w:val="baseline"/>
          <w:lang w:val="en-US"/>
        </w:rPr>
        <w:t>M/k</w:t>
      </w:r>
      <w:r>
        <w:rPr>
          <w:rFonts w:eastAsia="Calibri" w:cs="Times New Roman" w:ascii="Times New Roman" w:hAnsi="Times New Roman"/>
          <w:b w:val="false"/>
          <w:bCs w:val="false"/>
          <w:color w:val="00000A"/>
          <w:sz w:val="28"/>
          <w:szCs w:val="28"/>
          <w:vertAlign w:val="superscript"/>
          <w:lang w:val="en-US"/>
        </w:rPr>
        <w:t xml:space="preserve">LIT </w:t>
      </w:r>
      <w:r>
        <w:rPr>
          <w:rFonts w:eastAsia="Calibri" w:cs="Times New Roman" w:ascii="Times New Roman" w:hAnsi="Times New Roman"/>
          <w:b w:val="false"/>
          <w:bCs w:val="false"/>
          <w:color w:val="00000A"/>
          <w:position w:val="0"/>
          <w:sz w:val="28"/>
          <w:sz w:val="28"/>
          <w:szCs w:val="28"/>
          <w:vertAlign w:val="baseline"/>
          <w:lang w:val="en-US"/>
        </w:rPr>
        <w:t>is 1.5. Finally, for E.encrasicolus (Figure 2) we can observe that for the setting of overestimation of L</w:t>
      </w:r>
      <w:r>
        <w:rPr>
          <w:rFonts w:eastAsia="Liberation Serif" w:cs="Liberation Serif" w:ascii="Liberation Serif" w:hAnsi="Liberation Serif"/>
          <w:b w:val="false"/>
          <w:bCs w:val="false"/>
          <w:color w:val="00000A"/>
          <w:sz w:val="28"/>
          <w:szCs w:val="28"/>
          <w:vertAlign w:val="subscript"/>
          <w:lang w:val="en-US"/>
        </w:rPr>
        <w:t>∞</w:t>
      </w:r>
      <w:r>
        <w:rPr>
          <w:rFonts w:eastAsia="Liberation Serif" w:cs="Liberation Serif" w:ascii="Liberation Serif" w:hAnsi="Liberation Serif"/>
          <w:b w:val="false"/>
          <w:bCs w:val="false"/>
          <w:color w:val="00000A"/>
          <w:position w:val="0"/>
          <w:sz w:val="28"/>
          <w:sz w:val="28"/>
          <w:szCs w:val="28"/>
          <w:vertAlign w:val="baseline"/>
          <w:lang w:val="en-US"/>
        </w:rPr>
        <w:t xml:space="preserve"> one of the estimates of F/M is unexpected due to its high value (≈150).</w:t>
      </w:r>
    </w:p>
    <w:p>
      <w:pPr>
        <w:pStyle w:val="Normal"/>
        <w:spacing w:lineRule="auto" w:line="480" w:before="0" w:after="200"/>
        <w:jc w:val="both"/>
        <w:rPr/>
      </w:pPr>
      <w:r>
        <w:rPr>
          <w:rFonts w:ascii="TimesNewRomanPSMT" w:hAnsi="TimesNewRomanPSMT"/>
          <w:b w:val="false"/>
          <w:bCs w:val="false"/>
          <w:color w:val="00000A"/>
          <w:sz w:val="28"/>
        </w:rPr>
        <w:t>F</w:t>
      </w:r>
      <w:r>
        <w:rPr>
          <w:rFonts w:ascii="TimesNewRomanPSMT" w:hAnsi="TimesNewRomanPSMT"/>
          <w:b w:val="false"/>
          <w:bCs w:val="false"/>
          <w:color w:val="00000A"/>
          <w:sz w:val="28"/>
        </w:rPr>
        <w:t>igures 1 and 2 show that, as expected, the variation on parameter</w:t>
      </w:r>
      <w:r>
        <w:rPr>
          <w:rFonts w:ascii="TimesNewRomanPSMT" w:hAnsi="TimesNewRomanPSMT"/>
          <w:b w:val="false"/>
          <w:bCs w:val="false"/>
          <w:color w:val="00000A"/>
          <w:sz w:val="28"/>
        </w:rPr>
        <w:t>s</w:t>
      </w:r>
      <w:r>
        <w:rPr>
          <w:rFonts w:ascii="TimesNewRomanPSMT" w:hAnsi="TimesNewRomanPSMT"/>
          <w:b w:val="false"/>
          <w:bCs w:val="false"/>
          <w:color w:val="00000A"/>
          <w:sz w:val="28"/>
        </w:rPr>
        <w:t xml:space="preserve"> M/k</w:t>
      </w:r>
    </w:p>
    <w:p>
      <w:pPr>
        <w:pStyle w:val="Normal"/>
        <w:spacing w:lineRule="auto" w:line="480" w:before="0" w:after="200"/>
        <w:jc w:val="both"/>
        <w:rPr/>
      </w:pPr>
      <w:r>
        <w:rPr>
          <w:rFonts w:ascii="TimesNewRomanPSMT" w:hAnsi="TimesNewRomanPSMT"/>
          <w:b w:val="false"/>
          <w:bCs w:val="false"/>
          <w:color w:val="00000A"/>
          <w:sz w:val="28"/>
        </w:rPr>
        <w:t>and L</w:t>
      </w:r>
      <w:r>
        <w:rPr>
          <w:rFonts w:eastAsia="Liberation Serif" w:cs="Liberation Serif" w:ascii="Liberation Serif" w:hAnsi="Liberation Serif"/>
          <w:b w:val="false"/>
          <w:bCs w:val="false"/>
          <w:color w:val="00000A"/>
          <w:sz w:val="28"/>
          <w:vertAlign w:val="subscript"/>
        </w:rPr>
        <w:t>∞</w:t>
      </w:r>
      <w:r>
        <w:rPr>
          <w:rFonts w:ascii="TimesNewRomanPSMT" w:hAnsi="TimesNewRomanPSMT"/>
          <w:b w:val="false"/>
          <w:bCs w:val="false"/>
          <w:color w:val="00000A"/>
          <w:sz w:val="28"/>
        </w:rPr>
        <w:t xml:space="preserve"> leads to different conclusions about the stock state. </w:t>
      </w:r>
    </w:p>
    <w:p>
      <w:pPr>
        <w:pStyle w:val="Normal"/>
        <w:spacing w:lineRule="auto" w:line="480" w:before="0" w:after="200"/>
        <w:jc w:val="both"/>
        <w:rPr>
          <w:rFonts w:ascii="TimesNewRomanPSMT" w:hAnsi="TimesNewRomanPSMT"/>
          <w:b w:val="false"/>
          <w:b w:val="false"/>
          <w:bCs w:val="false"/>
          <w:color w:val="00000A"/>
          <w:sz w:val="28"/>
        </w:rPr>
      </w:pPr>
      <w:r>
        <w:rPr/>
      </w:r>
    </w:p>
    <w:p>
      <w:pPr>
        <w:pStyle w:val="Normal"/>
        <w:spacing w:lineRule="auto" w:line="480" w:before="0" w:after="200"/>
        <w:jc w:val="both"/>
        <w:rPr/>
      </w:pPr>
      <w:r>
        <w:rPr>
          <w:rFonts w:ascii="TimesNewRomanPSMT" w:hAnsi="TimesNewRomanPSMT"/>
          <w:b w:val="false"/>
          <w:bCs w:val="false"/>
          <w:color w:val="00000A"/>
          <w:sz w:val="28"/>
        </w:rPr>
        <w:t>In general, o</w:t>
      </w:r>
      <w:r>
        <w:rPr>
          <w:rFonts w:ascii="TimesNewRomanPSMT" w:hAnsi="TimesNewRomanPSMT"/>
          <w:b w:val="false"/>
          <w:bCs w:val="false"/>
          <w:color w:val="00000A"/>
          <w:sz w:val="28"/>
        </w:rPr>
        <w:t xml:space="preserve">verestimation of </w:t>
      </w:r>
      <w:r>
        <w:rPr>
          <w:rFonts w:ascii="TimesNewRomanPSMT" w:hAnsi="TimesNewRomanPSMT"/>
          <w:sz w:val="28"/>
        </w:rPr>
        <w:t xml:space="preserve">M/k leads to a more optimistic perception of the state of stock, since as we can see in </w:t>
      </w:r>
      <w:r>
        <w:rPr>
          <w:rFonts w:ascii="TimesNewRomanPSMT" w:hAnsi="TimesNewRomanPSMT"/>
          <w:sz w:val="28"/>
        </w:rPr>
        <w:t>Figures</w:t>
      </w:r>
      <w:r>
        <w:rPr>
          <w:rFonts w:ascii="TimesNewRomanPSMT" w:hAnsi="TimesNewRomanPSMT"/>
          <w:sz w:val="28"/>
        </w:rPr>
        <w:t xml:space="preserve"> </w:t>
      </w:r>
      <w:r>
        <w:rPr>
          <w:rFonts w:ascii="TimesNewRomanPSMT" w:hAnsi="TimesNewRomanPSMT"/>
          <w:sz w:val="28"/>
        </w:rPr>
        <w:t>1</w:t>
      </w:r>
      <w:r>
        <w:rPr>
          <w:rFonts w:ascii="TimesNewRomanPSMT" w:hAnsi="TimesNewRomanPSMT"/>
          <w:sz w:val="28"/>
        </w:rPr>
        <w:t xml:space="preserve"> and </w:t>
      </w:r>
      <w:r>
        <w:rPr>
          <w:rFonts w:ascii="TimesNewRomanPSMT" w:hAnsi="TimesNewRomanPSMT"/>
          <w:sz w:val="28"/>
        </w:rPr>
        <w:t>2</w:t>
      </w:r>
      <w:r>
        <w:rPr>
          <w:rFonts w:ascii="TimesNewRomanPSMT" w:hAnsi="TimesNewRomanPSMT"/>
          <w:sz w:val="28"/>
        </w:rPr>
        <w:t xml:space="preserve"> </w:t>
      </w:r>
      <w:r>
        <w:rPr>
          <w:rFonts w:ascii="TimesNewRomanPSMT" w:hAnsi="TimesNewRomanPSMT"/>
          <w:sz w:val="28"/>
        </w:rPr>
        <w:t xml:space="preserve">the  </w:t>
      </w:r>
      <w:r>
        <w:rPr>
          <w:rFonts w:eastAsia="Times New Roman" w:cs="Times New Roman" w:ascii="Times New Roman" w:hAnsi="Times New Roman"/>
          <w:b w:val="false"/>
          <w:bCs w:val="false"/>
          <w:position w:val="0"/>
          <w:sz w:val="28"/>
          <w:sz w:val="28"/>
          <w:szCs w:val="28"/>
          <w:vertAlign w:val="baseline"/>
          <w:lang w:val="en-US"/>
        </w:rPr>
        <w:t xml:space="preserve">smoother line </w:t>
      </w:r>
      <w:r>
        <w:rPr>
          <w:rFonts w:eastAsia="Times New Roman" w:cs="Times New Roman" w:ascii="Times New Roman" w:hAnsi="Times New Roman"/>
          <w:b w:val="false"/>
          <w:bCs w:val="false"/>
          <w:position w:val="0"/>
          <w:sz w:val="28"/>
          <w:sz w:val="28"/>
          <w:szCs w:val="28"/>
          <w:vertAlign w:val="baseline"/>
          <w:lang w:val="en-US"/>
        </w:rPr>
        <w:t xml:space="preserve">of SPR estimates is always </w:t>
      </w:r>
      <w:r>
        <w:rPr>
          <w:rFonts w:eastAsia="Times New Roman" w:cs="Times New Roman" w:ascii="Times New Roman" w:hAnsi="Times New Roman"/>
          <w:b w:val="false"/>
          <w:bCs w:val="false"/>
          <w:position w:val="0"/>
          <w:sz w:val="28"/>
          <w:sz w:val="28"/>
          <w:szCs w:val="28"/>
          <w:vertAlign w:val="baseline"/>
          <w:lang w:val="en-US"/>
        </w:rPr>
        <w:t>above to the corresponding one for the reference model, which lead to the opposite behavior in the F/M plot.</w:t>
      </w:r>
      <w:r>
        <w:rPr>
          <w:rFonts w:ascii="TimesNewRomanPSMT" w:hAnsi="TimesNewRomanPSMT"/>
          <w:sz w:val="28"/>
        </w:rPr>
        <w:t xml:space="preserve"> Whereas the opposite behavior is detected under underestimation of M/k  </w:t>
      </w:r>
      <w:r>
        <w:rPr>
          <w:rFonts w:ascii="TimesNewRomanPSMT" w:hAnsi="TimesNewRomanPSMT"/>
          <w:sz w:val="28"/>
        </w:rPr>
        <w:t>As in the LBI method, t</w:t>
      </w:r>
      <w:r>
        <w:rPr>
          <w:rFonts w:ascii="TimesNewRomanPSMT" w:hAnsi="TimesNewRomanPSMT"/>
          <w:sz w:val="28"/>
        </w:rPr>
        <w:t xml:space="preserve">he conclusions </w:t>
      </w:r>
      <w:r>
        <w:rPr>
          <w:rFonts w:ascii="TimesNewRomanPSMT" w:hAnsi="TimesNewRomanPSMT"/>
          <w:sz w:val="28"/>
        </w:rPr>
        <w:t>for setting</w:t>
      </w:r>
      <w:r>
        <w:rPr>
          <w:rFonts w:ascii="TimesNewRomanPSMT" w:hAnsi="TimesNewRomanPSMT"/>
          <w:sz w:val="28"/>
        </w:rPr>
        <w:t xml:space="preserve"> M/k=1.5 depend on whether M/</w:t>
      </w:r>
      <w:r>
        <w:rPr>
          <w:rFonts w:ascii="TimesNewRomanPSMT" w:hAnsi="TimesNewRomanPSMT"/>
          <w:sz w:val="28"/>
        </w:rPr>
        <w:t>k</w:t>
      </w:r>
      <w:r>
        <w:rPr>
          <w:rFonts w:ascii="TimesNewRomanPSMT" w:hAnsi="TimesNewRomanPSMT"/>
          <w:sz w:val="16"/>
          <w:vertAlign w:val="superscript"/>
        </w:rPr>
        <w:t>LIT</w:t>
      </w:r>
      <w:r>
        <w:rPr>
          <w:rFonts w:ascii="TimesNewRomanPSMT" w:hAnsi="TimesNewRomanPSMT"/>
          <w:sz w:val="16"/>
        </w:rPr>
        <w:t xml:space="preserve"> </w:t>
      </w:r>
      <w:r>
        <w:rPr>
          <w:rFonts w:ascii="TimesNewRomanPSMT" w:hAnsi="TimesNewRomanPSMT"/>
          <w:sz w:val="28"/>
        </w:rPr>
        <w:t xml:space="preserve">is less than or greater than 1.5 and therefore if we are in a </w:t>
      </w:r>
      <w:r>
        <w:rPr>
          <w:rFonts w:ascii="TimesNewRomanPSMT" w:hAnsi="TimesNewRomanPSMT"/>
          <w:sz w:val="28"/>
        </w:rPr>
        <w:t xml:space="preserve">particular case of underestimation or overestimation. </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In the setting 0.75*M/k</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we can see that the conclusion is that the stock is collapsed with SPR estimates in the interval (0.10-0.15) or even below </w:t>
      </w:r>
      <w:r>
        <w:rPr>
          <w:rFonts w:eastAsia="Times New Roman" w:cs="Times New Roman" w:ascii="Times New Roman" w:hAnsi="Times New Roman"/>
          <w:b w:val="false"/>
          <w:bCs w:val="false"/>
          <w:position w:val="0"/>
          <w:sz w:val="28"/>
          <w:sz w:val="28"/>
          <w:szCs w:val="28"/>
          <w:vertAlign w:val="baseline"/>
          <w:lang w:val="en-US"/>
        </w:rPr>
        <w:t xml:space="preserve">almost for all species (except P.pollachius,  </w:t>
      </w:r>
      <w:r>
        <w:rPr>
          <w:rFonts w:eastAsia="Times New Roman" w:cs="Times New Roman" w:ascii="Times New Roman" w:hAnsi="Times New Roman"/>
          <w:b w:val="false"/>
          <w:bCs w:val="false"/>
          <w:position w:val="0"/>
          <w:sz w:val="28"/>
          <w:sz w:val="28"/>
          <w:szCs w:val="28"/>
          <w:vertAlign w:val="baseline"/>
          <w:lang w:val="en-US"/>
        </w:rPr>
        <w:t xml:space="preserve">N. Norvegicus FU2627 </w:t>
      </w:r>
      <w:r>
        <w:rPr>
          <w:rFonts w:eastAsia="Times New Roman" w:cs="Times New Roman" w:ascii="Times New Roman" w:hAnsi="Times New Roman"/>
          <w:b w:val="false"/>
          <w:bCs w:val="false"/>
          <w:position w:val="0"/>
          <w:sz w:val="28"/>
          <w:sz w:val="28"/>
          <w:szCs w:val="28"/>
          <w:vertAlign w:val="baseline"/>
          <w:lang w:val="en-US"/>
        </w:rPr>
        <w:t xml:space="preserve">and  </w:t>
      </w:r>
      <w:r>
        <w:rPr>
          <w:rFonts w:eastAsia="Times New Roman" w:cs="Times New Roman" w:ascii="Times New Roman" w:hAnsi="Times New Roman"/>
          <w:b w:val="false"/>
          <w:bCs w:val="false"/>
          <w:position w:val="0"/>
          <w:sz w:val="28"/>
          <w:sz w:val="28"/>
          <w:szCs w:val="28"/>
          <w:vertAlign w:val="baseline"/>
          <w:lang w:val="en-US"/>
        </w:rPr>
        <w:t>N. Norvegicus FU2</w:t>
      </w:r>
      <w:r>
        <w:rPr>
          <w:rFonts w:eastAsia="Times New Roman" w:cs="Times New Roman" w:ascii="Times New Roman" w:hAnsi="Times New Roman"/>
          <w:b w:val="false"/>
          <w:bCs w:val="false"/>
          <w:position w:val="0"/>
          <w:sz w:val="28"/>
          <w:sz w:val="28"/>
          <w:szCs w:val="28"/>
          <w:vertAlign w:val="baseline"/>
          <w:lang w:val="en-US"/>
        </w:rPr>
        <w:t xml:space="preserve">5 Females). Although </w:t>
      </w:r>
      <w:r>
        <w:rPr>
          <w:rFonts w:eastAsia="Times New Roman" w:cs="Times New Roman" w:ascii="Times New Roman" w:hAnsi="Times New Roman"/>
          <w:b w:val="false"/>
          <w:bCs w:val="false"/>
          <w:position w:val="0"/>
          <w:sz w:val="28"/>
          <w:sz w:val="28"/>
          <w:szCs w:val="28"/>
          <w:vertAlign w:val="baseline"/>
          <w:lang w:val="en-US"/>
        </w:rPr>
        <w:t>the SPR estimates</w:t>
      </w:r>
      <w:r>
        <w:rPr>
          <w:rFonts w:eastAsia="Times New Roman" w:cs="Times New Roman" w:ascii="Times New Roman" w:hAnsi="Times New Roman"/>
          <w:b w:val="false"/>
          <w:bCs w:val="false"/>
          <w:position w:val="0"/>
          <w:sz w:val="28"/>
          <w:sz w:val="28"/>
          <w:szCs w:val="28"/>
          <w:vertAlign w:val="baseline"/>
          <w:lang w:val="en-US"/>
        </w:rPr>
        <w:t xml:space="preserve"> derived from the reference model for such species are larger </w:t>
      </w:r>
      <w:r>
        <w:rPr>
          <w:rFonts w:eastAsia="Times New Roman" w:cs="Times New Roman" w:ascii="Times New Roman" w:hAnsi="Times New Roman"/>
          <w:b w:val="false"/>
          <w:bCs w:val="false"/>
          <w:position w:val="0"/>
          <w:sz w:val="28"/>
          <w:sz w:val="28"/>
          <w:szCs w:val="28"/>
          <w:vertAlign w:val="baseline"/>
          <w:lang w:val="en-US"/>
        </w:rPr>
        <w:t xml:space="preserve">the conclusion is the same. For the </w:t>
      </w:r>
      <w:r>
        <w:rPr>
          <w:rFonts w:eastAsia="Times New Roman" w:cs="Times New Roman" w:ascii="Times New Roman" w:hAnsi="Times New Roman"/>
          <w:b w:val="false"/>
          <w:bCs w:val="false"/>
          <w:position w:val="0"/>
          <w:sz w:val="28"/>
          <w:sz w:val="28"/>
          <w:szCs w:val="28"/>
          <w:vertAlign w:val="baseline"/>
          <w:lang w:val="en-US"/>
        </w:rPr>
        <w:t xml:space="preserve"> P.pollachius </w:t>
      </w:r>
      <w:r>
        <w:rPr>
          <w:rFonts w:eastAsia="Times New Roman" w:cs="Times New Roman" w:ascii="Times New Roman" w:hAnsi="Times New Roman"/>
          <w:b w:val="false"/>
          <w:bCs w:val="false"/>
          <w:position w:val="0"/>
          <w:sz w:val="28"/>
          <w:sz w:val="28"/>
          <w:szCs w:val="28"/>
          <w:vertAlign w:val="baseline"/>
          <w:lang w:val="en-US"/>
        </w:rPr>
        <w:t xml:space="preserve">the SPR estimates (in both settings) are above 0.15 but below 0.35 hence we conclude that the stock is not collapsed but below the MSY level. The same holds for  </w:t>
      </w:r>
      <w:r>
        <w:rPr>
          <w:rFonts w:eastAsia="Times New Roman" w:cs="Times New Roman" w:ascii="Times New Roman" w:hAnsi="Times New Roman"/>
          <w:b w:val="false"/>
          <w:bCs w:val="false"/>
          <w:position w:val="0"/>
          <w:sz w:val="28"/>
          <w:sz w:val="28"/>
          <w:szCs w:val="28"/>
          <w:vertAlign w:val="baseline"/>
          <w:lang w:val="en-US"/>
        </w:rPr>
        <w:t>Norvegicus FU2</w:t>
      </w:r>
      <w:r>
        <w:rPr>
          <w:rFonts w:eastAsia="Times New Roman" w:cs="Times New Roman" w:ascii="Times New Roman" w:hAnsi="Times New Roman"/>
          <w:b w:val="false"/>
          <w:bCs w:val="false"/>
          <w:position w:val="0"/>
          <w:sz w:val="28"/>
          <w:sz w:val="28"/>
          <w:szCs w:val="28"/>
          <w:vertAlign w:val="baseline"/>
          <w:lang w:val="en-US"/>
        </w:rPr>
        <w:t xml:space="preserve">5 Females </w:t>
      </w:r>
      <w:r>
        <w:rPr>
          <w:rFonts w:eastAsia="Times New Roman" w:cs="Times New Roman" w:ascii="Times New Roman" w:hAnsi="Times New Roman"/>
          <w:b w:val="false"/>
          <w:bCs w:val="false"/>
          <w:position w:val="0"/>
          <w:sz w:val="28"/>
          <w:sz w:val="28"/>
          <w:szCs w:val="28"/>
          <w:vertAlign w:val="baseline"/>
          <w:lang w:val="en-US"/>
        </w:rPr>
        <w:t xml:space="preserve">whereas for </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 </w:t>
      </w:r>
      <w:r>
        <w:rPr>
          <w:rFonts w:eastAsia="Times New Roman" w:cs="Times New Roman" w:ascii="Times New Roman" w:hAnsi="Times New Roman"/>
          <w:b w:val="false"/>
          <w:bCs w:val="false"/>
          <w:position w:val="0"/>
          <w:sz w:val="28"/>
          <w:sz w:val="28"/>
          <w:szCs w:val="28"/>
          <w:vertAlign w:val="baseline"/>
          <w:lang w:val="en-US"/>
        </w:rPr>
        <w:t xml:space="preserve">N. Norvegicus FU2627 </w:t>
      </w:r>
      <w:r>
        <w:rPr>
          <w:rFonts w:eastAsia="Times New Roman" w:cs="Times New Roman" w:ascii="Times New Roman" w:hAnsi="Times New Roman"/>
          <w:b w:val="false"/>
          <w:bCs w:val="false"/>
          <w:position w:val="0"/>
          <w:sz w:val="28"/>
          <w:sz w:val="28"/>
          <w:szCs w:val="28"/>
          <w:vertAlign w:val="baseline"/>
          <w:lang w:val="en-US"/>
        </w:rPr>
        <w:t xml:space="preserve">both settings lead to conclude that the stock in the last years is at MSY level. </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O</w:t>
      </w:r>
      <w:r>
        <w:rPr>
          <w:rFonts w:eastAsia="Times New Roman" w:cs="Times New Roman" w:ascii="Times New Roman" w:hAnsi="Times New Roman"/>
          <w:b w:val="false"/>
          <w:bCs w:val="false"/>
          <w:position w:val="0"/>
          <w:sz w:val="28"/>
          <w:sz w:val="28"/>
          <w:szCs w:val="28"/>
          <w:vertAlign w:val="baseline"/>
          <w:lang w:val="en-US"/>
        </w:rPr>
        <w:t xml:space="preserve">n the other hand in the setting 1.25* </w:t>
      </w:r>
      <w:r>
        <w:rPr>
          <w:rFonts w:eastAsia="Times New Roman" w:cs="Times New Roman" w:ascii="Times New Roman" w:hAnsi="Times New Roman"/>
          <w:b w:val="false"/>
          <w:bCs w:val="false"/>
          <w:position w:val="0"/>
          <w:sz w:val="28"/>
          <w:sz w:val="28"/>
          <w:szCs w:val="28"/>
          <w:vertAlign w:val="baseline"/>
          <w:lang w:val="en-US"/>
        </w:rPr>
        <w:t>M/k</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 xml:space="preserve">we can see that the conclusions for almost all the species (except T.luscus, N. Norvegicus FU2627 and </w:t>
      </w:r>
      <w:r>
        <w:rPr>
          <w:rFonts w:eastAsia="Times New Roman" w:cs="Times New Roman" w:ascii="Times New Roman" w:hAnsi="Times New Roman"/>
          <w:b w:val="false"/>
          <w:bCs w:val="false"/>
          <w:sz w:val="28"/>
          <w:szCs w:val="28"/>
          <w:vertAlign w:val="superscript"/>
          <w:lang w:val="en-US"/>
        </w:rPr>
        <w:t xml:space="preserve"> </w:t>
      </w:r>
      <w:r>
        <w:rPr>
          <w:rFonts w:eastAsia="Times New Roman" w:cs="Times New Roman" w:ascii="Times New Roman" w:hAnsi="Times New Roman"/>
          <w:b w:val="false"/>
          <w:bCs w:val="false"/>
          <w:position w:val="0"/>
          <w:sz w:val="28"/>
          <w:sz w:val="28"/>
          <w:szCs w:val="28"/>
          <w:vertAlign w:val="baseline"/>
          <w:lang w:val="en-US"/>
        </w:rPr>
        <w:t xml:space="preserve">N. Norvegicus FU25 Females) are the same  as  the ones derived from the reference model in spite that the SPR estimates are larges in the setting  1.25* </w:t>
      </w:r>
      <w:r>
        <w:rPr>
          <w:rFonts w:eastAsia="Times New Roman" w:cs="Times New Roman" w:ascii="Times New Roman" w:hAnsi="Times New Roman"/>
          <w:b w:val="false"/>
          <w:bCs w:val="false"/>
          <w:position w:val="0"/>
          <w:sz w:val="28"/>
          <w:sz w:val="28"/>
          <w:szCs w:val="28"/>
          <w:vertAlign w:val="baseline"/>
          <w:lang w:val="en-US"/>
        </w:rPr>
        <w:t>M/k</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w:t>
      </w:r>
      <w:r>
        <w:rPr>
          <w:rFonts w:eastAsia="Times New Roman" w:cs="Times New Roman" w:ascii="Times New Roman" w:hAnsi="Times New Roman"/>
          <w:b w:val="false"/>
          <w:bCs w:val="false"/>
          <w:position w:val="0"/>
          <w:sz w:val="28"/>
          <w:sz w:val="28"/>
          <w:szCs w:val="28"/>
          <w:vertAlign w:val="baseline"/>
          <w:lang w:val="en-US"/>
        </w:rPr>
        <w:t>For  N. Norvegicus FU2627 in both settings t</w:t>
      </w:r>
      <w:r>
        <w:rPr>
          <w:rFonts w:eastAsia="Times New Roman" w:cs="Times New Roman" w:ascii="Times New Roman" w:hAnsi="Times New Roman"/>
          <w:b w:val="false"/>
          <w:bCs w:val="false"/>
          <w:position w:val="0"/>
          <w:sz w:val="28"/>
          <w:sz w:val="28"/>
          <w:szCs w:val="28"/>
          <w:vertAlign w:val="baseline"/>
          <w:lang w:val="en-US"/>
        </w:rPr>
        <w:t>he stock in the last years is a</w:t>
      </w:r>
      <w:r>
        <w:rPr>
          <w:rFonts w:eastAsia="Times New Roman" w:cs="Times New Roman" w:ascii="Times New Roman" w:hAnsi="Times New Roman"/>
          <w:b w:val="false"/>
          <w:bCs w:val="false"/>
          <w:position w:val="0"/>
          <w:sz w:val="28"/>
          <w:sz w:val="28"/>
          <w:szCs w:val="28"/>
          <w:vertAlign w:val="baseline"/>
          <w:lang w:val="en-US"/>
        </w:rPr>
        <w:t>bove the</w:t>
      </w:r>
      <w:r>
        <w:rPr>
          <w:rFonts w:eastAsia="Times New Roman" w:cs="Times New Roman" w:ascii="Times New Roman" w:hAnsi="Times New Roman"/>
          <w:b w:val="false"/>
          <w:bCs w:val="false"/>
          <w:position w:val="0"/>
          <w:sz w:val="28"/>
          <w:sz w:val="28"/>
          <w:szCs w:val="28"/>
          <w:vertAlign w:val="baseline"/>
          <w:lang w:val="en-US"/>
        </w:rPr>
        <w:t xml:space="preserve"> MSY level.  </w:t>
      </w:r>
      <w:r>
        <w:rPr>
          <w:rFonts w:eastAsia="Times New Roman" w:cs="Times New Roman" w:ascii="Times New Roman" w:hAnsi="Times New Roman"/>
          <w:b w:val="false"/>
          <w:bCs w:val="false"/>
          <w:position w:val="0"/>
          <w:sz w:val="28"/>
          <w:sz w:val="28"/>
          <w:szCs w:val="28"/>
          <w:vertAlign w:val="baseline"/>
          <w:lang w:val="en-US"/>
        </w:rPr>
        <w:t xml:space="preserve">For T.luscus we can see that overestimation of  </w:t>
      </w:r>
      <w:r>
        <w:rPr>
          <w:rFonts w:eastAsia="Times New Roman" w:cs="Times New Roman" w:ascii="Times New Roman" w:hAnsi="Times New Roman"/>
          <w:b w:val="false"/>
          <w:bCs w:val="false"/>
          <w:position w:val="0"/>
          <w:sz w:val="28"/>
          <w:sz w:val="28"/>
          <w:szCs w:val="28"/>
          <w:vertAlign w:val="baseline"/>
          <w:lang w:val="en-US"/>
        </w:rPr>
        <w:t>M/k</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 xml:space="preserve">leads to conclude that the stock is not collapsed although below MSY level whereas the reference model concludes that the stock is collapsed. Finally, for N. Norvegicus  FU25 females the stock is at MSY level following the setting  1.25* </w:t>
      </w:r>
      <w:r>
        <w:rPr>
          <w:rFonts w:eastAsia="Times New Roman" w:cs="Times New Roman" w:ascii="Times New Roman" w:hAnsi="Times New Roman"/>
          <w:b w:val="false"/>
          <w:bCs w:val="false"/>
          <w:position w:val="0"/>
          <w:sz w:val="28"/>
          <w:sz w:val="28"/>
          <w:szCs w:val="28"/>
          <w:vertAlign w:val="baseline"/>
          <w:lang w:val="en-US"/>
        </w:rPr>
        <w:t>M/k</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whereas the reference model concludes that the stock is below the MSY level.</w:t>
      </w:r>
    </w:p>
    <w:p>
      <w:pPr>
        <w:pStyle w:val="Normal"/>
        <w:spacing w:lineRule="auto" w:line="480" w:before="0" w:after="200"/>
        <w:jc w:val="both"/>
        <w:rPr>
          <w:rFonts w:ascii="Times New Roman" w:hAnsi="Times New Roman" w:eastAsia="Times New Roman" w:cs="Times New Roman"/>
          <w:position w:val="0"/>
          <w:sz w:val="22"/>
          <w:sz w:val="28"/>
          <w:szCs w:val="28"/>
          <w:vertAlign w:val="baseline"/>
          <w:lang w:val="en-US"/>
        </w:rPr>
      </w:pPr>
      <w:r>
        <w:rPr>
          <w:b/>
          <w:bCs/>
        </w:rPr>
      </w:r>
    </w:p>
    <w:p>
      <w:pPr>
        <w:pStyle w:val="Normal"/>
        <w:spacing w:lineRule="auto" w:line="480" w:before="0" w:after="200"/>
        <w:jc w:val="both"/>
        <w:rPr>
          <w:rFonts w:ascii="Times New Roman" w:hAnsi="Times New Roman" w:eastAsia="Times New Roman" w:cs="Times New Roman"/>
          <w:position w:val="0"/>
          <w:sz w:val="22"/>
          <w:sz w:val="28"/>
          <w:szCs w:val="28"/>
          <w:vertAlign w:val="baseline"/>
          <w:lang w:val="en-US"/>
        </w:rPr>
      </w:pPr>
      <w:r>
        <w:rPr>
          <w:b/>
          <w:bCs/>
        </w:rPr>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After analyzing the sensitive of LB</w:t>
      </w:r>
      <w:r>
        <w:rPr>
          <w:rFonts w:eastAsia="Times New Roman" w:cs="Times New Roman" w:ascii="Times New Roman" w:hAnsi="Times New Roman"/>
          <w:b w:val="false"/>
          <w:bCs w:val="false"/>
          <w:position w:val="0"/>
          <w:sz w:val="28"/>
          <w:sz w:val="28"/>
          <w:szCs w:val="28"/>
          <w:vertAlign w:val="baseline"/>
          <w:lang w:val="en-US"/>
        </w:rPr>
        <w:t>SPR method</w:t>
      </w:r>
      <w:r>
        <w:rPr>
          <w:rFonts w:eastAsia="Times New Roman" w:cs="Times New Roman" w:ascii="Times New Roman" w:hAnsi="Times New Roman"/>
          <w:b w:val="false"/>
          <w:bCs w:val="false"/>
          <w:position w:val="0"/>
          <w:sz w:val="28"/>
          <w:sz w:val="28"/>
          <w:szCs w:val="28"/>
          <w:vertAlign w:val="baseline"/>
          <w:lang w:val="en-US"/>
        </w:rPr>
        <w:t xml:space="preserve"> to variations on M/k value, we focus now on the sensitivity of the method to variations on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 xml:space="preserve"> value. </w:t>
      </w:r>
      <w:r>
        <w:rPr>
          <w:rFonts w:eastAsia="Times New Roman" w:cs="Times New Roman" w:ascii="Times New Roman" w:hAnsi="Times New Roman"/>
          <w:b w:val="false"/>
          <w:bCs w:val="false"/>
          <w:position w:val="0"/>
          <w:sz w:val="28"/>
          <w:sz w:val="28"/>
          <w:szCs w:val="28"/>
          <w:vertAlign w:val="baseline"/>
          <w:lang w:val="en-US"/>
        </w:rPr>
        <w:t>Figures 1 and 2 show that u</w:t>
      </w:r>
      <w:r>
        <w:rPr>
          <w:rFonts w:eastAsia="Times New Roman" w:cs="Times New Roman" w:ascii="Times New Roman" w:hAnsi="Times New Roman"/>
          <w:b w:val="false"/>
          <w:bCs w:val="false"/>
          <w:position w:val="0"/>
          <w:sz w:val="28"/>
          <w:sz w:val="28"/>
          <w:szCs w:val="28"/>
          <w:vertAlign w:val="baseline"/>
          <w:lang w:val="en-US"/>
        </w:rPr>
        <w:t>nderestimation of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 xml:space="preserve"> leads to a more optimistic perception of the state of stock, </w:t>
      </w:r>
      <w:r>
        <w:rPr>
          <w:rFonts w:eastAsia="Times New Roman" w:cs="Times New Roman" w:ascii="Times New Roman" w:hAnsi="Times New Roman"/>
          <w:b w:val="false"/>
          <w:bCs w:val="false"/>
          <w:position w:val="0"/>
          <w:sz w:val="28"/>
          <w:sz w:val="28"/>
          <w:szCs w:val="28"/>
          <w:vertAlign w:val="baseline"/>
          <w:lang w:val="en-US"/>
        </w:rPr>
        <w:t>since t</w:t>
      </w:r>
      <w:r>
        <w:rPr>
          <w:rFonts w:eastAsia="Times New Roman" w:cs="Times New Roman" w:ascii="TimesNewRomanPSMT" w:hAnsi="TimesNewRomanPSMT"/>
          <w:b w:val="false"/>
          <w:bCs w:val="false"/>
          <w:position w:val="0"/>
          <w:sz w:val="28"/>
          <w:sz w:val="28"/>
          <w:szCs w:val="28"/>
          <w:vertAlign w:val="baseline"/>
          <w:lang w:val="en-US"/>
        </w:rPr>
        <w:t xml:space="preserve">he </w:t>
      </w:r>
      <w:r>
        <w:rPr>
          <w:rFonts w:eastAsia="Times New Roman" w:cs="Times New Roman" w:ascii="Times New Roman" w:hAnsi="Times New Roman"/>
          <w:b w:val="false"/>
          <w:bCs w:val="false"/>
          <w:position w:val="0"/>
          <w:sz w:val="28"/>
          <w:sz w:val="28"/>
          <w:szCs w:val="28"/>
          <w:vertAlign w:val="baseline"/>
          <w:lang w:val="en-US"/>
        </w:rPr>
        <w:t xml:space="preserve">smoother line </w:t>
      </w:r>
      <w:r>
        <w:rPr>
          <w:rFonts w:eastAsia="Times New Roman" w:cs="Times New Roman" w:ascii="Times New Roman" w:hAnsi="Times New Roman"/>
          <w:b w:val="false"/>
          <w:bCs w:val="false"/>
          <w:position w:val="0"/>
          <w:sz w:val="28"/>
          <w:sz w:val="28"/>
          <w:szCs w:val="28"/>
          <w:vertAlign w:val="baseline"/>
          <w:lang w:val="en-US"/>
        </w:rPr>
        <w:t xml:space="preserve">of SPR estimates is always </w:t>
      </w:r>
      <w:r>
        <w:rPr>
          <w:rFonts w:eastAsia="Times New Roman" w:cs="Times New Roman" w:ascii="Times New Roman" w:hAnsi="Times New Roman"/>
          <w:b w:val="false"/>
          <w:bCs w:val="false"/>
          <w:position w:val="0"/>
          <w:sz w:val="28"/>
          <w:sz w:val="28"/>
          <w:szCs w:val="28"/>
          <w:vertAlign w:val="baseline"/>
          <w:lang w:val="en-US"/>
        </w:rPr>
        <w:t>above to the corresponding one for the reference model</w:t>
      </w:r>
      <w:r>
        <w:rPr>
          <w:rFonts w:eastAsia="Times New Roman" w:cs="Times New Roman" w:ascii="Times New Roman" w:hAnsi="Times New Roman"/>
          <w:b w:val="false"/>
          <w:bCs w:val="false"/>
          <w:position w:val="0"/>
          <w:sz w:val="28"/>
          <w:sz w:val="28"/>
          <w:szCs w:val="28"/>
          <w:vertAlign w:val="baseline"/>
          <w:lang w:val="en-US"/>
        </w:rPr>
        <w:t>. Whereas the opposite behavior is detected under underestimation of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More precisely, it is important to stand out that for all species (except T. Luscus) the setting 0.75*</w:t>
      </w:r>
      <w:r>
        <w:rPr>
          <w:rFonts w:eastAsia="Times New Roman"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sz w:val="28"/>
          <w:szCs w:val="28"/>
          <w:vertAlign w:val="subscript"/>
          <w:lang w:val="en-US"/>
        </w:rPr>
        <w:t xml:space="preserve"> </w:t>
      </w:r>
      <w:r>
        <w:rPr>
          <w:rFonts w:eastAsia="Times New Roman" w:cs="Times New Roman" w:ascii="Times New Roman" w:hAnsi="Times New Roman"/>
          <w:b w:val="false"/>
          <w:bCs w:val="false"/>
          <w:position w:val="0"/>
          <w:sz w:val="28"/>
          <w:sz w:val="28"/>
          <w:szCs w:val="28"/>
          <w:vertAlign w:val="baseline"/>
          <w:lang w:val="en-US"/>
        </w:rPr>
        <w:t>lead to conclude that the stock in the last years is above the upper limit of the MSY level (0.40) when for all species (except N. Norvegicus FU2627) such conclusion does not hold in the reference model for which the conclusion is that the stock is below the lower limit of MSY level (0.35). Note that for  N. Norvegicus FU2627 the conclusion above the state of the stock is the same as in the reference model however in the setting 0.75*</w:t>
      </w:r>
      <w:r>
        <w:rPr>
          <w:rFonts w:eastAsia="Times New Roman"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we conclude that the stock is above the upper limit of the MSY level for almost all the years when in the reference model some of the years have values above the interval for which the stock is at MSY level. Note also that T. Luscus the conclusions derived from the reference model also differ from the ones reported in setting 0.75*</w:t>
      </w:r>
      <w:r>
        <w:rPr>
          <w:rFonts w:eastAsia="Times New Roman"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since in the first one we conclude that the stock is collapsed whereas in the second one the SPR estimates are closed to the lower limit of the interval (0.35-0.40) for which the conclusion is that the stock is at MSY level.</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Important changes in the conclusions about the state of the stock appears in the setting  1.2</w:t>
      </w:r>
      <w:r>
        <w:rPr>
          <w:rFonts w:eastAsia="Times New Roman" w:cs="Times New Roman" w:ascii="Times New Roman" w:hAnsi="Times New Roman"/>
          <w:b w:val="false"/>
          <w:bCs w:val="false"/>
          <w:position w:val="0"/>
          <w:sz w:val="28"/>
          <w:sz w:val="28"/>
          <w:szCs w:val="28"/>
          <w:vertAlign w:val="baseline"/>
          <w:lang w:val="en-US"/>
        </w:rPr>
        <w:t>5*</w:t>
      </w:r>
      <w:r>
        <w:rPr>
          <w:rFonts w:eastAsia="Times New Roman"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 xml:space="preserve">in relation to the ones reported by the reference model. For species  </w:t>
      </w:r>
      <w:r>
        <w:rPr>
          <w:rFonts w:eastAsia="Times New Roman" w:cs="Times New Roman" w:ascii="TimesNewRomanPSMT" w:hAnsi="TimesNewRomanPSMT"/>
          <w:b w:val="false"/>
          <w:bCs w:val="false"/>
          <w:color w:val="00000A"/>
          <w:position w:val="0"/>
          <w:sz w:val="28"/>
          <w:sz w:val="28"/>
          <w:szCs w:val="28"/>
          <w:vertAlign w:val="baseline"/>
          <w:lang w:val="en-US"/>
        </w:rPr>
        <w:t xml:space="preserve">N. norvegicus FU25, </w:t>
      </w:r>
      <w:r>
        <w:rPr>
          <w:rFonts w:eastAsia="Times New Roman" w:cs="Times New Roman" w:ascii="TimesNewRomanPSMT" w:hAnsi="TimesNewRomanPSMT"/>
          <w:b w:val="false"/>
          <w:bCs w:val="false"/>
          <w:color w:val="00000A"/>
          <w:position w:val="0"/>
          <w:sz w:val="28"/>
          <w:sz w:val="28"/>
          <w:szCs w:val="28"/>
          <w:vertAlign w:val="baseline"/>
          <w:lang w:val="en-US"/>
        </w:rPr>
        <w:t xml:space="preserve">E. encrasicolus, P. bogaraveo, </w:t>
      </w:r>
      <w:r>
        <w:rPr>
          <w:rFonts w:eastAsia="Times New Roman" w:cs="Times New Roman" w:ascii="TimesNewRomanPSMT" w:hAnsi="TimesNewRomanPSMT"/>
          <w:b w:val="false"/>
          <w:bCs w:val="false"/>
          <w:color w:val="00000A"/>
          <w:position w:val="0"/>
          <w:sz w:val="28"/>
          <w:sz w:val="28"/>
          <w:szCs w:val="28"/>
          <w:vertAlign w:val="baseline"/>
          <w:lang w:val="en-US"/>
        </w:rPr>
        <w:t xml:space="preserve">and P. Pollachius the setting  </w:t>
      </w:r>
      <w:r>
        <w:rPr>
          <w:rFonts w:eastAsia="Times New Roman" w:cs="Times New Roman" w:ascii="Times New Roman" w:hAnsi="Times New Roman"/>
          <w:b w:val="false"/>
          <w:bCs w:val="false"/>
          <w:color w:val="00000A"/>
          <w:position w:val="0"/>
          <w:sz w:val="28"/>
          <w:sz w:val="28"/>
          <w:szCs w:val="28"/>
          <w:vertAlign w:val="baseline"/>
          <w:lang w:val="en-US"/>
        </w:rPr>
        <w:t>1.2</w:t>
      </w:r>
      <w:r>
        <w:rPr>
          <w:rFonts w:eastAsia="Times New Roman" w:cs="Times New Roman" w:ascii="Times New Roman" w:hAnsi="Times New Roman"/>
          <w:b w:val="false"/>
          <w:bCs w:val="false"/>
          <w:color w:val="00000A"/>
          <w:position w:val="0"/>
          <w:sz w:val="28"/>
          <w:sz w:val="28"/>
          <w:szCs w:val="28"/>
          <w:vertAlign w:val="baseline"/>
          <w:lang w:val="en-US"/>
        </w:rPr>
        <w:t>5*</w:t>
      </w:r>
      <w:r>
        <w:rPr>
          <w:rFonts w:eastAsia="Times New Roman" w:cs="Times New Roman" w:ascii="Times New Roman" w:hAnsi="Times New Roman"/>
          <w:b w:val="false"/>
          <w:bCs w:val="false"/>
          <w:color w:val="00000A"/>
          <w:position w:val="0"/>
          <w:sz w:val="28"/>
          <w:sz w:val="28"/>
          <w:szCs w:val="28"/>
          <w:vertAlign w:val="baseline"/>
          <w:lang w:val="en-US"/>
        </w:rPr>
        <w:t>L</w:t>
      </w:r>
      <w:r>
        <w:rPr>
          <w:rFonts w:eastAsia="Times New Roman" w:cs="Times New Roman" w:ascii="Times New Roman" w:hAnsi="Times New Roman"/>
          <w:b w:val="false"/>
          <w:bCs w:val="false"/>
          <w:color w:val="00000A"/>
          <w:sz w:val="28"/>
          <w:szCs w:val="28"/>
          <w:vertAlign w:val="subscript"/>
          <w:lang w:val="en-US"/>
        </w:rPr>
        <w:t>∞</w:t>
      </w:r>
      <w:r>
        <w:rPr>
          <w:rFonts w:eastAsia="Times New Roman" w:cs="Times New Roman" w:ascii="Times New Roman" w:hAnsi="Times New Roman"/>
          <w:b w:val="false"/>
          <w:bCs w:val="false"/>
          <w:color w:val="00000A"/>
          <w:sz w:val="28"/>
          <w:szCs w:val="28"/>
          <w:vertAlign w:val="superscript"/>
          <w:lang w:val="en-US"/>
        </w:rPr>
        <w:t>LIT</w:t>
      </w:r>
      <w:r>
        <w:rPr>
          <w:rFonts w:eastAsia="Times New Roman" w:cs="Times New Roman" w:ascii="Times New Roman" w:hAnsi="Times New Roman"/>
          <w:b w:val="false"/>
          <w:bCs w:val="false"/>
          <w:color w:val="00000A"/>
          <w:position w:val="0"/>
          <w:sz w:val="28"/>
          <w:sz w:val="28"/>
          <w:szCs w:val="28"/>
          <w:vertAlign w:val="baseline"/>
          <w:lang w:val="en-US"/>
        </w:rPr>
        <w:t xml:space="preserve"> </w:t>
      </w:r>
      <w:r>
        <w:rPr>
          <w:rFonts w:eastAsia="Times New Roman" w:cs="Times New Roman" w:ascii="Times New Roman" w:hAnsi="Times New Roman"/>
          <w:b w:val="false"/>
          <w:bCs w:val="false"/>
          <w:color w:val="00000A"/>
          <w:position w:val="0"/>
          <w:sz w:val="28"/>
          <w:sz w:val="28"/>
          <w:szCs w:val="28"/>
          <w:vertAlign w:val="baseline"/>
          <w:lang w:val="en-US"/>
        </w:rPr>
        <w:t xml:space="preserve">lead to conclude that the stock is collapsed when the estimates of SPR derived from the reference model in the last years are above to the upper limit of the interval (0.10-0.15). On the other hand for species </w:t>
      </w:r>
      <w:r>
        <w:rPr>
          <w:rFonts w:eastAsia="Times New Roman" w:cs="Times New Roman" w:ascii="TimesNewRomanPSMT" w:hAnsi="TimesNewRomanPSMT"/>
          <w:b w:val="false"/>
          <w:bCs w:val="false"/>
          <w:color w:val="00000A"/>
          <w:position w:val="0"/>
          <w:sz w:val="28"/>
          <w:sz w:val="28"/>
          <w:szCs w:val="28"/>
          <w:vertAlign w:val="baseline"/>
          <w:lang w:val="en-US"/>
        </w:rPr>
        <w:t xml:space="preserve">G.melastomus </w:t>
      </w:r>
      <w:r>
        <w:rPr>
          <w:rFonts w:eastAsia="Times New Roman" w:cs="Times New Roman" w:ascii="TimesNewRomanPSMT" w:hAnsi="TimesNewRomanPSMT"/>
          <w:b w:val="false"/>
          <w:bCs w:val="false"/>
          <w:color w:val="00000A"/>
          <w:position w:val="0"/>
          <w:sz w:val="28"/>
          <w:sz w:val="28"/>
          <w:szCs w:val="28"/>
          <w:vertAlign w:val="baseline"/>
          <w:lang w:val="en-US"/>
        </w:rPr>
        <w:t xml:space="preserve">and </w:t>
      </w:r>
      <w:r>
        <w:rPr>
          <w:rFonts w:eastAsia="Times New Roman" w:cs="Times New Roman" w:ascii="TimesNewRomanPSMT" w:hAnsi="TimesNewRomanPSMT"/>
          <w:b w:val="false"/>
          <w:bCs w:val="false"/>
          <w:color w:val="00000A"/>
          <w:position w:val="0"/>
          <w:sz w:val="28"/>
          <w:sz w:val="28"/>
          <w:szCs w:val="28"/>
          <w:vertAlign w:val="baseline"/>
          <w:lang w:val="en-US"/>
        </w:rPr>
        <w:t xml:space="preserve">T. Luscus </w:t>
      </w:r>
      <w:r>
        <w:rPr>
          <w:rFonts w:eastAsia="Times New Roman" w:cs="Times New Roman" w:ascii="TimesNewRomanPSMT" w:hAnsi="TimesNewRomanPSMT"/>
          <w:b w:val="false"/>
          <w:bCs w:val="false"/>
          <w:color w:val="00000A"/>
          <w:position w:val="0"/>
          <w:sz w:val="28"/>
          <w:sz w:val="28"/>
          <w:szCs w:val="28"/>
          <w:vertAlign w:val="baseline"/>
          <w:lang w:val="en-US"/>
        </w:rPr>
        <w:t xml:space="preserve">we can see that the reference model conclude that the stock is collapsed since the SPR estimates are in the interval (0.10-0.15) whereas the same conclusion is derived when  </w:t>
      </w:r>
      <w:r>
        <w:rPr>
          <w:rFonts w:eastAsia="Times New Roman" w:cs="Times New Roman" w:ascii="Times New Roman" w:hAnsi="Times New Roman"/>
          <w:b w:val="false"/>
          <w:bCs w:val="false"/>
          <w:color w:val="00000A"/>
          <w:position w:val="0"/>
          <w:sz w:val="28"/>
          <w:sz w:val="28"/>
          <w:szCs w:val="28"/>
          <w:vertAlign w:val="baseline"/>
          <w:lang w:val="en-US"/>
        </w:rPr>
        <w:t>L</w:t>
      </w:r>
      <w:r>
        <w:rPr>
          <w:rFonts w:eastAsia="Times New Roman" w:cs="Times New Roman" w:ascii="Times New Roman" w:hAnsi="Times New Roman"/>
          <w:b w:val="false"/>
          <w:bCs w:val="false"/>
          <w:color w:val="00000A"/>
          <w:sz w:val="28"/>
          <w:szCs w:val="28"/>
          <w:vertAlign w:val="subscript"/>
          <w:lang w:val="en-US"/>
        </w:rPr>
        <w:t>∞</w:t>
      </w:r>
      <w:r>
        <w:rPr>
          <w:rFonts w:eastAsia="Times New Roman" w:cs="Times New Roman" w:ascii="Times New Roman" w:hAnsi="Times New Roman"/>
          <w:b w:val="false"/>
          <w:bCs w:val="false"/>
          <w:color w:val="00000A"/>
          <w:sz w:val="28"/>
          <w:szCs w:val="28"/>
          <w:vertAlign w:val="superscript"/>
          <w:lang w:val="en-US"/>
        </w:rPr>
        <w:t xml:space="preserve">LIT </w:t>
      </w:r>
      <w:r>
        <w:rPr>
          <w:rFonts w:eastAsia="Times New Roman" w:cs="Times New Roman" w:ascii="Times New Roman" w:hAnsi="Times New Roman"/>
          <w:b w:val="false"/>
          <w:bCs w:val="false"/>
          <w:color w:val="00000A"/>
          <w:position w:val="0"/>
          <w:sz w:val="28"/>
          <w:sz w:val="28"/>
          <w:szCs w:val="28"/>
          <w:vertAlign w:val="baseline"/>
          <w:lang w:val="en-US"/>
        </w:rPr>
        <w:t xml:space="preserve">overestimated but the difference is that for this model the SPR estimates are below the lower limit for such interval. Finally, in the species  </w:t>
      </w:r>
      <w:r>
        <w:rPr>
          <w:rFonts w:eastAsia="Times New Roman" w:cs="Times New Roman" w:ascii="TimesNewRomanPSMT" w:hAnsi="TimesNewRomanPSMT"/>
          <w:b w:val="false"/>
          <w:bCs w:val="false"/>
          <w:color w:val="00000A"/>
          <w:position w:val="0"/>
          <w:sz w:val="28"/>
          <w:sz w:val="28"/>
          <w:szCs w:val="28"/>
          <w:vertAlign w:val="baseline"/>
          <w:lang w:val="en-US"/>
        </w:rPr>
        <w:t xml:space="preserve">N. norvegicus FU2627 the reference model leads to conclude that the stock is in a positive situation (in the last years) since the SPR estimates are above the upper limit of the interval (0.35-0.40) whereas the under overestimation of  </w:t>
      </w:r>
      <w:r>
        <w:rPr>
          <w:rFonts w:eastAsia="Times New Roman" w:cs="Times New Roman" w:ascii="Times New Roman" w:hAnsi="Times New Roman"/>
          <w:b w:val="false"/>
          <w:bCs w:val="false"/>
          <w:color w:val="00000A"/>
          <w:position w:val="0"/>
          <w:sz w:val="28"/>
          <w:sz w:val="28"/>
          <w:szCs w:val="28"/>
          <w:vertAlign w:val="baseline"/>
          <w:lang w:val="en-US"/>
        </w:rPr>
        <w:t>L</w:t>
      </w:r>
      <w:r>
        <w:rPr>
          <w:rFonts w:eastAsia="Times New Roman" w:cs="Times New Roman" w:ascii="Times New Roman" w:hAnsi="Times New Roman"/>
          <w:b w:val="false"/>
          <w:bCs w:val="false"/>
          <w:color w:val="00000A"/>
          <w:sz w:val="28"/>
          <w:szCs w:val="28"/>
          <w:vertAlign w:val="subscript"/>
          <w:lang w:val="en-US"/>
        </w:rPr>
        <w:t>∞</w:t>
      </w:r>
      <w:r>
        <w:rPr>
          <w:rFonts w:eastAsia="Times New Roman" w:cs="Times New Roman" w:ascii="Times New Roman" w:hAnsi="Times New Roman"/>
          <w:b w:val="false"/>
          <w:bCs w:val="false"/>
          <w:color w:val="00000A"/>
          <w:sz w:val="28"/>
          <w:szCs w:val="28"/>
          <w:vertAlign w:val="superscript"/>
          <w:lang w:val="en-US"/>
        </w:rPr>
        <w:t xml:space="preserve">LIT </w:t>
      </w:r>
      <w:r>
        <w:rPr>
          <w:rFonts w:eastAsia="Times New Roman" w:cs="Times New Roman" w:ascii="Times New Roman" w:hAnsi="Times New Roman"/>
          <w:b w:val="false"/>
          <w:bCs w:val="false"/>
          <w:color w:val="00000A"/>
          <w:position w:val="0"/>
          <w:sz w:val="28"/>
          <w:sz w:val="28"/>
          <w:szCs w:val="28"/>
          <w:vertAlign w:val="baseline"/>
          <w:lang w:val="en-US"/>
        </w:rPr>
        <w:t>the SPR estimates are below to 0.35 or in the corresponding interval.</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color w:val="00000A"/>
          <w:position w:val="0"/>
          <w:sz w:val="28"/>
          <w:sz w:val="28"/>
          <w:szCs w:val="28"/>
          <w:vertAlign w:val="baseline"/>
          <w:lang w:val="en-US"/>
        </w:rPr>
        <w:t>T</w:t>
      </w:r>
      <w:r>
        <w:rPr>
          <w:rFonts w:eastAsia="Times New Roman" w:cs="Times New Roman" w:ascii="Times New Roman" w:hAnsi="Times New Roman"/>
          <w:b w:val="false"/>
          <w:bCs w:val="false"/>
          <w:color w:val="00000A"/>
          <w:position w:val="0"/>
          <w:sz w:val="28"/>
          <w:sz w:val="28"/>
          <w:szCs w:val="28"/>
          <w:vertAlign w:val="baseline"/>
          <w:lang w:val="en-US"/>
        </w:rPr>
        <w:t xml:space="preserve">he above comments/discussion indicate that although the </w:t>
      </w:r>
      <w:r>
        <w:rPr>
          <w:rFonts w:eastAsia="Times New Roman" w:cs="Times New Roman" w:ascii="TimesNewRomanPSMT" w:hAnsi="TimesNewRomanPSMT"/>
          <w:b w:val="false"/>
          <w:bCs w:val="false"/>
          <w:color w:val="00000A"/>
          <w:position w:val="0"/>
          <w:sz w:val="28"/>
          <w:sz w:val="28"/>
          <w:szCs w:val="28"/>
          <w:vertAlign w:val="baseline"/>
          <w:lang w:val="en-US"/>
        </w:rPr>
        <w:t>variation/misspecification</w:t>
      </w:r>
      <w:r>
        <w:rPr>
          <w:rFonts w:eastAsia="Times New Roman" w:cs="Times New Roman" w:ascii="Times New Roman" w:hAnsi="Times New Roman"/>
          <w:b w:val="false"/>
          <w:bCs w:val="false"/>
          <w:color w:val="00000A"/>
          <w:position w:val="0"/>
          <w:sz w:val="28"/>
          <w:sz w:val="28"/>
          <w:szCs w:val="28"/>
          <w:vertAlign w:val="baseline"/>
          <w:lang w:val="en-US"/>
        </w:rPr>
        <w:t xml:space="preserve"> of both parameters (M/k and L</w:t>
      </w:r>
      <w:r>
        <w:rPr>
          <w:rFonts w:eastAsia="Liberation Serif" w:cs="Liberation Serif" w:ascii="Liberation Serif" w:hAnsi="Liberation Serif"/>
          <w:b w:val="false"/>
          <w:bCs w:val="false"/>
          <w:color w:val="00000A"/>
          <w:sz w:val="28"/>
          <w:szCs w:val="28"/>
          <w:vertAlign w:val="subscript"/>
          <w:lang w:val="en-US"/>
        </w:rPr>
        <w:t>∞</w:t>
      </w:r>
      <w:r>
        <w:rPr>
          <w:rFonts w:eastAsia="Times New Roman" w:cs="Times New Roman" w:ascii="Times New Roman" w:hAnsi="Times New Roman"/>
          <w:b w:val="false"/>
          <w:bCs w:val="false"/>
          <w:color w:val="00000A"/>
          <w:position w:val="0"/>
          <w:sz w:val="28"/>
          <w:sz w:val="28"/>
          <w:szCs w:val="28"/>
          <w:vertAlign w:val="baseline"/>
          <w:lang w:val="en-US"/>
        </w:rPr>
        <w:t>) has an effect on the results of LBSPR method, this effect more important in the case of L</w:t>
      </w:r>
      <w:r>
        <w:rPr>
          <w:rFonts w:eastAsia="Liberation Serif" w:cs="Liberation Serif" w:ascii="Liberation Serif" w:hAnsi="Liberation Serif"/>
          <w:b w:val="false"/>
          <w:bCs w:val="false"/>
          <w:color w:val="00000A"/>
          <w:sz w:val="28"/>
          <w:szCs w:val="28"/>
          <w:vertAlign w:val="subscript"/>
          <w:lang w:val="en-US"/>
        </w:rPr>
        <w:t xml:space="preserve">∞ </w:t>
      </w:r>
      <w:r>
        <w:rPr>
          <w:rFonts w:eastAsia="Liberation Serif" w:cs="Liberation Serif" w:ascii="Liberation Serif" w:hAnsi="Liberation Serif"/>
          <w:b w:val="false"/>
          <w:bCs w:val="false"/>
          <w:color w:val="00000A"/>
          <w:position w:val="0"/>
          <w:sz w:val="28"/>
          <w:sz w:val="28"/>
          <w:szCs w:val="28"/>
          <w:vertAlign w:val="baseline"/>
          <w:lang w:val="en-US"/>
        </w:rPr>
        <w:t>we can conclude hence that this parameter is crucial.</w:t>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rFonts w:ascii="Times New Roman" w:hAnsi="Times New Roman"/>
          <w:sz w:val="28"/>
          <w:szCs w:val="28"/>
        </w:rPr>
      </w:pPr>
      <w:r>
        <w:rPr>
          <w:b w:val="false"/>
          <w:bCs w:val="false"/>
        </w:rPr>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Fonts w:eastAsia="Times New Roman" w:cs="Times New Roman" w:ascii="Times New Roman" w:hAnsi="Times New Roman"/>
          <w:b w:val="false"/>
          <w:bCs w:val="false"/>
          <w:position w:val="0"/>
          <w:sz w:val="28"/>
          <w:sz w:val="28"/>
          <w:szCs w:val="28"/>
          <w:vertAlign w:val="baseline"/>
          <w:lang w:val="en-US"/>
        </w:rPr>
        <w:t>Figure 1: Plots of the SPR and F/M estimates of the LBSPR method with a smoother line derived from</w:t>
      </w:r>
      <w:r>
        <w:rPr>
          <w:rFonts w:eastAsia="Times New Roman" w:cs="Times New Roman" w:ascii="TimesNewRomanPSMT" w:hAnsi="TimesNewRomanPSMT"/>
          <w:b w:val="false"/>
          <w:bCs w:val="false"/>
          <w:color w:val="00000A"/>
          <w:position w:val="0"/>
          <w:sz w:val="28"/>
          <w:sz w:val="28"/>
          <w:szCs w:val="28"/>
          <w:vertAlign w:val="baseline"/>
          <w:lang w:val="en-US"/>
        </w:rPr>
        <w:t xml:space="preserve"> the sensitivity analysis carried out for </w:t>
      </w:r>
      <w:r>
        <w:rPr>
          <w:rFonts w:ascii="TimesNewRomanPSMT" w:hAnsi="TimesNewRomanPSMT"/>
          <w:color w:val="00000A"/>
          <w:sz w:val="28"/>
        </w:rPr>
        <w:t>LB</w:t>
      </w:r>
      <w:r>
        <w:rPr>
          <w:rFonts w:ascii="TimesNewRomanPSMT" w:hAnsi="TimesNewRomanPSMT"/>
          <w:color w:val="00000A"/>
          <w:sz w:val="28"/>
        </w:rPr>
        <w:t>SPR</w:t>
      </w:r>
      <w:r>
        <w:rPr>
          <w:rFonts w:ascii="TimesNewRomanPSMT" w:hAnsi="TimesNewRomanPSMT"/>
          <w:color w:val="00000A"/>
          <w:sz w:val="28"/>
        </w:rPr>
        <w:t xml:space="preserve"> method applied to N. norvegicus FU25 and FU2627 (Males and </w:t>
      </w:r>
      <w:r>
        <w:rPr>
          <w:rFonts w:ascii="TimesNewRomanPSMT" w:hAnsi="TimesNewRomanPSMT"/>
          <w:color w:val="00000A"/>
          <w:sz w:val="28"/>
        </w:rPr>
        <w:t>Females).</w:t>
      </w:r>
    </w:p>
    <w:p>
      <w:pPr>
        <w:pStyle w:val="Normal"/>
        <w:spacing w:lineRule="auto" w:line="480" w:before="0" w:after="200"/>
        <w:jc w:val="both"/>
        <w:rPr>
          <w:rFonts w:ascii="Times New Roman" w:hAnsi="Times New Roman"/>
          <w:sz w:val="28"/>
          <w:szCs w:val="28"/>
        </w:rPr>
      </w:pPr>
      <w:r>
        <w:rPr>
          <w:rFonts w:ascii="TimesNewRomanPSMT" w:hAnsi="TimesNewRomanPSMT"/>
          <w:color w:val="00000A"/>
          <w:sz w:val="28"/>
        </w:rPr>
        <w:t>H</w:t>
      </w:r>
      <w:r>
        <w:rPr>
          <w:rFonts w:ascii="TimesNewRomanPSMT" w:hAnsi="TimesNewRomanPSMT"/>
          <w:color w:val="00000A"/>
          <w:sz w:val="28"/>
        </w:rPr>
        <w:t>or</w:t>
      </w:r>
      <w:r>
        <w:rPr>
          <w:rFonts w:ascii="TimesNewRomanPSMT" w:hAnsi="TimesNewRomanPSMT"/>
          <w:color w:val="00000A"/>
          <w:sz w:val="28"/>
        </w:rPr>
        <w:t>izontal dotted lines delimit the range where the stock is considered at MSY level, whereas horizontal dashed lines delimit the range where the stock is considered collapsed.</w:t>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Fonts w:eastAsia="Times New Roman" w:cs="Times New Roman" w:ascii="Times New Roman" w:hAnsi="Times New Roman"/>
          <w:b w:val="false"/>
          <w:bCs w:val="false"/>
          <w:position w:val="0"/>
          <w:sz w:val="28"/>
          <w:sz w:val="28"/>
          <w:szCs w:val="28"/>
          <w:vertAlign w:val="baseline"/>
          <w:lang w:val="en-US"/>
        </w:rPr>
        <w:t>Figure 2: Plots of the SPR and F/M estimates of the LBSPR method with a smoother line derived from</w:t>
      </w:r>
      <w:r>
        <w:rPr>
          <w:rFonts w:eastAsia="Times New Roman" w:cs="Times New Roman" w:ascii="TimesNewRomanPSMT" w:hAnsi="TimesNewRomanPSMT"/>
          <w:b w:val="false"/>
          <w:bCs w:val="false"/>
          <w:color w:val="00000A"/>
          <w:position w:val="0"/>
          <w:sz w:val="28"/>
          <w:sz w:val="28"/>
          <w:szCs w:val="28"/>
          <w:vertAlign w:val="baseline"/>
          <w:lang w:val="en-US"/>
        </w:rPr>
        <w:t xml:space="preserve"> the sensitivity analysis carried out for </w:t>
      </w:r>
      <w:r>
        <w:rPr>
          <w:rFonts w:ascii="TimesNewRomanPSMT" w:hAnsi="TimesNewRomanPSMT"/>
          <w:color w:val="00000A"/>
          <w:sz w:val="28"/>
        </w:rPr>
        <w:t>LB</w:t>
      </w:r>
      <w:r>
        <w:rPr>
          <w:rFonts w:ascii="TimesNewRomanPSMT" w:hAnsi="TimesNewRomanPSMT"/>
          <w:color w:val="00000A"/>
          <w:sz w:val="28"/>
        </w:rPr>
        <w:t>SPR</w:t>
      </w:r>
      <w:r>
        <w:rPr>
          <w:rFonts w:ascii="TimesNewRomanPSMT" w:hAnsi="TimesNewRomanPSMT"/>
          <w:color w:val="00000A"/>
          <w:sz w:val="28"/>
        </w:rPr>
        <w:t xml:space="preserve"> method applied to </w:t>
      </w:r>
      <w:r>
        <w:rPr>
          <w:rFonts w:ascii="TimesNewRomanPSMT" w:hAnsi="TimesNewRomanPSMT"/>
          <w:color w:val="00000A"/>
          <w:sz w:val="28"/>
        </w:rPr>
        <w:t xml:space="preserve">G.melastomus, E. encrasicolus, P. bogaraveo, T. </w:t>
      </w:r>
      <w:r>
        <w:rPr>
          <w:rFonts w:ascii="TimesNewRomanPSMT" w:hAnsi="TimesNewRomanPSMT"/>
          <w:color w:val="00000A"/>
          <w:sz w:val="28"/>
        </w:rPr>
        <w:t xml:space="preserve">luscus, and P. Pollachius. </w:t>
      </w:r>
      <w:r>
        <w:rPr>
          <w:rFonts w:ascii="TimesNewRomanPSMT" w:hAnsi="TimesNewRomanPSMT"/>
          <w:color w:val="00000A"/>
          <w:sz w:val="28"/>
        </w:rPr>
        <w:t>H</w:t>
      </w:r>
      <w:r>
        <w:rPr>
          <w:rFonts w:ascii="TimesNewRomanPSMT" w:hAnsi="TimesNewRomanPSMT"/>
          <w:color w:val="00000A"/>
          <w:sz w:val="28"/>
        </w:rPr>
        <w:t>or</w:t>
      </w:r>
      <w:r>
        <w:rPr>
          <w:rFonts w:ascii="TimesNewRomanPSMT" w:hAnsi="TimesNewRomanPSMT"/>
          <w:color w:val="00000A"/>
          <w:sz w:val="28"/>
        </w:rPr>
        <w:t>izontal dotted lines delimit the range where the stock is considered at MSY level, whereas horizontal dashed lines delimit the range where the stock is considered collapsed.</w:t>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8504" w:type="dxa"/>
        <w:jc w:val="left"/>
        <w:tblInd w:w="55" w:type="dxa"/>
        <w:tblLayout w:type="fixed"/>
        <w:tblCellMar>
          <w:top w:w="55" w:type="dxa"/>
          <w:left w:w="55" w:type="dxa"/>
          <w:bottom w:w="55" w:type="dxa"/>
          <w:right w:w="55" w:type="dxa"/>
        </w:tblCellMar>
      </w:tblPr>
      <w:tblGrid>
        <w:gridCol w:w="1700"/>
        <w:gridCol w:w="1701"/>
        <w:gridCol w:w="1701"/>
        <w:gridCol w:w="1701"/>
        <w:gridCol w:w="1701"/>
      </w:tblGrid>
      <w:tr>
        <w:trPr/>
        <w:tc>
          <w:tcPr>
            <w:tcW w:w="1700" w:type="dxa"/>
            <w:tcBorders>
              <w:top w:val="single" w:sz="2" w:space="0" w:color="000000"/>
              <w:left w:val="single" w:sz="2" w:space="0" w:color="000000"/>
              <w:bottom w:val="single" w:sz="2" w:space="0" w:color="000000"/>
            </w:tcBorders>
          </w:tcPr>
          <w:p>
            <w:pPr>
              <w:pStyle w:val="Contenidodelatabla"/>
              <w:spacing w:before="0" w:after="200"/>
              <w:rPr/>
            </w:pPr>
            <w:r>
              <w:rPr/>
              <w:t>Stock</w:t>
            </w:r>
          </w:p>
        </w:tc>
        <w:tc>
          <w:tcPr>
            <w:tcW w:w="1701" w:type="dxa"/>
            <w:tcBorders>
              <w:top w:val="single" w:sz="2" w:space="0" w:color="000000"/>
              <w:left w:val="single" w:sz="2" w:space="0" w:color="000000"/>
              <w:bottom w:val="single" w:sz="2" w:space="0" w:color="000000"/>
            </w:tcBorders>
          </w:tcPr>
          <w:p>
            <w:pPr>
              <w:pStyle w:val="Contenidodelatabla"/>
              <w:spacing w:before="0" w:after="200"/>
              <w:rPr/>
            </w:pPr>
            <w:r>
              <w:rPr/>
              <w:t>L</w:t>
            </w:r>
            <w:r>
              <w:rPr>
                <w:rFonts w:eastAsia="Liberation Serif" w:cs="Liberation Serif" w:ascii="Liberation Serif" w:hAnsi="Liberation Serif"/>
                <w:vertAlign w:val="subscript"/>
              </w:rPr>
              <w:t>∞</w:t>
            </w:r>
            <w:r>
              <w:rPr>
                <w:rFonts w:eastAsia="Calibri" w:cs=""/>
                <w:vertAlign w:val="superscript"/>
              </w:rPr>
              <w:t>LIT</w:t>
            </w:r>
          </w:p>
        </w:tc>
        <w:tc>
          <w:tcPr>
            <w:tcW w:w="1701" w:type="dxa"/>
            <w:tcBorders>
              <w:top w:val="single" w:sz="2" w:space="0" w:color="000000"/>
              <w:left w:val="single" w:sz="2" w:space="0" w:color="000000"/>
              <w:bottom w:val="single" w:sz="2" w:space="0" w:color="000000"/>
            </w:tcBorders>
          </w:tcPr>
          <w:p>
            <w:pPr>
              <w:pStyle w:val="Contenidodelatabla"/>
              <w:spacing w:before="0" w:after="200"/>
              <w:rPr/>
            </w:pPr>
            <w:r>
              <w:rPr/>
              <w:t>M/k</w:t>
            </w:r>
            <w:r>
              <w:rPr>
                <w:vertAlign w:val="superscript"/>
              </w:rPr>
              <w:t>LIT</w:t>
            </w:r>
          </w:p>
        </w:tc>
        <w:tc>
          <w:tcPr>
            <w:tcW w:w="1701" w:type="dxa"/>
            <w:tcBorders>
              <w:top w:val="single" w:sz="2" w:space="0" w:color="000000"/>
              <w:left w:val="single" w:sz="2" w:space="0" w:color="000000"/>
              <w:bottom w:val="single" w:sz="2" w:space="0" w:color="000000"/>
            </w:tcBorders>
          </w:tcPr>
          <w:p>
            <w:pPr>
              <w:pStyle w:val="Contenidodelatabla"/>
              <w:spacing w:before="0" w:after="200"/>
              <w:rPr/>
            </w:pPr>
            <w:r>
              <w:rPr/>
              <w:t>L</w:t>
            </w:r>
            <w:r>
              <w:rPr>
                <w:vertAlign w:val="subscript"/>
              </w:rPr>
              <w:t>50</w:t>
            </w:r>
          </w:p>
        </w:tc>
        <w:tc>
          <w:tcPr>
            <w:tcW w:w="1701"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L</w:t>
            </w:r>
            <w:r>
              <w:rPr>
                <w:vertAlign w:val="subscript"/>
              </w:rPr>
              <w:t>95</w:t>
            </w:r>
          </w:p>
        </w:tc>
      </w:tr>
      <w:tr>
        <w:trPr/>
        <w:tc>
          <w:tcPr>
            <w:tcW w:w="1700" w:type="dxa"/>
            <w:tcBorders>
              <w:left w:val="single" w:sz="2" w:space="0" w:color="000000"/>
              <w:bottom w:val="single" w:sz="2" w:space="0" w:color="000000"/>
            </w:tcBorders>
          </w:tcPr>
          <w:p>
            <w:pPr>
              <w:pStyle w:val="Normal"/>
              <w:spacing w:before="0" w:after="200"/>
              <w:jc w:val="left"/>
              <w:rPr/>
            </w:pPr>
            <w:r>
              <w:rPr>
                <w:rFonts w:ascii="TimesNewRomanPSMT" w:hAnsi="TimesNewRomanPSMT"/>
                <w:color w:val="1D1C1D"/>
                <w:sz w:val="22"/>
              </w:rPr>
              <w:t xml:space="preserve">N. norvegicus FU25 </w:t>
            </w:r>
            <w:r>
              <w:rPr>
                <w:rFonts w:ascii="TimesNewRomanPSMT" w:hAnsi="TimesNewRomanPSMT"/>
                <w:color w:val="00000A"/>
                <w:sz w:val="22"/>
              </w:rPr>
              <w:t>Males</w:t>
            </w:r>
          </w:p>
        </w:tc>
        <w:tc>
          <w:tcPr>
            <w:tcW w:w="1701" w:type="dxa"/>
            <w:tcBorders>
              <w:left w:val="single" w:sz="2" w:space="0" w:color="000000"/>
              <w:bottom w:val="single" w:sz="2" w:space="0" w:color="000000"/>
            </w:tcBorders>
          </w:tcPr>
          <w:p>
            <w:pPr>
              <w:pStyle w:val="Contenidodelatabla"/>
              <w:spacing w:before="0" w:after="200"/>
              <w:rPr/>
            </w:pPr>
            <w:r>
              <w:rPr/>
              <w:t>86mm</w:t>
            </w:r>
          </w:p>
        </w:tc>
        <w:tc>
          <w:tcPr>
            <w:tcW w:w="1701" w:type="dxa"/>
            <w:tcBorders>
              <w:left w:val="single" w:sz="2" w:space="0" w:color="000000"/>
              <w:bottom w:val="single" w:sz="2" w:space="0" w:color="000000"/>
            </w:tcBorders>
          </w:tcPr>
          <w:p>
            <w:pPr>
              <w:pStyle w:val="Contenidodelatabla"/>
              <w:spacing w:before="0" w:after="200"/>
              <w:rPr/>
            </w:pPr>
            <w:r>
              <w:rPr/>
              <w:t>1.9</w:t>
            </w:r>
          </w:p>
        </w:tc>
        <w:tc>
          <w:tcPr>
            <w:tcW w:w="1701" w:type="dxa"/>
            <w:tcBorders>
              <w:left w:val="single" w:sz="2" w:space="0" w:color="000000"/>
              <w:bottom w:val="single" w:sz="2" w:space="0" w:color="000000"/>
            </w:tcBorders>
          </w:tcPr>
          <w:p>
            <w:pPr>
              <w:pStyle w:val="Contenidodelatabla"/>
              <w:spacing w:before="0" w:after="200"/>
              <w:rPr/>
            </w:pPr>
            <w:r>
              <w:rPr/>
              <w:t>25mm</w:t>
            </w:r>
          </w:p>
        </w:tc>
        <w:tc>
          <w:tcPr>
            <w:tcW w:w="1701" w:type="dxa"/>
            <w:tcBorders>
              <w:left w:val="single" w:sz="2" w:space="0" w:color="000000"/>
              <w:bottom w:val="single" w:sz="2" w:space="0" w:color="000000"/>
              <w:right w:val="single" w:sz="2" w:space="0" w:color="000000"/>
            </w:tcBorders>
          </w:tcPr>
          <w:p>
            <w:pPr>
              <w:pStyle w:val="Contenidodelatabla"/>
              <w:spacing w:before="0" w:after="200"/>
              <w:rPr/>
            </w:pPr>
            <w:r>
              <w:rPr/>
              <w:t>28.75mm</w:t>
            </w:r>
          </w:p>
        </w:tc>
      </w:tr>
      <w:tr>
        <w:trPr/>
        <w:tc>
          <w:tcPr>
            <w:tcW w:w="1700" w:type="dxa"/>
            <w:tcBorders>
              <w:left w:val="single" w:sz="2" w:space="0" w:color="000000"/>
              <w:bottom w:val="single" w:sz="2" w:space="0" w:color="000000"/>
            </w:tcBorders>
          </w:tcPr>
          <w:p>
            <w:pPr>
              <w:pStyle w:val="Normal"/>
              <w:spacing w:before="0" w:after="200"/>
              <w:jc w:val="left"/>
              <w:rPr/>
            </w:pPr>
            <w:r>
              <w:rPr>
                <w:rFonts w:ascii="TimesNewRomanPSMT" w:hAnsi="TimesNewRomanPSMT"/>
                <w:color w:val="1D1C1D"/>
                <w:sz w:val="22"/>
              </w:rPr>
              <w:t xml:space="preserve">N. norvegicus FU25 </w:t>
            </w:r>
            <w:r>
              <w:rPr>
                <w:rFonts w:ascii="TimesNewRomanPSMT" w:hAnsi="TimesNewRomanPSMT"/>
                <w:color w:val="00000A"/>
                <w:sz w:val="22"/>
              </w:rPr>
              <w:t>Females</w:t>
            </w:r>
          </w:p>
        </w:tc>
        <w:tc>
          <w:tcPr>
            <w:tcW w:w="1701" w:type="dxa"/>
            <w:tcBorders>
              <w:left w:val="single" w:sz="2" w:space="0" w:color="000000"/>
              <w:bottom w:val="single" w:sz="2" w:space="0" w:color="000000"/>
            </w:tcBorders>
          </w:tcPr>
          <w:p>
            <w:pPr>
              <w:pStyle w:val="Contenidodelatabla"/>
              <w:spacing w:before="0" w:after="200"/>
              <w:rPr/>
            </w:pPr>
            <w:r>
              <w:rPr/>
              <w:t>71mm</w:t>
            </w:r>
          </w:p>
        </w:tc>
        <w:tc>
          <w:tcPr>
            <w:tcW w:w="1701" w:type="dxa"/>
            <w:tcBorders>
              <w:left w:val="single" w:sz="2" w:space="0" w:color="000000"/>
              <w:bottom w:val="single" w:sz="2" w:space="0" w:color="000000"/>
            </w:tcBorders>
          </w:tcPr>
          <w:p>
            <w:pPr>
              <w:pStyle w:val="Contenidodelatabla"/>
              <w:spacing w:before="0" w:after="200"/>
              <w:rPr/>
            </w:pPr>
            <w:r>
              <w:rPr/>
              <w:t>1.9</w:t>
            </w:r>
          </w:p>
        </w:tc>
        <w:tc>
          <w:tcPr>
            <w:tcW w:w="1701" w:type="dxa"/>
            <w:tcBorders>
              <w:left w:val="single" w:sz="2" w:space="0" w:color="000000"/>
              <w:bottom w:val="single" w:sz="2" w:space="0" w:color="000000"/>
            </w:tcBorders>
          </w:tcPr>
          <w:p>
            <w:pPr>
              <w:pStyle w:val="Contenidodelatabla"/>
              <w:spacing w:before="0" w:after="200"/>
              <w:rPr/>
            </w:pPr>
            <w:r>
              <w:rPr/>
              <w:t>28mm</w:t>
            </w:r>
          </w:p>
        </w:tc>
        <w:tc>
          <w:tcPr>
            <w:tcW w:w="1701" w:type="dxa"/>
            <w:tcBorders>
              <w:left w:val="single" w:sz="2" w:space="0" w:color="000000"/>
              <w:bottom w:val="single" w:sz="2" w:space="0" w:color="000000"/>
              <w:right w:val="single" w:sz="2" w:space="0" w:color="000000"/>
            </w:tcBorders>
          </w:tcPr>
          <w:p>
            <w:pPr>
              <w:pStyle w:val="Contenidodelatabla"/>
              <w:spacing w:before="0" w:after="200"/>
              <w:rPr/>
            </w:pPr>
            <w:r>
              <w:rPr/>
              <w:t>32.2mm</w:t>
            </w:r>
          </w:p>
        </w:tc>
      </w:tr>
      <w:tr>
        <w:trPr/>
        <w:tc>
          <w:tcPr>
            <w:tcW w:w="1700" w:type="dxa"/>
            <w:tcBorders>
              <w:left w:val="single" w:sz="2" w:space="0" w:color="000000"/>
              <w:bottom w:val="single" w:sz="2" w:space="0" w:color="000000"/>
            </w:tcBorders>
          </w:tcPr>
          <w:p>
            <w:pPr>
              <w:pStyle w:val="Normal"/>
              <w:spacing w:before="0" w:after="200"/>
              <w:jc w:val="left"/>
              <w:rPr/>
            </w:pPr>
            <w:r>
              <w:rPr>
                <w:rFonts w:ascii="TimesNewRomanPSMT" w:hAnsi="TimesNewRomanPSMT"/>
                <w:color w:val="1D1C1D"/>
                <w:sz w:val="22"/>
              </w:rPr>
              <w:t xml:space="preserve">N. norvegicus FU2627 </w:t>
            </w:r>
            <w:r>
              <w:rPr>
                <w:rFonts w:ascii="TimesNewRomanPSMT" w:hAnsi="TimesNewRomanPSMT"/>
                <w:color w:val="00000A"/>
                <w:sz w:val="22"/>
              </w:rPr>
              <w:t>Males</w:t>
            </w:r>
          </w:p>
        </w:tc>
        <w:tc>
          <w:tcPr>
            <w:tcW w:w="1701" w:type="dxa"/>
            <w:tcBorders>
              <w:left w:val="single" w:sz="2" w:space="0" w:color="000000"/>
              <w:bottom w:val="single" w:sz="2" w:space="0" w:color="000000"/>
            </w:tcBorders>
          </w:tcPr>
          <w:p>
            <w:pPr>
              <w:pStyle w:val="Contenidodelatabla"/>
              <w:spacing w:before="0" w:after="200"/>
              <w:rPr/>
            </w:pPr>
            <w:r>
              <w:rPr/>
              <w:t>80mm</w:t>
            </w:r>
          </w:p>
        </w:tc>
        <w:tc>
          <w:tcPr>
            <w:tcW w:w="1701" w:type="dxa"/>
            <w:tcBorders>
              <w:left w:val="single" w:sz="2" w:space="0" w:color="000000"/>
              <w:bottom w:val="single" w:sz="2" w:space="0" w:color="000000"/>
            </w:tcBorders>
          </w:tcPr>
          <w:p>
            <w:pPr>
              <w:pStyle w:val="Contenidodelatabla"/>
              <w:spacing w:before="0" w:after="200"/>
              <w:rPr/>
            </w:pPr>
            <w:r>
              <w:rPr/>
              <w:t>2</w:t>
            </w:r>
          </w:p>
        </w:tc>
        <w:tc>
          <w:tcPr>
            <w:tcW w:w="1701" w:type="dxa"/>
            <w:tcBorders>
              <w:left w:val="single" w:sz="2" w:space="0" w:color="000000"/>
              <w:bottom w:val="single" w:sz="2" w:space="0" w:color="000000"/>
            </w:tcBorders>
          </w:tcPr>
          <w:p>
            <w:pPr>
              <w:pStyle w:val="Contenidodelatabla"/>
              <w:spacing w:before="0" w:after="200"/>
              <w:rPr/>
            </w:pPr>
            <w:r>
              <w:rPr/>
              <w:t>28mm</w:t>
            </w:r>
          </w:p>
        </w:tc>
        <w:tc>
          <w:tcPr>
            <w:tcW w:w="1701" w:type="dxa"/>
            <w:tcBorders>
              <w:left w:val="single" w:sz="2" w:space="0" w:color="000000"/>
              <w:bottom w:val="single" w:sz="2" w:space="0" w:color="000000"/>
              <w:right w:val="single" w:sz="2" w:space="0" w:color="000000"/>
            </w:tcBorders>
          </w:tcPr>
          <w:p>
            <w:pPr>
              <w:pStyle w:val="Contenidodelatabla"/>
              <w:spacing w:before="0" w:after="200"/>
              <w:rPr/>
            </w:pPr>
            <w:r>
              <w:rPr/>
              <w:t>32.2mm</w:t>
            </w:r>
          </w:p>
        </w:tc>
      </w:tr>
      <w:tr>
        <w:trPr/>
        <w:tc>
          <w:tcPr>
            <w:tcW w:w="1700" w:type="dxa"/>
            <w:tcBorders>
              <w:left w:val="single" w:sz="2" w:space="0" w:color="000000"/>
              <w:bottom w:val="single" w:sz="2" w:space="0" w:color="000000"/>
            </w:tcBorders>
          </w:tcPr>
          <w:p>
            <w:pPr>
              <w:pStyle w:val="Normal"/>
              <w:spacing w:before="0" w:after="200"/>
              <w:jc w:val="left"/>
              <w:rPr/>
            </w:pPr>
            <w:r>
              <w:rPr>
                <w:rFonts w:ascii="TimesNewRomanPSMT" w:hAnsi="TimesNewRomanPSMT"/>
                <w:color w:val="1D1C1D"/>
                <w:sz w:val="22"/>
              </w:rPr>
              <w:t xml:space="preserve">N. norvegicus FU2627 </w:t>
            </w:r>
            <w:r>
              <w:rPr>
                <w:rFonts w:ascii="TimesNewRomanPSMT" w:hAnsi="TimesNewRomanPSMT"/>
                <w:color w:val="00000A"/>
                <w:sz w:val="22"/>
              </w:rPr>
              <w:t>Females</w:t>
            </w:r>
          </w:p>
        </w:tc>
        <w:tc>
          <w:tcPr>
            <w:tcW w:w="1701" w:type="dxa"/>
            <w:tcBorders>
              <w:left w:val="single" w:sz="2" w:space="0" w:color="000000"/>
              <w:bottom w:val="single" w:sz="2" w:space="0" w:color="000000"/>
            </w:tcBorders>
          </w:tcPr>
          <w:p>
            <w:pPr>
              <w:pStyle w:val="Contenidodelatabla"/>
              <w:spacing w:before="0" w:after="200"/>
              <w:rPr/>
            </w:pPr>
            <w:r>
              <w:rPr/>
              <w:t>65mm</w:t>
            </w:r>
          </w:p>
        </w:tc>
        <w:tc>
          <w:tcPr>
            <w:tcW w:w="1701" w:type="dxa"/>
            <w:tcBorders>
              <w:left w:val="single" w:sz="2" w:space="0" w:color="000000"/>
              <w:bottom w:val="single" w:sz="2" w:space="0" w:color="000000"/>
            </w:tcBorders>
          </w:tcPr>
          <w:p>
            <w:pPr>
              <w:pStyle w:val="Contenidodelatabla"/>
              <w:spacing w:before="0" w:after="200"/>
              <w:rPr/>
            </w:pPr>
            <w:r>
              <w:rPr/>
              <w:t>2.5</w:t>
            </w:r>
          </w:p>
        </w:tc>
        <w:tc>
          <w:tcPr>
            <w:tcW w:w="1701" w:type="dxa"/>
            <w:tcBorders>
              <w:left w:val="single" w:sz="2" w:space="0" w:color="000000"/>
              <w:bottom w:val="single" w:sz="2" w:space="0" w:color="000000"/>
            </w:tcBorders>
          </w:tcPr>
          <w:p>
            <w:pPr>
              <w:pStyle w:val="Contenidodelatabla"/>
              <w:spacing w:before="0" w:after="200"/>
              <w:rPr/>
            </w:pPr>
            <w:r>
              <w:rPr/>
              <w:t>26mm</w:t>
            </w:r>
          </w:p>
        </w:tc>
        <w:tc>
          <w:tcPr>
            <w:tcW w:w="1701" w:type="dxa"/>
            <w:tcBorders>
              <w:left w:val="single" w:sz="2" w:space="0" w:color="000000"/>
              <w:bottom w:val="single" w:sz="2" w:space="0" w:color="000000"/>
              <w:right w:val="single" w:sz="2" w:space="0" w:color="000000"/>
            </w:tcBorders>
          </w:tcPr>
          <w:p>
            <w:pPr>
              <w:pStyle w:val="Contenidodelatabla"/>
              <w:spacing w:before="0" w:after="200"/>
              <w:rPr/>
            </w:pPr>
            <w:r>
              <w:rPr/>
              <w:t>29.9mm</w:t>
            </w:r>
          </w:p>
        </w:tc>
      </w:tr>
      <w:tr>
        <w:trPr/>
        <w:tc>
          <w:tcPr>
            <w:tcW w:w="1700" w:type="dxa"/>
            <w:tcBorders>
              <w:left w:val="single" w:sz="2" w:space="0" w:color="000000"/>
              <w:bottom w:val="single" w:sz="2" w:space="0" w:color="000000"/>
            </w:tcBorders>
          </w:tcPr>
          <w:p>
            <w:pPr>
              <w:pStyle w:val="Normal"/>
              <w:widowControl/>
              <w:suppressAutoHyphens w:val="true"/>
              <w:bidi w:val="0"/>
              <w:spacing w:lineRule="auto" w:line="276" w:before="0" w:after="200"/>
              <w:jc w:val="left"/>
              <w:rPr/>
            </w:pPr>
            <w:r>
              <w:rPr>
                <w:rFonts w:ascii="TimesNewRomanPSMT" w:hAnsi="TimesNewRomanPSMT"/>
                <w:color w:val="1D1C1D"/>
                <w:sz w:val="22"/>
              </w:rPr>
              <w:t>G.melastomus</w:t>
            </w:r>
          </w:p>
        </w:tc>
        <w:tc>
          <w:tcPr>
            <w:tcW w:w="1701" w:type="dxa"/>
            <w:tcBorders>
              <w:left w:val="single" w:sz="2" w:space="0" w:color="000000"/>
              <w:bottom w:val="single" w:sz="2" w:space="0" w:color="000000"/>
            </w:tcBorders>
          </w:tcPr>
          <w:p>
            <w:pPr>
              <w:pStyle w:val="Contenidodelatabla"/>
              <w:spacing w:before="0" w:after="200"/>
              <w:rPr/>
            </w:pPr>
            <w:r>
              <w:rPr/>
              <w:t>75cm</w:t>
            </w:r>
          </w:p>
        </w:tc>
        <w:tc>
          <w:tcPr>
            <w:tcW w:w="1701" w:type="dxa"/>
            <w:tcBorders>
              <w:left w:val="single" w:sz="2" w:space="0" w:color="000000"/>
              <w:bottom w:val="single" w:sz="2" w:space="0" w:color="000000"/>
            </w:tcBorders>
          </w:tcPr>
          <w:p>
            <w:pPr>
              <w:pStyle w:val="Contenidodelatabla"/>
              <w:spacing w:before="0" w:after="200"/>
              <w:rPr/>
            </w:pPr>
            <w:r>
              <w:rPr/>
              <w:t>1.5</w:t>
            </w:r>
          </w:p>
        </w:tc>
        <w:tc>
          <w:tcPr>
            <w:tcW w:w="1701" w:type="dxa"/>
            <w:tcBorders>
              <w:left w:val="single" w:sz="2" w:space="0" w:color="000000"/>
              <w:bottom w:val="single" w:sz="2" w:space="0" w:color="000000"/>
            </w:tcBorders>
          </w:tcPr>
          <w:p>
            <w:pPr>
              <w:pStyle w:val="Contenidodelatabla"/>
              <w:spacing w:before="0" w:after="200"/>
              <w:rPr/>
            </w:pPr>
            <w:r>
              <w:rPr/>
              <w:t>54cm</w:t>
            </w:r>
          </w:p>
        </w:tc>
        <w:tc>
          <w:tcPr>
            <w:tcW w:w="1701" w:type="dxa"/>
            <w:tcBorders>
              <w:left w:val="single" w:sz="2" w:space="0" w:color="000000"/>
              <w:bottom w:val="single" w:sz="2" w:space="0" w:color="000000"/>
              <w:right w:val="single" w:sz="2" w:space="0" w:color="000000"/>
            </w:tcBorders>
          </w:tcPr>
          <w:p>
            <w:pPr>
              <w:pStyle w:val="Contenidodelatabla"/>
              <w:spacing w:before="0" w:after="200"/>
              <w:rPr/>
            </w:pPr>
            <w:r>
              <w:rPr/>
              <w:t>58cm</w:t>
            </w:r>
          </w:p>
        </w:tc>
      </w:tr>
      <w:tr>
        <w:trPr/>
        <w:tc>
          <w:tcPr>
            <w:tcW w:w="1700" w:type="dxa"/>
            <w:tcBorders>
              <w:left w:val="single" w:sz="2" w:space="0" w:color="000000"/>
              <w:bottom w:val="single" w:sz="2" w:space="0" w:color="000000"/>
            </w:tcBorders>
          </w:tcPr>
          <w:p>
            <w:pPr>
              <w:pStyle w:val="Normal"/>
              <w:widowControl/>
              <w:suppressAutoHyphens w:val="true"/>
              <w:bidi w:val="0"/>
              <w:spacing w:lineRule="auto" w:line="276" w:before="0" w:after="200"/>
              <w:jc w:val="left"/>
              <w:rPr/>
            </w:pPr>
            <w:r>
              <w:rPr>
                <w:rFonts w:ascii="TimesNewRomanPSMT" w:hAnsi="TimesNewRomanPSMT"/>
                <w:color w:val="1D1C1D"/>
                <w:sz w:val="22"/>
              </w:rPr>
              <w:t>E. encrasicolus</w:t>
            </w:r>
          </w:p>
        </w:tc>
        <w:tc>
          <w:tcPr>
            <w:tcW w:w="1701" w:type="dxa"/>
            <w:tcBorders>
              <w:left w:val="single" w:sz="2" w:space="0" w:color="000000"/>
              <w:bottom w:val="single" w:sz="2" w:space="0" w:color="000000"/>
            </w:tcBorders>
          </w:tcPr>
          <w:p>
            <w:pPr>
              <w:pStyle w:val="Contenidodelatabla"/>
              <w:spacing w:before="0" w:after="200"/>
              <w:rPr/>
            </w:pPr>
            <w:r>
              <w:rPr/>
              <w:t>19.95cm</w:t>
            </w:r>
          </w:p>
        </w:tc>
        <w:tc>
          <w:tcPr>
            <w:tcW w:w="1701" w:type="dxa"/>
            <w:tcBorders>
              <w:left w:val="single" w:sz="2" w:space="0" w:color="000000"/>
              <w:bottom w:val="single" w:sz="2" w:space="0" w:color="000000"/>
            </w:tcBorders>
          </w:tcPr>
          <w:p>
            <w:pPr>
              <w:pStyle w:val="Contenidodelatabla"/>
              <w:spacing w:before="0" w:after="200"/>
              <w:rPr/>
            </w:pPr>
            <w:r>
              <w:rPr/>
              <w:t>1.44</w:t>
            </w:r>
          </w:p>
        </w:tc>
        <w:tc>
          <w:tcPr>
            <w:tcW w:w="1701" w:type="dxa"/>
            <w:tcBorders>
              <w:left w:val="single" w:sz="2" w:space="0" w:color="000000"/>
              <w:bottom w:val="single" w:sz="2" w:space="0" w:color="000000"/>
            </w:tcBorders>
          </w:tcPr>
          <w:p>
            <w:pPr>
              <w:pStyle w:val="Contenidodelatabla"/>
              <w:spacing w:before="0" w:after="200"/>
              <w:rPr/>
            </w:pPr>
            <w:r>
              <w:rPr/>
              <w:t>11.2cm</w:t>
            </w:r>
          </w:p>
        </w:tc>
        <w:tc>
          <w:tcPr>
            <w:tcW w:w="1701" w:type="dxa"/>
            <w:tcBorders>
              <w:left w:val="single" w:sz="2" w:space="0" w:color="000000"/>
              <w:bottom w:val="single" w:sz="2" w:space="0" w:color="000000"/>
              <w:right w:val="single" w:sz="2" w:space="0" w:color="000000"/>
            </w:tcBorders>
          </w:tcPr>
          <w:p>
            <w:pPr>
              <w:pStyle w:val="Contenidodelatabla"/>
              <w:spacing w:before="0" w:after="200"/>
              <w:rPr/>
            </w:pPr>
            <w:r>
              <w:rPr/>
              <w:t>13.3cm</w:t>
            </w:r>
          </w:p>
        </w:tc>
      </w:tr>
      <w:tr>
        <w:trPr/>
        <w:tc>
          <w:tcPr>
            <w:tcW w:w="1700" w:type="dxa"/>
            <w:tcBorders>
              <w:left w:val="single" w:sz="2" w:space="0" w:color="000000"/>
              <w:bottom w:val="single" w:sz="2" w:space="0" w:color="000000"/>
            </w:tcBorders>
          </w:tcPr>
          <w:p>
            <w:pPr>
              <w:pStyle w:val="Normal"/>
              <w:widowControl/>
              <w:suppressAutoHyphens w:val="true"/>
              <w:bidi w:val="0"/>
              <w:spacing w:lineRule="auto" w:line="276" w:before="0" w:after="200"/>
              <w:jc w:val="left"/>
              <w:rPr/>
            </w:pPr>
            <w:r>
              <w:rPr>
                <w:rFonts w:ascii="TimesNewRomanPSMT" w:hAnsi="TimesNewRomanPSMT"/>
                <w:color w:val="1D1C1D"/>
                <w:sz w:val="22"/>
              </w:rPr>
              <w:t>P. bogaraveo</w:t>
            </w:r>
          </w:p>
        </w:tc>
        <w:tc>
          <w:tcPr>
            <w:tcW w:w="1701" w:type="dxa"/>
            <w:tcBorders>
              <w:left w:val="single" w:sz="2" w:space="0" w:color="000000"/>
              <w:bottom w:val="single" w:sz="2" w:space="0" w:color="000000"/>
            </w:tcBorders>
          </w:tcPr>
          <w:p>
            <w:pPr>
              <w:pStyle w:val="Contenidodelatabla"/>
              <w:spacing w:before="0" w:after="200"/>
              <w:rPr/>
            </w:pPr>
            <w:r>
              <w:rPr/>
              <w:t>62cm</w:t>
            </w:r>
          </w:p>
        </w:tc>
        <w:tc>
          <w:tcPr>
            <w:tcW w:w="1701" w:type="dxa"/>
            <w:tcBorders>
              <w:left w:val="single" w:sz="2" w:space="0" w:color="000000"/>
              <w:bottom w:val="single" w:sz="2" w:space="0" w:color="000000"/>
            </w:tcBorders>
          </w:tcPr>
          <w:p>
            <w:pPr>
              <w:pStyle w:val="Contenidodelatabla"/>
              <w:spacing w:before="0" w:after="200"/>
              <w:rPr/>
            </w:pPr>
            <w:r>
              <w:rPr/>
              <w:t>1.42</w:t>
            </w:r>
          </w:p>
        </w:tc>
        <w:tc>
          <w:tcPr>
            <w:tcW w:w="1701" w:type="dxa"/>
            <w:tcBorders>
              <w:left w:val="single" w:sz="2" w:space="0" w:color="000000"/>
              <w:bottom w:val="single" w:sz="2" w:space="0" w:color="000000"/>
            </w:tcBorders>
          </w:tcPr>
          <w:p>
            <w:pPr>
              <w:pStyle w:val="Contenidodelatabla"/>
              <w:spacing w:before="0" w:after="200"/>
              <w:rPr/>
            </w:pPr>
            <w:r>
              <w:rPr/>
              <w:t>33cm</w:t>
            </w:r>
          </w:p>
        </w:tc>
        <w:tc>
          <w:tcPr>
            <w:tcW w:w="1701" w:type="dxa"/>
            <w:tcBorders>
              <w:left w:val="single" w:sz="2" w:space="0" w:color="000000"/>
              <w:bottom w:val="single" w:sz="2" w:space="0" w:color="000000"/>
              <w:right w:val="single" w:sz="2" w:space="0" w:color="000000"/>
            </w:tcBorders>
          </w:tcPr>
          <w:p>
            <w:pPr>
              <w:pStyle w:val="Contenidodelatabla"/>
              <w:spacing w:before="0" w:after="200"/>
              <w:rPr/>
            </w:pPr>
            <w:r>
              <w:rPr/>
              <w:t>35cm</w:t>
            </w:r>
          </w:p>
        </w:tc>
      </w:tr>
      <w:tr>
        <w:trPr/>
        <w:tc>
          <w:tcPr>
            <w:tcW w:w="1700" w:type="dxa"/>
            <w:tcBorders>
              <w:left w:val="single" w:sz="2" w:space="0" w:color="000000"/>
              <w:bottom w:val="single" w:sz="2" w:space="0" w:color="000000"/>
            </w:tcBorders>
          </w:tcPr>
          <w:p>
            <w:pPr>
              <w:pStyle w:val="Normal"/>
              <w:widowControl/>
              <w:suppressAutoHyphens w:val="true"/>
              <w:bidi w:val="0"/>
              <w:spacing w:lineRule="auto" w:line="276" w:before="0" w:after="200"/>
              <w:jc w:val="left"/>
              <w:rPr/>
            </w:pPr>
            <w:r>
              <w:rPr>
                <w:rFonts w:ascii="TimesNewRomanPSMT" w:hAnsi="TimesNewRomanPSMT"/>
                <w:color w:val="00000A"/>
                <w:sz w:val="22"/>
              </w:rPr>
              <w:t>T. luscus</w:t>
            </w:r>
          </w:p>
        </w:tc>
        <w:tc>
          <w:tcPr>
            <w:tcW w:w="1701" w:type="dxa"/>
            <w:tcBorders>
              <w:left w:val="single" w:sz="2" w:space="0" w:color="000000"/>
              <w:bottom w:val="single" w:sz="2" w:space="0" w:color="000000"/>
            </w:tcBorders>
          </w:tcPr>
          <w:p>
            <w:pPr>
              <w:pStyle w:val="Contenidodelatabla"/>
              <w:spacing w:before="0" w:after="200"/>
              <w:rPr/>
            </w:pPr>
            <w:r>
              <w:rPr/>
              <w:t>46.7</w:t>
            </w:r>
            <w:r>
              <w:rPr/>
              <w:t>cm</w:t>
            </w:r>
          </w:p>
        </w:tc>
        <w:tc>
          <w:tcPr>
            <w:tcW w:w="1701" w:type="dxa"/>
            <w:tcBorders>
              <w:left w:val="single" w:sz="2" w:space="0" w:color="000000"/>
              <w:bottom w:val="single" w:sz="2" w:space="0" w:color="000000"/>
            </w:tcBorders>
          </w:tcPr>
          <w:p>
            <w:pPr>
              <w:pStyle w:val="Textopreformateado"/>
              <w:widowControl/>
              <w:pBdr/>
              <w:spacing w:lineRule="auto" w:line="288" w:before="0" w:after="0"/>
              <w:ind w:left="0" w:right="0" w:hanging="0"/>
              <w:rPr>
                <w:rFonts w:ascii="Calibri" w:hAnsi="Calibri"/>
                <w:sz w:val="22"/>
                <w:szCs w:val="22"/>
              </w:rPr>
            </w:pPr>
            <w:bookmarkStart w:id="3" w:name="rstudio_console_output"/>
            <w:bookmarkEnd w:id="3"/>
            <w:r>
              <w:rPr>
                <w:rFonts w:ascii="Calibri" w:hAnsi="Calibri"/>
                <w:b w:val="false"/>
                <w:i w:val="false"/>
                <w:caps w:val="false"/>
                <w:smallCaps w:val="false"/>
                <w:color w:val="000000"/>
                <w:spacing w:val="0"/>
                <w:sz w:val="22"/>
                <w:szCs w:val="22"/>
              </w:rPr>
              <w:t>1.76</w:t>
            </w:r>
          </w:p>
        </w:tc>
        <w:tc>
          <w:tcPr>
            <w:tcW w:w="1701" w:type="dxa"/>
            <w:tcBorders>
              <w:left w:val="single" w:sz="2" w:space="0" w:color="000000"/>
              <w:bottom w:val="single" w:sz="2" w:space="0" w:color="000000"/>
            </w:tcBorders>
          </w:tcPr>
          <w:p>
            <w:pPr>
              <w:pStyle w:val="Contenidodelatabla"/>
              <w:spacing w:before="0" w:after="200"/>
              <w:rPr/>
            </w:pPr>
            <w:r>
              <w:rPr/>
              <w:t>19.2</w:t>
            </w:r>
            <w:r>
              <w:rPr/>
              <w:t>cm</w:t>
            </w:r>
          </w:p>
        </w:tc>
        <w:tc>
          <w:tcPr>
            <w:tcW w:w="1701" w:type="dxa"/>
            <w:tcBorders>
              <w:left w:val="single" w:sz="2" w:space="0" w:color="000000"/>
              <w:bottom w:val="single" w:sz="2" w:space="0" w:color="000000"/>
              <w:right w:val="single" w:sz="2" w:space="0" w:color="000000"/>
            </w:tcBorders>
          </w:tcPr>
          <w:p>
            <w:pPr>
              <w:pStyle w:val="Contenidodelatabla"/>
              <w:spacing w:before="0" w:after="200"/>
              <w:rPr/>
            </w:pPr>
            <w:r>
              <w:rPr/>
              <w:t>21.43cm</w:t>
            </w:r>
          </w:p>
        </w:tc>
      </w:tr>
      <w:tr>
        <w:trPr/>
        <w:tc>
          <w:tcPr>
            <w:tcW w:w="1700" w:type="dxa"/>
            <w:tcBorders>
              <w:left w:val="single" w:sz="2" w:space="0" w:color="000000"/>
              <w:bottom w:val="single" w:sz="2" w:space="0" w:color="000000"/>
            </w:tcBorders>
          </w:tcPr>
          <w:p>
            <w:pPr>
              <w:pStyle w:val="Normal"/>
              <w:spacing w:before="0" w:after="200"/>
              <w:jc w:val="left"/>
              <w:rPr/>
            </w:pPr>
            <w:r>
              <w:rPr>
                <w:rFonts w:ascii="TimesNewRomanPSMT" w:hAnsi="TimesNewRomanPSMT"/>
                <w:color w:val="1D1C1D"/>
                <w:sz w:val="22"/>
              </w:rPr>
              <w:t>P. pollachius</w:t>
            </w:r>
          </w:p>
        </w:tc>
        <w:tc>
          <w:tcPr>
            <w:tcW w:w="1701" w:type="dxa"/>
            <w:tcBorders>
              <w:left w:val="single" w:sz="2" w:space="0" w:color="000000"/>
              <w:bottom w:val="single" w:sz="2" w:space="0" w:color="000000"/>
            </w:tcBorders>
          </w:tcPr>
          <w:p>
            <w:pPr>
              <w:pStyle w:val="Contenidodelatabla"/>
              <w:spacing w:before="0" w:after="200"/>
              <w:rPr/>
            </w:pPr>
            <w:r>
              <w:rPr/>
              <w:t>98.2cm</w:t>
            </w:r>
          </w:p>
        </w:tc>
        <w:tc>
          <w:tcPr>
            <w:tcW w:w="1701" w:type="dxa"/>
            <w:tcBorders>
              <w:left w:val="single" w:sz="2" w:space="0" w:color="000000"/>
              <w:bottom w:val="single" w:sz="2" w:space="0" w:color="000000"/>
            </w:tcBorders>
          </w:tcPr>
          <w:p>
            <w:pPr>
              <w:pStyle w:val="Contenidodelatabla"/>
              <w:spacing w:before="0" w:after="200"/>
              <w:rPr/>
            </w:pPr>
            <w:r>
              <w:rPr/>
              <w:t>1.65</w:t>
            </w:r>
          </w:p>
        </w:tc>
        <w:tc>
          <w:tcPr>
            <w:tcW w:w="1701" w:type="dxa"/>
            <w:tcBorders>
              <w:left w:val="single" w:sz="2" w:space="0" w:color="000000"/>
              <w:bottom w:val="single" w:sz="2" w:space="0" w:color="000000"/>
            </w:tcBorders>
          </w:tcPr>
          <w:p>
            <w:pPr>
              <w:pStyle w:val="Contenidodelatabla"/>
              <w:spacing w:before="0" w:after="200"/>
              <w:rPr/>
            </w:pPr>
            <w:r>
              <w:rPr/>
              <w:t>42.3cm</w:t>
            </w:r>
          </w:p>
        </w:tc>
        <w:tc>
          <w:tcPr>
            <w:tcW w:w="1701" w:type="dxa"/>
            <w:tcBorders>
              <w:left w:val="single" w:sz="2" w:space="0" w:color="000000"/>
              <w:bottom w:val="single" w:sz="2" w:space="0" w:color="000000"/>
              <w:right w:val="single" w:sz="2" w:space="0" w:color="000000"/>
            </w:tcBorders>
          </w:tcPr>
          <w:p>
            <w:pPr>
              <w:pStyle w:val="Contenidodelatabla"/>
              <w:spacing w:before="0" w:after="200"/>
              <w:rPr/>
            </w:pPr>
            <w:r>
              <w:rPr/>
              <w:t>59cm</w:t>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t>Table 5:  V</w:t>
      </w:r>
      <w:r>
        <w:rPr>
          <w:rFonts w:eastAsia="Times New Roman" w:cs="Times New Roman" w:ascii="Times New Roman" w:hAnsi="Times New Roman"/>
          <w:b w:val="false"/>
          <w:bCs w:val="false"/>
          <w:color w:val="111111"/>
          <w:position w:val="0"/>
          <w:sz w:val="28"/>
          <w:sz w:val="28"/>
          <w:szCs w:val="28"/>
          <w:vertAlign w:val="baseline"/>
          <w:lang w:val="en-US"/>
        </w:rPr>
        <w:t>alues of the life history parameters (</w:t>
      </w:r>
      <w:r>
        <w:rPr>
          <w:rFonts w:eastAsia="Times New Roman" w:cs="Times New Roman" w:ascii="Times New Roman" w:hAnsi="Times New Roman"/>
          <w:b w:val="false"/>
          <w:bCs w:val="false"/>
          <w:color w:val="111111"/>
          <w:position w:val="0"/>
          <w:sz w:val="28"/>
          <w:sz w:val="28"/>
          <w:szCs w:val="28"/>
          <w:vertAlign w:val="baseline"/>
          <w:lang w:val="en-US"/>
        </w:rPr>
        <w:t>M/k, L</w:t>
      </w:r>
      <w:r>
        <w:rPr>
          <w:rFonts w:eastAsia="Liberation Serif" w:cs="Liberation Serif" w:ascii="Liberation Serif" w:hAnsi="Liberation Serif"/>
          <w:b w:val="false"/>
          <w:bCs w:val="false"/>
          <w:color w:val="111111"/>
          <w:sz w:val="28"/>
          <w:szCs w:val="28"/>
          <w:vertAlign w:val="subscript"/>
          <w:lang w:val="en-US"/>
        </w:rPr>
        <w:t xml:space="preserve">∞, </w:t>
      </w:r>
      <w:r>
        <w:rPr>
          <w:rFonts w:eastAsia="Liberation Serif" w:cs="Liberation Serif" w:ascii="Liberation Serif" w:hAnsi="Liberation Serif"/>
          <w:b w:val="false"/>
          <w:bCs w:val="false"/>
          <w:color w:val="111111"/>
          <w:position w:val="0"/>
          <w:sz w:val="28"/>
          <w:sz w:val="28"/>
          <w:szCs w:val="28"/>
          <w:vertAlign w:val="baseline"/>
          <w:lang w:val="en-US"/>
        </w:rPr>
        <w:t>L</w:t>
      </w:r>
      <w:r>
        <w:rPr>
          <w:rFonts w:eastAsia="Liberation Serif" w:cs="Liberation Serif" w:ascii="Liberation Serif" w:hAnsi="Liberation Serif"/>
          <w:b w:val="false"/>
          <w:bCs w:val="false"/>
          <w:color w:val="111111"/>
          <w:sz w:val="28"/>
          <w:szCs w:val="28"/>
          <w:vertAlign w:val="subscript"/>
          <w:lang w:val="en-US"/>
        </w:rPr>
        <w:t xml:space="preserve">50 </w:t>
      </w:r>
      <w:r>
        <w:rPr>
          <w:rFonts w:eastAsia="Liberation Serif" w:cs="Liberation Serif" w:ascii="Liberation Serif" w:hAnsi="Liberation Serif"/>
          <w:b w:val="false"/>
          <w:bCs w:val="false"/>
          <w:color w:val="111111"/>
          <w:position w:val="0"/>
          <w:sz w:val="28"/>
          <w:sz w:val="28"/>
          <w:szCs w:val="28"/>
          <w:vertAlign w:val="baseline"/>
          <w:lang w:val="en-US"/>
        </w:rPr>
        <w:t>and L</w:t>
      </w:r>
      <w:r>
        <w:rPr>
          <w:rFonts w:eastAsia="Liberation Serif" w:cs="Liberation Serif" w:ascii="Liberation Serif" w:hAnsi="Liberation Serif"/>
          <w:b w:val="false"/>
          <w:bCs w:val="false"/>
          <w:color w:val="111111"/>
          <w:sz w:val="28"/>
          <w:szCs w:val="28"/>
          <w:vertAlign w:val="subscript"/>
          <w:lang w:val="en-US"/>
        </w:rPr>
        <w:t>95</w:t>
      </w:r>
      <w:r>
        <w:rPr>
          <w:rFonts w:eastAsia="Times New Roman" w:cs="Times New Roman" w:ascii="Times New Roman" w:hAnsi="Times New Roman"/>
          <w:b w:val="false"/>
          <w:bCs w:val="false"/>
          <w:color w:val="111111"/>
          <w:position w:val="0"/>
          <w:sz w:val="28"/>
          <w:sz w:val="28"/>
          <w:szCs w:val="28"/>
          <w:vertAlign w:val="baseline"/>
          <w:lang w:val="en-US"/>
        </w:rPr>
        <w:t>) of each stock.</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jc w:val="both"/>
        <w:rPr/>
      </w:pPr>
      <w:r>
        <w:rPr>
          <w:rFonts w:cs="Times New Roman" w:ascii="Times New Roman" w:hAnsi="Times New Roman"/>
          <w:b/>
          <w:sz w:val="28"/>
          <w:szCs w:val="28"/>
          <w:lang w:val="en-US"/>
        </w:rPr>
        <w:t>References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t>Froese, R. 2004. Keep it simple: three indicators to deal with overfishing. Fish and Fisheries, 5 (1): 86-91.</w:t>
      </w:r>
    </w:p>
    <w:p>
      <w:pPr>
        <w:pStyle w:val="Normal"/>
        <w:spacing w:lineRule="auto" w:line="480" w:before="0" w:after="200"/>
        <w:jc w:val="both"/>
        <w:rPr/>
      </w:pPr>
      <w:r>
        <w:rPr>
          <w:rFonts w:ascii="Times New Roman" w:hAnsi="Times New Roman"/>
          <w:sz w:val="28"/>
          <w:szCs w:val="28"/>
        </w:rPr>
        <w:t>Hordyk, A.R., Ono, K., Sainsbury, K.J., Loneragan, N., and Prince, J.D. 2015a. Some explorations of the life history ratios to describe length composition, spawning-per-recruit, and the spawning potential ratio. ICES Journal of Marine Science, 72: 204-216.</w:t>
      </w:r>
    </w:p>
    <w:p>
      <w:pPr>
        <w:pStyle w:val="Normal"/>
        <w:spacing w:lineRule="auto" w:line="480" w:before="0" w:after="200"/>
        <w:jc w:val="both"/>
        <w:rPr/>
      </w:pPr>
      <w:r>
        <w:rPr>
          <w:rFonts w:cs="Times New Roman" w:ascii="Times New Roman" w:hAnsi="Times New Roman"/>
          <w:b w:val="false"/>
          <w:bCs w:val="false"/>
          <w:sz w:val="28"/>
          <w:szCs w:val="28"/>
          <w:lang w:val="en-US"/>
        </w:rPr>
        <w:t>Hordyk A., Ono K., Valencia S., Loneragan N., Prince J. 2015b. A novel length-based empirical estimation method of spawning potential ratio (SPR), and tests of its performance, for small-scale, data-poor fisheries. ICES Journal of Marine Science, 72: 217-231.</w:t>
      </w:r>
    </w:p>
    <w:p>
      <w:pPr>
        <w:pStyle w:val="Normal"/>
        <w:spacing w:lineRule="auto" w:line="480" w:before="0" w:after="200"/>
        <w:jc w:val="both"/>
        <w:rPr/>
      </w:pPr>
      <w:r>
        <w:rPr>
          <w:rFonts w:ascii="Times New Roman" w:hAnsi="Times New Roman"/>
          <w:b w:val="false"/>
          <w:bCs w:val="false"/>
          <w:sz w:val="28"/>
          <w:szCs w:val="28"/>
        </w:rPr>
        <w:t xml:space="preserve">Hordyk, A., Ono, K., Prince, J.D., and Walters, C.J. 2016. A simple length-structured model based on life history ratios and incorporating size-dependent selectivity: application to spawning potential ratios for data-poor stocks. Canadian Journal of Fisheries and Aquatic Sciences 13: 1-13. </w:t>
      </w:r>
    </w:p>
    <w:p>
      <w:pPr>
        <w:pStyle w:val="Normal"/>
        <w:spacing w:lineRule="auto" w:line="480" w:before="0" w:after="20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480" w:before="0" w:after="200"/>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val="en-US"/>
        </w:rPr>
        <w:t>ICES. 2015. Report of the Fifth Workshop on the Development of Quantitative Assessment Methodologies based on Life-history Traits, Exploitation Characteristics and other Relevant Parameters for Data-limited Stocks (WKLIFE V), 5-9 October 2015, Lisbon, Portugal. ICES CM 2015/ACOM:56.</w:t>
      </w:r>
    </w:p>
    <w:p>
      <w:pPr>
        <w:pStyle w:val="Normal"/>
        <w:spacing w:lineRule="auto" w:line="480" w:before="0" w:after="200"/>
        <w:jc w:val="both"/>
        <w:rPr/>
      </w:pPr>
      <w:r>
        <w:rPr>
          <w:rFonts w:cs="Times New Roman" w:ascii="Times New Roman" w:hAnsi="Times New Roman"/>
          <w:b w:val="false"/>
          <w:bCs w:val="false"/>
          <w:sz w:val="28"/>
          <w:szCs w:val="28"/>
          <w:lang w:val="en-US"/>
        </w:rPr>
        <w:t xml:space="preserve">ICES. 2018. ICES reference points for stocks in categories 3 and 4. ICES Technical Guidelines. Published 02/2018. available at: </w:t>
      </w:r>
      <w:hyperlink r:id="rId2">
        <w:r>
          <w:rPr>
            <w:rStyle w:val="EnlacedeInternetvisitado"/>
            <w:rFonts w:cs="Times New Roman" w:ascii="Times New Roman" w:hAnsi="Times New Roman"/>
            <w:b w:val="false"/>
            <w:bCs w:val="false"/>
            <w:sz w:val="28"/>
            <w:szCs w:val="28"/>
            <w:lang w:val="en-US"/>
          </w:rPr>
          <w:t>http://ices.dk/sites/pub/Publication Reports/Guidelines and Policies/16.04.03.02_Category_3-4_Reference_Points.pdf</w:t>
        </w:r>
      </w:hyperlink>
    </w:p>
    <w:p>
      <w:pPr>
        <w:pStyle w:val="Normal"/>
        <w:spacing w:lineRule="auto" w:line="480" w:before="0" w:after="200"/>
        <w:jc w:val="both"/>
        <w:rPr/>
      </w:pPr>
      <w:r>
        <w:rPr>
          <w:rFonts w:cs="Times New Roman" w:ascii="Times New Roman" w:hAnsi="Times New Roman"/>
          <w:b w:val="false"/>
          <w:bCs w:val="false"/>
          <w:sz w:val="28"/>
          <w:szCs w:val="28"/>
          <w:lang w:val="en-US"/>
        </w:rPr>
        <w:t>Jensen, A. L. 1996. Beverton and Holt life history invariants result from optimal trade-off of reproduction and survival. Canadian Journal of Fisheries and Aquatic Sciences, 53: 820-822.</w:t>
      </w:r>
    </w:p>
    <w:p>
      <w:pPr>
        <w:pStyle w:val="Normal"/>
        <w:spacing w:lineRule="auto" w:line="480" w:before="0" w:after="200"/>
        <w:jc w:val="both"/>
        <w:rPr/>
      </w:pPr>
      <w:r>
        <w:rPr>
          <w:rFonts w:cs="Times New Roman" w:ascii="Times New Roman" w:hAnsi="Times New Roman"/>
          <w:b w:val="false"/>
          <w:bCs w:val="false"/>
          <w:sz w:val="28"/>
          <w:szCs w:val="28"/>
          <w:lang w:val="en-US"/>
        </w:rPr>
        <w:t>Lee, R.M. 1912. An investigation into the methods of growth determination in fishes by means of scales. Journal du Conseil international pour l'Exploration de la Mer, S1: 3-34.</w:t>
      </w:r>
    </w:p>
    <w:p>
      <w:pPr>
        <w:pStyle w:val="Normal"/>
        <w:spacing w:lineRule="auto" w:line="480" w:before="0" w:after="200"/>
        <w:jc w:val="both"/>
        <w:rPr/>
      </w:pPr>
      <w:r>
        <w:rPr>
          <w:rFonts w:ascii="Times New Roman" w:hAnsi="Times New Roman"/>
          <w:sz w:val="28"/>
          <w:szCs w:val="28"/>
        </w:rPr>
        <w:t>Miethe, T., and Dobby, H. 2015. Selection of length-based indicators for shellfish stocks and fisheries. Working document to WKLIFE V, 5-9 October 2015, Lisbon, Portugal. 17 pp.</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pPr>
      <w:r>
        <w:rPr/>
      </w:r>
    </w:p>
    <w:sectPr>
      <w:footerReference w:type="default" r:id="rId3"/>
      <w:type w:val="nextPage"/>
      <w:pgSz w:w="11906" w:h="16838"/>
      <w:pgMar w:left="1701" w:right="1701" w:header="0" w:top="1417" w:footer="0" w:bottom="1417" w:gutter="0"/>
      <w:lnNumType w:countBy="1" w:restart="continuous" w:distance="28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roman"/>
    <w:pitch w:val="variable"/>
  </w:font>
  <w:font w:name="Liberation Serif">
    <w:altName w:val="Times New Roman"/>
    <w:charset w:val="01"/>
    <w:family w:val="roman"/>
    <w:pitch w:val="default"/>
  </w:font>
  <w:font w:name="TimesNewRomanPSMT">
    <w:charset w:val="00"/>
    <w:family w:val="roman"/>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48506879"/>
    </w:sdtPr>
    <w:sdtContent>
      <w:p>
        <w:pPr>
          <w:pStyle w:val="Piedepgina"/>
          <w:rPr/>
        </w:pPr>
        <w:r>
          <w:rPr/>
          <w:fldChar w:fldCharType="begin"/>
        </w:r>
        <w:r>
          <w:rPr/>
          <w:instrText> PAGE </w:instrText>
        </w:r>
        <w:r>
          <w:rPr/>
          <w:fldChar w:fldCharType="separate"/>
        </w:r>
        <w:r>
          <w:rPr/>
          <w:t>28</w:t>
        </w:r>
        <w:r>
          <w:rPr/>
          <w:fldChar w:fldCharType="end"/>
        </w:r>
      </w:p>
    </w:sdtContent>
  </w:sdt>
  <w:p>
    <w:pPr>
      <w:pStyle w:val="Piedepgina"/>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61aa6"/>
    <w:pPr>
      <w:widowControl/>
      <w:suppressAutoHyphens w:val="true"/>
      <w:bidi w:val="0"/>
      <w:spacing w:lineRule="auto" w:line="276" w:before="0" w:after="200"/>
      <w:jc w:val="left"/>
    </w:pPr>
    <w:rPr>
      <w:rFonts w:ascii="Calibri" w:hAnsi="Calibri" w:eastAsia="Calibri" w:cs=""/>
      <w:color w:val="00000A"/>
      <w:kern w:val="0"/>
      <w:sz w:val="22"/>
      <w:szCs w:val="22"/>
      <w:lang w:val="es-ES" w:eastAsia="en-US" w:bidi="ar-SA"/>
    </w:rPr>
  </w:style>
  <w:style w:type="paragraph" w:styleId="Ttulo3">
    <w:name w:val="Heading 3"/>
    <w:basedOn w:val="Normal"/>
    <w:link w:val="Titolo3Carattere"/>
    <w:uiPriority w:val="9"/>
    <w:unhideWhenUsed/>
    <w:qFormat/>
    <w:rsid w:val="007f3034"/>
    <w:pPr>
      <w:keepNext w:val="true"/>
      <w:keepLines/>
      <w:spacing w:lineRule="auto" w:line="240" w:before="80" w:after="0"/>
      <w:outlineLvl w:val="2"/>
    </w:pPr>
    <w:rPr>
      <w:rFonts w:ascii="Cambria" w:hAnsi="Cambria" w:eastAsia="Times New Roman" w:cs="Times New Roman"/>
      <w:color w:val="404040"/>
      <w:sz w:val="26"/>
      <w:szCs w:val="26"/>
      <w:lang w:val="nl-BE" w:eastAsia="nl-BE"/>
    </w:rPr>
  </w:style>
  <w:style w:type="character" w:styleId="DefaultParagraphFont" w:default="1">
    <w:name w:val="Default Paragraph Font"/>
    <w:uiPriority w:val="1"/>
    <w:unhideWhenUsed/>
    <w:qFormat/>
    <w:rPr/>
  </w:style>
  <w:style w:type="character" w:styleId="TestofumettoCarattere" w:customStyle="1">
    <w:name w:val="Testo fumetto Carattere"/>
    <w:basedOn w:val="DefaultParagraphFont"/>
    <w:link w:val="Testofumetto"/>
    <w:uiPriority w:val="99"/>
    <w:semiHidden/>
    <w:qFormat/>
    <w:rsid w:val="003976f0"/>
    <w:rPr>
      <w:rFonts w:ascii="Tahoma" w:hAnsi="Tahoma" w:cs="Tahoma"/>
      <w:sz w:val="16"/>
      <w:szCs w:val="16"/>
    </w:rPr>
  </w:style>
  <w:style w:type="character" w:styleId="PreformattatoHTMLCarattere" w:customStyle="1">
    <w:name w:val="Preformattato HTML Carattere"/>
    <w:basedOn w:val="DefaultParagraphFont"/>
    <w:link w:val="PreformattatoHTML"/>
    <w:uiPriority w:val="99"/>
    <w:qFormat/>
    <w:rsid w:val="009730bb"/>
    <w:rPr>
      <w:rFonts w:ascii="Courier New" w:hAnsi="Courier New" w:eastAsia="Times New Roman" w:cs="Courier New"/>
      <w:sz w:val="20"/>
      <w:szCs w:val="20"/>
      <w:lang w:eastAsia="es-ES"/>
    </w:rPr>
  </w:style>
  <w:style w:type="character" w:styleId="Gd15mcfceub" w:customStyle="1">
    <w:name w:val="gd15mcfceub"/>
    <w:basedOn w:val="DefaultParagraphFont"/>
    <w:qFormat/>
    <w:rsid w:val="009730bb"/>
    <w:rPr/>
  </w:style>
  <w:style w:type="character" w:styleId="PidipaginaCarattere" w:customStyle="1">
    <w:name w:val="Piè di pagina Carattere"/>
    <w:basedOn w:val="DefaultParagraphFont"/>
    <w:link w:val="Pidipagina"/>
    <w:uiPriority w:val="99"/>
    <w:qFormat/>
    <w:rsid w:val="004f5234"/>
    <w:rPr>
      <w:color w:val="00000A"/>
      <w:sz w:val="22"/>
    </w:rPr>
  </w:style>
  <w:style w:type="character" w:styleId="Pagenumber">
    <w:name w:val="page number"/>
    <w:basedOn w:val="DefaultParagraphFont"/>
    <w:uiPriority w:val="99"/>
    <w:semiHidden/>
    <w:unhideWhenUsed/>
    <w:qFormat/>
    <w:rsid w:val="004f5234"/>
    <w:rPr/>
  </w:style>
  <w:style w:type="character" w:styleId="Linenumber">
    <w:name w:val="line number"/>
    <w:basedOn w:val="DefaultParagraphFont"/>
    <w:uiPriority w:val="99"/>
    <w:semiHidden/>
    <w:unhideWhenUsed/>
    <w:qFormat/>
    <w:rsid w:val="004f5234"/>
    <w:rPr/>
  </w:style>
  <w:style w:type="character" w:styleId="Titolo3Carattere" w:customStyle="1">
    <w:name w:val="Titolo 3 Carattere"/>
    <w:basedOn w:val="DefaultParagraphFont"/>
    <w:link w:val="Titolo3"/>
    <w:uiPriority w:val="9"/>
    <w:qFormat/>
    <w:rsid w:val="007f3034"/>
    <w:rPr>
      <w:rFonts w:ascii="Cambria" w:hAnsi="Cambria" w:eastAsia="Times New Roman" w:cs="Times New Roman"/>
      <w:color w:val="404040"/>
      <w:sz w:val="26"/>
      <w:szCs w:val="26"/>
      <w:lang w:val="nl-BE" w:eastAsia="nl-BE"/>
    </w:rPr>
  </w:style>
  <w:style w:type="character" w:styleId="Annotationreference">
    <w:name w:val="annotation reference"/>
    <w:basedOn w:val="DefaultParagraphFont"/>
    <w:uiPriority w:val="99"/>
    <w:semiHidden/>
    <w:unhideWhenUsed/>
    <w:qFormat/>
    <w:rsid w:val="00a9413f"/>
    <w:rPr>
      <w:sz w:val="16"/>
      <w:szCs w:val="16"/>
    </w:rPr>
  </w:style>
  <w:style w:type="character" w:styleId="TestocommentoCarattere" w:customStyle="1">
    <w:name w:val="Testo commento Carattere"/>
    <w:basedOn w:val="DefaultParagraphFont"/>
    <w:link w:val="Testocommento"/>
    <w:uiPriority w:val="99"/>
    <w:semiHidden/>
    <w:qFormat/>
    <w:rsid w:val="00a9413f"/>
    <w:rPr>
      <w:color w:val="00000A"/>
      <w:szCs w:val="20"/>
    </w:rPr>
  </w:style>
  <w:style w:type="character" w:styleId="SoggettocommentoCarattere" w:customStyle="1">
    <w:name w:val="Soggetto commento Carattere"/>
    <w:basedOn w:val="TestocommentoCarattere"/>
    <w:link w:val="Soggettocommento"/>
    <w:uiPriority w:val="99"/>
    <w:semiHidden/>
    <w:qFormat/>
    <w:rsid w:val="00a9413f"/>
    <w:rPr>
      <w:b/>
      <w:bCs/>
      <w:color w:val="00000A"/>
      <w:szCs w:val="20"/>
    </w:rPr>
  </w:style>
  <w:style w:type="character" w:styleId="EnlacedeInternet">
    <w:name w:val="Enlace de Internet"/>
    <w:basedOn w:val="DefaultParagraphFont"/>
    <w:uiPriority w:val="99"/>
    <w:unhideWhenUsed/>
    <w:rsid w:val="0021339b"/>
    <w:rPr>
      <w:color w:val="0000FF" w:themeColor="hyperlink"/>
      <w:u w:val="single"/>
    </w:rPr>
  </w:style>
  <w:style w:type="character" w:styleId="UnresolvedMention">
    <w:name w:val="Unresolved Mention"/>
    <w:basedOn w:val="DefaultParagraphFont"/>
    <w:uiPriority w:val="99"/>
    <w:semiHidden/>
    <w:unhideWhenUsed/>
    <w:qFormat/>
    <w:rsid w:val="0021339b"/>
    <w:rPr>
      <w:color w:val="605E5C"/>
      <w:shd w:fill="E1DFDD" w:val="clear"/>
    </w:rPr>
  </w:style>
  <w:style w:type="character" w:styleId="Numeracindelneas">
    <w:name w:val="Numeración de líneas"/>
    <w:qFormat/>
    <w:rPr/>
  </w:style>
  <w:style w:type="character" w:styleId="Destacado">
    <w:name w:val="Destacado"/>
    <w:qFormat/>
    <w:rPr>
      <w:i/>
      <w:iCs/>
    </w:rPr>
  </w:style>
  <w:style w:type="character" w:styleId="EnlacedeInternetvisitado">
    <w:name w:val="Enlace de Internet visitado"/>
    <w:rPr>
      <w:color w:val="800000"/>
      <w:u w:val="single"/>
      <w:lang w:val="zxx" w:eastAsia="zxx" w:bidi="zxx"/>
    </w:rPr>
  </w:style>
  <w:style w:type="character" w:styleId="Numeracinderenglones">
    <w:name w:val="Numeración de renglones"/>
    <w:rPr/>
  </w:style>
  <w:style w:type="character" w:styleId="Smbolosdenumeracin">
    <w:name w:val="Símbolos de numeración"/>
    <w:qFormat/>
    <w:rPr/>
  </w:style>
  <w:style w:type="paragraph" w:styleId="Ttulo" w:customStyle="1">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896de0"/>
    <w:pPr>
      <w:spacing w:before="0" w:after="200"/>
      <w:ind w:left="720" w:hanging="0"/>
      <w:contextualSpacing/>
    </w:pPr>
    <w:rPr/>
  </w:style>
  <w:style w:type="paragraph" w:styleId="BalloonText">
    <w:name w:val="Balloon Text"/>
    <w:basedOn w:val="Normal"/>
    <w:link w:val="TestofumettoCarattere"/>
    <w:uiPriority w:val="99"/>
    <w:semiHidden/>
    <w:unhideWhenUsed/>
    <w:qFormat/>
    <w:rsid w:val="003976f0"/>
    <w:pPr>
      <w:spacing w:lineRule="auto" w:line="240" w:before="0" w:after="0"/>
    </w:pPr>
    <w:rPr>
      <w:rFonts w:ascii="Tahoma" w:hAnsi="Tahoma" w:cs="Tahoma"/>
      <w:sz w:val="16"/>
      <w:szCs w:val="16"/>
    </w:rPr>
  </w:style>
  <w:style w:type="paragraph" w:styleId="HTMLPreformatted">
    <w:name w:val="HTML Preformatted"/>
    <w:basedOn w:val="Normal"/>
    <w:link w:val="PreformattatoHTMLCarattere"/>
    <w:uiPriority w:val="99"/>
    <w:unhideWhenUsed/>
    <w:qFormat/>
    <w:rsid w:val="009730b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Textopreformateado" w:customStyle="1">
    <w:name w:val="Texto preformateado"/>
    <w:basedOn w:val="Normal"/>
    <w:qFormat/>
    <w:pPr/>
    <w:rPr/>
  </w:style>
  <w:style w:type="paragraph" w:styleId="Contenidodelatabla" w:customStyle="1">
    <w:name w:val="Contenido de la tabla"/>
    <w:basedOn w:val="Normal"/>
    <w:qFormat/>
    <w:pPr/>
    <w:rPr/>
  </w:style>
  <w:style w:type="paragraph" w:styleId="Ttulodelatabla" w:customStyle="1">
    <w:name w:val="Título de la tabla"/>
    <w:basedOn w:val="Contenidodelatabla"/>
    <w:qFormat/>
    <w:pPr/>
    <w:rPr/>
  </w:style>
  <w:style w:type="paragraph" w:styleId="Cabeceraypie">
    <w:name w:val="Cabecera y pie"/>
    <w:basedOn w:val="Normal"/>
    <w:qFormat/>
    <w:pPr/>
    <w:rPr/>
  </w:style>
  <w:style w:type="paragraph" w:styleId="Piedepgina">
    <w:name w:val="Footer"/>
    <w:basedOn w:val="Normal"/>
    <w:link w:val="PidipaginaCarattere"/>
    <w:uiPriority w:val="99"/>
    <w:unhideWhenUsed/>
    <w:rsid w:val="004f5234"/>
    <w:pPr>
      <w:tabs>
        <w:tab w:val="clear" w:pos="720"/>
        <w:tab w:val="center" w:pos="4819" w:leader="none"/>
        <w:tab w:val="right" w:pos="9638" w:leader="none"/>
      </w:tabs>
      <w:spacing w:lineRule="auto" w:line="240" w:before="0" w:after="0"/>
    </w:pPr>
    <w:rPr/>
  </w:style>
  <w:style w:type="paragraph" w:styleId="Annotationtext">
    <w:name w:val="annotation text"/>
    <w:basedOn w:val="Normal"/>
    <w:link w:val="TestocommentoCarattere"/>
    <w:uiPriority w:val="99"/>
    <w:semiHidden/>
    <w:unhideWhenUsed/>
    <w:qFormat/>
    <w:rsid w:val="00a9413f"/>
    <w:pPr>
      <w:spacing w:lineRule="auto" w:line="240"/>
    </w:pPr>
    <w:rPr>
      <w:sz w:val="20"/>
      <w:szCs w:val="20"/>
    </w:rPr>
  </w:style>
  <w:style w:type="paragraph" w:styleId="Annotationsubject">
    <w:name w:val="annotation subject"/>
    <w:basedOn w:val="Annotationtext"/>
    <w:link w:val="SoggettocommentoCarattere"/>
    <w:uiPriority w:val="99"/>
    <w:semiHidden/>
    <w:unhideWhenUsed/>
    <w:qFormat/>
    <w:rsid w:val="00a9413f"/>
    <w:pPr/>
    <w:rPr>
      <w:b/>
      <w:bCs/>
    </w:rPr>
  </w:style>
  <w:style w:type="paragraph" w:styleId="NormalWeb">
    <w:name w:val="Normal (Web)"/>
    <w:basedOn w:val="Normal"/>
    <w:uiPriority w:val="99"/>
    <w:unhideWhenUsed/>
    <w:qFormat/>
    <w:rsid w:val="003731a7"/>
    <w:pPr>
      <w:spacing w:lineRule="auto" w:line="240" w:beforeAutospacing="1" w:afterAutospacing="1"/>
    </w:pPr>
    <w:rPr>
      <w:rFonts w:ascii="Times New Roman" w:hAnsi="Times New Roman" w:eastAsia="Times New Roman" w:cs="Times New Roman"/>
      <w:color w:val="00000A"/>
      <w:sz w:val="24"/>
      <w:szCs w:val="24"/>
      <w:lang w:val="it-IT"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620bd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ces.dk/sites/pub/Publication Reports/Guidelines and Policies/16.04.03.02_Category_3-4_Reference_Points.pdf"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E78BA-8F4B-CB49-99EF-49E3F7AA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Application>LibreOffice/7.0.3.1$Windows_X86_64 LibreOffice_project/d7547858d014d4cf69878db179d326fc3483e082</Application>
  <Pages>28</Pages>
  <Words>4414</Words>
  <Characters>23388</Characters>
  <CharactersWithSpaces>27446</CharactersWithSpaces>
  <Paragraphs>434</Paragraphs>
  <Company>INSTITUTO ESPAÑOL DE OCEANOGRAFÍA - VIGO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2020-03-23T18:46:00Z</dcterms:created>
  <dc:creator>mcousido</dc:creator>
  <dc:description/>
  <dc:language>es-ES</dc:language>
  <cp:lastModifiedBy/>
  <dcterms:modified xsi:type="dcterms:W3CDTF">2020-11-25T18:14:38Z</dcterms:modified>
  <cp:revision>153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INSTITUTO ESPAÑOL DE OCEANOGRAFÍA - VIGO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