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Assessing the sensitivity of length-indicator methods for resources in the Atlantic waters</w:t>
      </w:r>
    </w:p>
    <w:p>
      <w:pPr>
        <w:pStyle w:val="ListParagraph"/>
        <w:spacing w:lineRule="auto" w:line="480"/>
        <w:jc w:val="both"/>
        <w:rPr/>
      </w:pPr>
      <w:r>
        <w:rPr>
          <w:rFonts w:cs="Times New Roman" w:ascii="Times New Roman" w:hAnsi="Times New Roman"/>
          <w:sz w:val="28"/>
          <w:szCs w:val="28"/>
          <w:lang w:val="en-US"/>
        </w:rPr>
        <w:t>Authors</w:t>
      </w:r>
    </w:p>
    <w:p>
      <w:pPr>
        <w:pStyle w:val="ListParagraph"/>
        <w:spacing w:lineRule="auto" w:line="480"/>
        <w:jc w:val="both"/>
        <w:rPr>
          <w:rFonts w:ascii="Times New Roman" w:hAnsi="Times New Roman" w:cs="Times New Roman"/>
          <w:sz w:val="24"/>
          <w:szCs w:val="24"/>
          <w:lang w:val="en-US"/>
        </w:rPr>
      </w:pPr>
      <w:r>
        <w:rPr>
          <w:rFonts w:cs="Times New Roman" w:ascii="Times New Roman" w:hAnsi="Times New Roman"/>
          <w:sz w:val="28"/>
          <w:szCs w:val="28"/>
          <w:lang w:val="en-US"/>
        </w:rPr>
        <w:t>Affiliation</w:t>
      </w:r>
    </w:p>
    <w:p>
      <w:pPr>
        <w:pStyle w:val="ListParagraph"/>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480"/>
        <w:jc w:val="both"/>
        <w:rPr/>
      </w:pPr>
      <w:r>
        <w:rPr>
          <w:rFonts w:cs="Times New Roman" w:ascii="Times New Roman" w:hAnsi="Times New Roman"/>
          <w:b/>
          <w:sz w:val="28"/>
          <w:szCs w:val="28"/>
          <w:lang w:val="en-US"/>
        </w:rPr>
        <w:t>Abstract</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4"/>
          <w:szCs w:val="24"/>
          <w:lang w:val="en-US"/>
        </w:rPr>
        <w:t xml:space="preserve"> </w:t>
      </w:r>
      <w:r>
        <w:rPr>
          <w:rFonts w:cs="Times New Roman" w:ascii="Times New Roman" w:hAnsi="Times New Roman"/>
          <w:b/>
          <w:color w:val="800000"/>
          <w:sz w:val="24"/>
          <w:szCs w:val="24"/>
          <w:lang w:val="en-US"/>
        </w:rPr>
        <w:t>(Coming soon)</w:t>
      </w:r>
    </w:p>
    <w:p>
      <w:pPr>
        <w:pStyle w:val="Normal"/>
        <w:spacing w:lineRule="auto" w:line="480"/>
        <w:jc w:val="both"/>
        <w:rPr/>
      </w:pPr>
      <w:r>
        <w:rPr>
          <w:rFonts w:cs="Times New Roman" w:ascii="Times New Roman" w:hAnsi="Times New Roman"/>
          <w:b/>
          <w:sz w:val="28"/>
          <w:szCs w:val="28"/>
          <w:lang w:val="en-US"/>
        </w:rPr>
        <w:t xml:space="preserve">Keywords: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Introduction</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Material and Methods</w:t>
      </w:r>
    </w:p>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Species data</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Statistical analysis</w:t>
      </w:r>
    </w:p>
    <w:p>
      <w:pPr>
        <w:pStyle w:val="Normal"/>
        <w:spacing w:lineRule="auto" w:line="480"/>
        <w:jc w:val="both"/>
        <w:rPr/>
      </w:pPr>
      <w:r>
        <w:rPr>
          <w:rFonts w:cs="Times New Roman" w:ascii="Times New Roman" w:hAnsi="Times New Roman"/>
          <w:b w:val="false"/>
          <w:bCs w:val="false"/>
          <w:sz w:val="28"/>
          <w:szCs w:val="28"/>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8"/>
          <w:szCs w:val="28"/>
          <w:lang w:val="en-US"/>
        </w:rPr>
        <w:t>data-poor stocks. Numerous data-limited length-based methodologies have been developed since length-frequency data are often the primary data type collected since it is relatively inexpensive and straightforward to obtain. In this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LBI method</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pPr>
      <w:r>
        <w:rPr>
          <w:rFonts w:ascii="Times New Roman" w:hAnsi="Times New Roman"/>
          <w:sz w:val="28"/>
          <w:szCs w:val="28"/>
        </w:rPr>
        <w:t>LBI method requires the following data: length at maturity (L</w:t>
      </w:r>
      <w:r>
        <w:rPr>
          <w:rFonts w:ascii="Times New Roman" w:hAnsi="Times New Roman"/>
          <w:sz w:val="28"/>
          <w:szCs w:val="28"/>
          <w:vertAlign w:val="subscript"/>
        </w:rPr>
        <w:t>mat</w:t>
      </w:r>
      <w:r>
        <w:rPr>
          <w:rFonts w:ascii="Times New Roman" w:hAnsi="Times New Roman"/>
          <w:sz w:val="28"/>
          <w:szCs w:val="28"/>
        </w:rPr>
        <w:t>), von Bertalanffy growth parameter (L</w:t>
      </w:r>
      <w:r>
        <w:rPr>
          <w:rFonts w:eastAsia="Times New Roman" w:cs="Times New Roman" w:ascii="Times New Roman" w:hAnsi="Times New Roman"/>
          <w:sz w:val="28"/>
          <w:szCs w:val="28"/>
          <w:vertAlign w:val="subscript"/>
        </w:rPr>
        <w:t>∞</w:t>
      </w:r>
      <w:r>
        <w:rPr>
          <w:rFonts w:ascii="Times New Roman" w:hAnsi="Times New Roman"/>
          <w:sz w:val="28"/>
          <w:szCs w:val="28"/>
        </w:rPr>
        <w:t>), ratio of natural mortality to von Bertalanffy growth rate (M/k), catch/landings at length per year, length–weight relationship parameters (a and b parameter in the equation W=aL</w:t>
      </w:r>
      <w:r>
        <w:rPr>
          <w:rFonts w:ascii="Times New Roman" w:hAnsi="Times New Roman"/>
          <w:sz w:val="28"/>
          <w:szCs w:val="28"/>
          <w:vertAlign w:val="superscript"/>
        </w:rPr>
        <w:t>b</w:t>
      </w:r>
      <w:r>
        <w:rPr>
          <w:rFonts w:ascii="Times New Roman" w:hAnsi="Times New Roman"/>
          <w:position w:val="0"/>
          <w:sz w:val="28"/>
          <w:sz w:val="28"/>
          <w:szCs w:val="28"/>
          <w:vertAlign w:val="baseline"/>
        </w:rPr>
        <w:t xml:space="preserve"> being W and L the corresponding weight and length, respectively</w:t>
      </w:r>
      <w:r>
        <w:rPr>
          <w:rFonts w:ascii="Times New Roman" w:hAnsi="Times New Roman"/>
          <w:sz w:val="28"/>
          <w:szCs w:val="28"/>
        </w:rPr>
        <w:t>). Instead of the values of parameters a and b  we can use the mean weights-at-length per year as an input in the model.</w:t>
      </w:r>
    </w:p>
    <w:p>
      <w:pPr>
        <w:pStyle w:val="Normal"/>
        <w:spacing w:lineRule="auto" w:line="480"/>
        <w:jc w:val="both"/>
        <w:rPr/>
      </w:pPr>
      <w:r>
        <w:rPr>
          <w:rFonts w:ascii="Times New Roman" w:hAnsi="Times New Roman"/>
          <w:sz w:val="28"/>
          <w:szCs w:val="28"/>
        </w:rPr>
        <w:t xml:space="preserve">Table 1 present the indicators, reference points,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bookmarkStart w:id="0" w:name="__DdeLink__703_494104677"/>
            <w:bookmarkEnd w:id="0"/>
            <w:r>
              <w:rPr>
                <w:rFonts w:ascii="Times New Roman" w:hAnsi="Times New Roman"/>
                <w:sz w:val="28"/>
                <w:szCs w:val="28"/>
              </w:rPr>
              <w:t>L</w:t>
            </w:r>
            <w:r>
              <w:rPr>
                <w:rFonts w:ascii="Times New Roman" w:hAnsi="Times New Roman"/>
                <w:sz w:val="28"/>
                <w:szCs w:val="28"/>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Proportion of individuals above L</w:t>
            </w:r>
            <w:r>
              <w:rPr>
                <w:rFonts w:ascii="Times New Roman" w:hAnsi="Times New Roman"/>
                <w:sz w:val="28"/>
                <w:szCs w:val="28"/>
                <w:vertAlign w:val="subscript"/>
              </w:rPr>
              <w:t>opt</w:t>
            </w:r>
            <w:r>
              <w:rPr>
                <w:rFonts w:ascii="Times New Roman" w:hAnsi="Times New Roman"/>
                <w:sz w:val="28"/>
                <w:szCs w:val="28"/>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r>
              <w:rPr>
                <w:rFonts w:ascii="Times New Roman" w:hAnsi="Times New Roman"/>
                <w:position w:val="0"/>
                <w:sz w:val="28"/>
                <w:sz w:val="28"/>
                <w:szCs w:val="28"/>
                <w:vertAlign w:val="baseline"/>
              </w:rPr>
              <w:t>/</w:t>
            </w:r>
            <w:r>
              <w:rPr>
                <w:rFonts w:ascii="Times New Roman" w:hAnsi="Times New Roman"/>
                <w:sz w:val="28"/>
                <w:szCs w:val="28"/>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L</w:t>
            </w:r>
            <w:r>
              <w:rPr>
                <w:rFonts w:ascii="Times New Roman" w:hAnsi="Times New Roman"/>
                <w:sz w:val="28"/>
                <w:szCs w:val="28"/>
                <w:vertAlign w:val="subscript"/>
              </w:rPr>
              <w:t>c</w:t>
            </w:r>
            <w:r>
              <w:rPr>
                <w:rFonts w:ascii="Times New Roman" w:hAnsi="Times New Roman"/>
                <w:position w:val="0"/>
                <w:sz w:val="28"/>
                <w:sz w:val="28"/>
                <w:szCs w:val="28"/>
                <w:vertAlign w:val="baseline"/>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F=M</w:t>
            </w:r>
            <w:r>
              <w:rPr>
                <w:rFonts w:ascii="Times New Roman" w:hAnsi="Times New Roman"/>
                <w:position w:val="0"/>
                <w:sz w:val="28"/>
                <w:sz w:val="28"/>
                <w:szCs w:val="28"/>
                <w:vertAlign w:val="baseline"/>
              </w:rPr>
              <w:t>= (1-a)L</w:t>
            </w:r>
            <w:r>
              <w:rPr>
                <w:rFonts w:ascii="Times New Roman" w:hAnsi="Times New Roman"/>
                <w:sz w:val="28"/>
                <w:szCs w:val="28"/>
                <w:vertAlign w:val="subscript"/>
              </w:rPr>
              <w:t>c</w:t>
            </w:r>
            <w:r>
              <w:rPr>
                <w:rFonts w:ascii="Times New Roman" w:hAnsi="Times New Roman"/>
                <w:position w:val="0"/>
                <w:sz w:val="28"/>
                <w:sz w:val="28"/>
                <w:szCs w:val="28"/>
                <w:vertAlign w:val="baseline"/>
              </w:rPr>
              <w:t>+aL</w:t>
            </w:r>
            <w:r>
              <w:rPr>
                <w:rFonts w:eastAsia="Times New Roman" w:cs="Times New Roman" w:ascii="Times New Roman" w:hAnsi="Times New Roman"/>
                <w:sz w:val="28"/>
                <w:szCs w:val="28"/>
                <w:vertAlign w:val="subscript"/>
              </w:rPr>
              <w:t>∞</w:t>
            </w:r>
          </w:p>
          <w:p>
            <w:pPr>
              <w:pStyle w:val="Contenidodelatabla"/>
              <w:widowControl w:val="false"/>
              <w:spacing w:before="0" w:after="200"/>
              <w:rPr/>
            </w:pPr>
            <w:r>
              <w:rPr>
                <w:rFonts w:eastAsia="Calibri" w:cs="" w:ascii="Times New Roman" w:hAnsi="Times New Roman"/>
                <w:position w:val="0"/>
                <w:sz w:val="28"/>
                <w:sz w:val="28"/>
                <w:szCs w:val="28"/>
                <w:vertAlign w:val="baseline"/>
              </w:rPr>
              <w:t>a=1/((M/k)+1)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MSY</w:t>
            </w:r>
          </w:p>
        </w:tc>
      </w:tr>
    </w:tbl>
    <w:p>
      <w:pPr>
        <w:pStyle w:val="Normal"/>
        <w:spacing w:lineRule="auto" w:line="480"/>
        <w:jc w:val="both"/>
        <w:rPr>
          <w:rFonts w:eastAsia="Calibri" w:cs=""/>
        </w:rPr>
      </w:pPr>
      <w:r>
        <w:rPr>
          <w:rFonts w:eastAsia="Calibri" w:cs=""/>
        </w:rPr>
      </w:r>
    </w:p>
    <w:p>
      <w:pPr>
        <w:pStyle w:val="Normal"/>
        <w:spacing w:lineRule="auto" w:line="480"/>
        <w:jc w:val="both"/>
        <w:rPr/>
      </w:pPr>
      <w:r>
        <w:rPr>
          <w:rFonts w:eastAsia="Calibri" w:cs="" w:ascii="Times New Roman" w:hAnsi="Times New Roman"/>
          <w:sz w:val="28"/>
          <w:szCs w:val="28"/>
        </w:rPr>
        <w:t>Table 1: Summary of the length based indicators with the corresponding reference points, indicator ratios and expected values grouped in terms of conservation/sustainability, optimal yield and MSY considerations.</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b/>
          <w:bCs/>
        </w:rPr>
      </w:pPr>
      <w:r>
        <w:rPr>
          <w:rFonts w:eastAsia="Times New Roman" w:cs="Times New Roman" w:ascii="Times New Roman" w:hAnsi="Times New Roman"/>
          <w:b/>
          <w:bCs/>
          <w:position w:val="0"/>
          <w:sz w:val="28"/>
          <w:sz w:val="28"/>
          <w:szCs w:val="28"/>
          <w:vertAlign w:val="baseline"/>
          <w:lang w:val="en-US"/>
        </w:rPr>
        <w:t>LBI results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 has been summarized in Tables 3 and 4.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Tables 3 and 4 focus on reporting for models 2-6 which conclusions  have been changed respect to the ones in the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3 and 4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3 and 4 shows, as expected, that variation of the parameter </w:t>
      </w:r>
      <w:r>
        <w:rPr>
          <w:rFonts w:eastAsia="Calibri" w:cs="Times New Roman" w:ascii="Times New Roman" w:hAnsi="Times New Roman"/>
          <w:b w:val="false"/>
          <w:bCs w:val="false"/>
          <w:position w:val="0"/>
          <w:sz w:val="28"/>
          <w:sz w:val="28"/>
          <w:szCs w:val="28"/>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relates to the optimal yield, MSY and conservation of large individuals, respectively. 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of stock, since as we can see in Tables 3 and 4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such value is 33%. Hence in for our stocks it seems clear that underestimation or overestimation of M/k has more effect on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Note that the percentages (of years for which the conclusion derived from the indicator is changes respect to model 1) in Tables 3 and 4 are below 50% except in 6 cases corresponding to N. norvegicus FU2627 Females (M/k=1.5), G.melastomus (under- and over-estimation), E. Encrasicolus (underestimation) and P. Bogaraveo (overestimation). Finally, it is worth to mention that species T. Luscus is the unique species for which no changes in the conclusions have been detected in spite of the variation on M/k parameter.</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After analyzing the sensitive of LBI to variations on M/k value, we focus now on the sensitivity of the method to variations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value. </w:t>
      </w:r>
      <w:r>
        <w:rPr>
          <w:rFonts w:eastAsia="Times New Roman" w:cs="Times New Roman" w:ascii="Times New Roman" w:hAnsi="Times New Roman"/>
          <w:b w:val="false"/>
          <w:bCs w:val="false"/>
          <w:color w:val="000000"/>
          <w:position w:val="0"/>
          <w:sz w:val="28"/>
          <w:sz w:val="28"/>
          <w:szCs w:val="28"/>
          <w:vertAlign w:val="baseline"/>
          <w:lang w:val="en-US"/>
        </w:rPr>
        <w:t xml:space="preserve">Tables 3 and 4 shows that variation of the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leads to changes in the conclusions derived from the indicator ratios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opt</w:t>
      </w:r>
      <w:r>
        <w:rPr>
          <w:rFonts w:eastAsia="Calibri" w:cs="Times New Roman" w:ascii="Times New Roman" w:hAnsi="Times New Roman"/>
          <w:b w:val="false"/>
          <w:bCs w:val="false"/>
          <w:color w:val="000000"/>
          <w:position w:val="0"/>
          <w:sz w:val="28"/>
          <w:sz w:val="28"/>
          <w:szCs w:val="28"/>
          <w:vertAlign w:val="baseline"/>
          <w:lang w:val="en-US"/>
        </w:rPr>
        <w:t>,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Such indicators relates to the optimal yield, MSY and conservation of large individuals, respectively. </w:t>
      </w:r>
      <w:r>
        <w:rPr>
          <w:rFonts w:eastAsia="Calibri" w:cs="Calibri" w:ascii="Times New Roman" w:hAnsi="Times New Roman"/>
          <w:b w:val="false"/>
          <w:bCs w:val="false"/>
          <w:color w:val="000000"/>
          <w:kern w:val="0"/>
          <w:position w:val="0"/>
          <w:sz w:val="28"/>
          <w:sz w:val="28"/>
          <w:szCs w:val="28"/>
          <w:vertAlign w:val="baseline"/>
          <w:lang w:val="en-US" w:eastAsia="en-US" w:bidi="ar-SA"/>
        </w:rPr>
        <w:t>Under</w:t>
      </w:r>
      <w:r>
        <w:rPr>
          <w:rFonts w:eastAsia="Calibri" w:cs="Calibri" w:ascii="Times New Roman" w:hAnsi="Times New Roman"/>
          <w:b w:val="false"/>
          <w:bCs w:val="false"/>
          <w:color w:val="000000"/>
          <w:position w:val="0"/>
          <w:sz w:val="28"/>
          <w:sz w:val="28"/>
          <w:szCs w:val="28"/>
          <w:vertAlign w:val="baseline"/>
          <w:lang w:val="en-US"/>
        </w:rPr>
        <w:t xml:space="preserve">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 (model 4 o</w:t>
      </w:r>
      <w:r>
        <w:rPr>
          <w:rFonts w:eastAsia="Calibri" w:cs="Times New Roman" w:ascii="Times New Roman" w:hAnsi="Times New Roman"/>
          <w:b w:val="false"/>
          <w:bCs w:val="false"/>
          <w:color w:val="000000"/>
          <w:position w:val="0"/>
          <w:sz w:val="28"/>
          <w:sz w:val="28"/>
          <w:szCs w:val="28"/>
          <w:vertAlign w:val="baseline"/>
          <w:lang w:val="en-US"/>
        </w:rPr>
        <w:t xml:space="preserve">f Table 2) leads to a more optimistic perception of the state of stock, since as we can see in Tables 3 and 4 the values of the indicator ratios changes from below to the expected value to above it.  Whereas the opposite behavior is detected under underestimation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(model 5 of Table 2). </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been adjusted for each of the 7 stocks (and that 2 stocks are divided in females and males) we have 18 different models to assess the sensitivity of LBI for variability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Changes in the conclusions derived from 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indicators </w:t>
      </w: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66% of the models whereas for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such value is 88% and 83%. Note that the percentages are close to each other, hence, for our stocks, it seems that underestimation or overestimation of L</w:t>
      </w:r>
      <w:r>
        <w:rPr>
          <w:rFonts w:eastAsia="Liberation Serif" w:cs="Liberation Serif" w:ascii="Liberation Serif" w:hAnsi="Liberation Serif"/>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more or less the same effect on the conclusions derived from the four indicators. Note that 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the percentage (of years for which the conclusion derived from the indicator changes respect to model 1, Tables 3 and 4) is above 50%. Finally, it is worth to mention that species T. Luscus is the unique species for which no changes in the conclusions have been detected in spite of 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4: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b/>
          <w:b/>
          <w:bCs/>
        </w:rPr>
      </w:pPr>
      <w:r>
        <w:rPr>
          <w:rFonts w:eastAsia="Times New Roman" w:cs="Times New Roman" w:ascii="Times New Roman" w:hAnsi="Times New Roman"/>
          <w:b/>
          <w:bCs/>
          <w:position w:val="0"/>
          <w:sz w:val="28"/>
          <w:sz w:val="28"/>
          <w:szCs w:val="28"/>
          <w:vertAlign w:val="baseline"/>
          <w:lang w:val="en-US"/>
        </w:rPr>
        <w:t>LBSPR results</w:t>
      </w:r>
    </w:p>
    <w:p>
      <w:pPr>
        <w:pStyle w:val="Normal"/>
        <w:spacing w:lineRule="auto" w:line="480" w:before="0" w:after="200"/>
        <w:jc w:val="both"/>
        <w:rPr>
          <w:rFonts w:ascii="Times New Roman" w:hAnsi="Times New Roman" w:eastAsia="Times New Roman" w:cs="Times New Roman"/>
          <w:position w:val="0"/>
          <w:sz w:val="22"/>
          <w:sz w:val="28"/>
          <w:szCs w:val="28"/>
          <w:vertAlign w:val="baseline"/>
          <w:lang w:val="en-US"/>
        </w:rPr>
      </w:pPr>
      <w:r>
        <w:rPr>
          <w:b w:val="false"/>
          <w:bCs w:val="false"/>
        </w:rPr>
      </w:r>
    </w:p>
    <w:p>
      <w:pPr>
        <w:pStyle w:val="Normal"/>
        <w:spacing w:lineRule="auto" w:line="480" w:before="0" w:after="200"/>
        <w:jc w:val="both"/>
        <w:rPr>
          <w:rFonts w:ascii="Times New Roman" w:hAnsi="Times New Roman" w:eastAsia="Times New Roman" w:cs="Times New Roman"/>
          <w:position w:val="0"/>
          <w:sz w:val="22"/>
          <w:sz w:val="28"/>
          <w:szCs w:val="28"/>
          <w:vertAlign w:val="baseline"/>
          <w:lang w:val="en-US"/>
        </w:rPr>
      </w:pPr>
      <w:r>
        <w:rPr>
          <w:b/>
          <w:bCs/>
        </w:rPr>
      </w:r>
    </w:p>
    <w:p>
      <w:pPr>
        <w:pStyle w:val="Normal"/>
        <w:spacing w:lineRule="auto" w:line="480" w:before="0" w:after="200"/>
        <w:jc w:val="both"/>
        <w:rPr>
          <w:rFonts w:ascii="Times New Roman" w:hAnsi="Times New Roman" w:eastAsia="Times New Roman" w:cs="Times New Roman"/>
          <w:position w:val="0"/>
          <w:sz w:val="22"/>
          <w:sz w:val="28"/>
          <w:szCs w:val="28"/>
          <w:vertAlign w:val="baseline"/>
          <w:lang w:val="en-US"/>
        </w:rPr>
      </w:pPr>
      <w:r>
        <w:rPr>
          <w:b/>
          <w:bCs/>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Fonts w:eastAsia="Calibri" w:cs="Times New Roman" w:ascii="Times New Roman" w:hAnsi="Times New Roman"/>
          <w:b w:val="false"/>
          <w:bCs w:val="false"/>
          <w:color w:val="000000"/>
          <w:sz w:val="28"/>
          <w:szCs w:val="28"/>
          <w:vertAlign w:val="subscript"/>
          <w:lang w:val="en-US"/>
        </w:rPr>
        <w:t xml:space="preserve"> </w:t>
      </w: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TimesNewRomanPS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4979444"/>
    </w:sdtPr>
    <w:sdtContent>
      <w:p>
        <w:pPr>
          <w:pStyle w:val="Piedepgina"/>
          <w:rPr/>
        </w:pPr>
        <w:r>
          <w:rPr/>
          <w:fldChar w:fldCharType="begin"/>
        </w:r>
        <w:r>
          <w:rPr/>
          <w:instrText> PAGE </w:instrText>
        </w:r>
        <w:r>
          <w:rPr/>
          <w:fldChar w:fldCharType="separate"/>
        </w:r>
        <w:r>
          <w:rPr/>
          <w:t>21</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Application>LibreOffice/7.0.3.1$Windows_X86_64 LibreOffice_project/d7547858d014d4cf69878db179d326fc3483e082</Application>
  <Pages>21</Pages>
  <Words>3030</Words>
  <Characters>16557</Characters>
  <CharactersWithSpaces>19266</CharactersWithSpaces>
  <Paragraphs>365</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2020-11-25T12:03:52Z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