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80"/>
        <w:jc w:val="center"/>
      </w:pPr>
      <w:r>
        <w:rPr>
          <w:b/>
          <w:bCs/>
          <w:color w:val="C00000"/>
          <w:spacing w:val="60"/>
          <w:sz w:val="26"/>
          <w:szCs w:val="26"/>
        </w:rPr>
        <w:t xml:space="preserve">IMR SOFTWARE</w:t>
      </w: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Portal de Autofacturación</w:t>
      </w:r>
    </w:p>
    <w:p>
      <w:pPr>
        <w:spacing w:after="60"/>
        <w:jc w:val="center"/>
      </w:pPr>
      <w:r>
        <w:rPr>
          <w:color w:val="2E5496"/>
          <w:sz w:val="30"/>
          <w:szCs w:val="30"/>
        </w:rPr>
        <w:t xml:space="preserve">Especificación Técnica y Descripción Funcional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Funcionalidades, capacidades e integración con NetSuite</w:t>
      </w:r>
    </w:p>
    <w:p>
      <w:pPr>
        <w:pBdr>
          <w:top w:val="single" w:color="D9E1F2" w:sz="6"/>
          <w:bottom w:val="single" w:color="D9E1F2" w:sz="6"/>
        </w:pBdr>
        <w:spacing w:after="200" w:before="200"/>
        <w:jc w:val="center"/>
      </w:pPr>
      <w:r>
        <w:rPr>
          <w:i/>
          <w:iCs/>
          <w:color w:val="595959"/>
          <w:sz w:val="22"/>
          <w:szCs w:val="22"/>
        </w:rPr>
        <w:t xml:space="preserve">Documento orientado a Dirección y áreas técnicas</w:t>
      </w:r>
    </w:p>
    <w:p>
      <w:pPr>
        <w:spacing w:after="40" w:before="300"/>
        <w:jc w:val="center"/>
      </w:pPr>
      <w:r>
        <w:rPr>
          <w:sz w:val="22"/>
          <w:szCs w:val="22"/>
        </w:rPr>
        <w:t xml:space="preserve">Elaborado por: </w:t>
      </w:r>
      <w:r>
        <w:rPr>
          <w:b/>
          <w:bCs/>
          <w:sz w:val="22"/>
          <w:szCs w:val="22"/>
        </w:rPr>
        <w:t xml:space="preserve">Esau Gutiérrez — Desarrollo / Sistemas</w:t>
      </w:r>
    </w:p>
    <w:p>
      <w:pPr>
        <w:spacing w:after="40"/>
        <w:jc w:val="center"/>
      </w:pPr>
      <w:r>
        <w:rPr>
          <w:sz w:val="22"/>
          <w:szCs w:val="22"/>
        </w:rPr>
        <w:t xml:space="preserve">Fecha: </w:t>
      </w:r>
      <w:r>
        <w:rPr>
          <w:b/>
          <w:bCs/>
          <w:sz w:val="22"/>
          <w:szCs w:val="22"/>
        </w:rPr>
        <w:t xml:space="preserve">29 de julio de 2026</w:t>
      </w:r>
    </w:p>
    <w:p>
      <w:pPr>
        <w:spacing w:after="40"/>
        <w:jc w:val="center"/>
      </w:pPr>
      <w:r>
        <w:rPr>
          <w:sz w:val="22"/>
          <w:szCs w:val="22"/>
        </w:rPr>
        <w:t xml:space="preserve">Versión del documento: </w:t>
      </w:r>
      <w:r>
        <w:rPr>
          <w:b/>
          <w:bCs/>
          <w:sz w:val="22"/>
          <w:szCs w:val="22"/>
        </w:rPr>
        <w:t xml:space="preserve">1.0</w:t>
      </w:r>
    </w:p>
    <w:p>
      <w:r>
        <w:br w:type="page"/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1. Resumen ejecutivo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</w:t>
      </w:r>
      <w:r>
        <w:rPr>
          <w:b/>
          <w:bCs/>
          <w:sz w:val="22"/>
          <w:szCs w:val="22"/>
        </w:rPr>
        <w:t xml:space="preserve">Portal de Autofacturación</w:t>
      </w:r>
      <w:r>
        <w:rPr>
          <w:sz w:val="22"/>
          <w:szCs w:val="22"/>
        </w:rPr>
        <w:t xml:space="preserve"> es una aplicación web desarrollada por IMR Software que permite que el </w:t>
      </w:r>
      <w:r>
        <w:rPr>
          <w:b/>
          <w:bCs/>
          <w:sz w:val="22"/>
          <w:szCs w:val="22"/>
        </w:rPr>
        <w:t xml:space="preserve">cliente final de una empresa genere por sí mismo su factura electrónica (CFDI)</w:t>
      </w:r>
      <w:r>
        <w:rPr>
          <w:sz w:val="22"/>
          <w:szCs w:val="22"/>
        </w:rPr>
        <w:t xml:space="preserve"> a partir de un ticket, folio u orden de venta, sin necesidad de que el personal administrativo capture datos ni intervenga en el proceso.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portal funciona como una capa de experiencia de usuario </w:t>
      </w:r>
      <w:r>
        <w:rPr>
          <w:b/>
          <w:bCs/>
          <w:sz w:val="22"/>
          <w:szCs w:val="22"/>
        </w:rPr>
        <w:t xml:space="preserve">personalizable por empresa</w:t>
      </w:r>
      <w:r>
        <w:rPr>
          <w:sz w:val="22"/>
          <w:szCs w:val="22"/>
        </w:rPr>
        <w:t xml:space="preserve"> (logo, colores, vigencias y reglas de negocio) que se conecta </w:t>
      </w:r>
      <w:r>
        <w:rPr>
          <w:b/>
          <w:bCs/>
          <w:sz w:val="22"/>
          <w:szCs w:val="22"/>
        </w:rPr>
        <w:t xml:space="preserve">en tiempo real con NetSuite</w:t>
      </w:r>
      <w:r>
        <w:rPr>
          <w:sz w:val="22"/>
          <w:szCs w:val="22"/>
        </w:rPr>
        <w:t xml:space="preserve">, el cual actúa como única fuente de la verdad: el timbrado y el registro de las transacciones ocurren íntegramente dentro de NetSuite, sin bases de datos paralelas que dupliquen o desincronicen la información.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Está compuesto por dos módulos: un </w:t>
      </w:r>
      <w:r>
        <w:rPr>
          <w:b/>
          <w:bCs/>
          <w:sz w:val="22"/>
          <w:szCs w:val="22"/>
        </w:rPr>
        <w:t xml:space="preserve">portal público</w:t>
      </w:r>
      <w:r>
        <w:rPr>
          <w:sz w:val="22"/>
          <w:szCs w:val="22"/>
        </w:rPr>
        <w:t xml:space="preserve"> de autoservicio para el cliente final, y un </w:t>
      </w:r>
      <w:r>
        <w:rPr>
          <w:b/>
          <w:bCs/>
          <w:sz w:val="22"/>
          <w:szCs w:val="22"/>
        </w:rPr>
        <w:t xml:space="preserve">panel de administración (Backoffice)</w:t>
      </w:r>
      <w:r>
        <w:rPr>
          <w:sz w:val="22"/>
          <w:szCs w:val="22"/>
        </w:rPr>
        <w:t xml:space="preserve"> desde el cual se dan de alta y configuran las empresas que usan el portal, todo desde una sola plataforma multi-empresa.</w:t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2. Descripción general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sistema resuelve un problema operativo concreto: la carga de trabajo y los errores derivados de facturar manualmente a los clientes finales. En lugar de que el cliente solicite su factura por teléfono, WhatsApp o mostrador y un empleado capture sus datos fiscales, el propio cliente realiza todo el proceso en línea, 24/7, en un portal con la identidad visual de la empresa.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2.1 Actores del sistema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Cliente final: </w:t>
      </w:r>
      <w:r>
        <w:rPr>
          <w:sz w:val="22"/>
          <w:szCs w:val="22"/>
        </w:rPr>
        <w:t xml:space="preserve">consulta su folio, valida los datos y genera y descarga su CFDI (XML y PDF).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Administrador (IMR / empresa): </w:t>
      </w:r>
      <w:r>
        <w:rPr>
          <w:sz w:val="22"/>
          <w:szCs w:val="22"/>
        </w:rPr>
        <w:t xml:space="preserve">da de alta, configura, activa/desactiva y edita cada portal-empresa desde el Backoffice.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NetSuite (back-end de negocio): </w:t>
      </w:r>
      <w:r>
        <w:rPr>
          <w:sz w:val="22"/>
          <w:szCs w:val="22"/>
        </w:rPr>
        <w:t xml:space="preserve">ejecuta la búsqueda, la conversión de Orden de Venta a Factura y el timbrado ante el PAC.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2.2 Modelo multi-empresa (multi-tenant)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Un solo despliegue atiende a todas las empresas o marcas de un grupo. Cada empresa se identifica mediante el parámetro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?clientId=nombre-empresa</w:t>
      </w:r>
      <w:r>
        <w:rPr>
          <w:sz w:val="22"/>
          <w:szCs w:val="22"/>
        </w:rPr>
        <w:t xml:space="preserve"> en la URL; con ese identificador, el portal recupera de AWS DynamoDB la configuración específica de esa empresa (tema visual, vigencias, URLs de integración y reglas de búsqueda) y personaliza toda la experiencia sin desplegar código nuevo.</w:t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3. Arquitectura técnica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3.1 Stack tecnológico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7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2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Framework / Core</w:t>
            </w:r>
          </w:p>
        </w:tc>
        <w:tc>
          <w:tcPr>
            <w:tcW w:type="dxa" w:w="6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15.4 (App Router) + React 19.1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Lenguaje</w:t>
            </w:r>
          </w:p>
        </w:tc>
        <w:tc>
          <w:tcPr>
            <w:tcW w:type="dxa" w:w="6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TypeScript 5 (tipado fuerte e interfaces)</w:t>
            </w:r>
          </w:p>
        </w:tc>
      </w:tr>
      <w:tr>
        <w:tc>
          <w:tcPr>
            <w:tcW w:type="dxa" w:w="2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Estilos</w:t>
            </w:r>
          </w:p>
        </w:tc>
        <w:tc>
          <w:tcPr>
            <w:tcW w:type="dxa" w:w="6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Tailwind CSS v4 (diseño responsivo y temable por cliente)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Formularios / Validación</w:t>
            </w:r>
          </w:p>
        </w:tc>
        <w:tc>
          <w:tcPr>
            <w:tcW w:type="dxa" w:w="6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react-hook-form 7 + Zod 4 (@hookform/resolvers)</w:t>
            </w:r>
          </w:p>
        </w:tc>
      </w:tr>
      <w:tr>
        <w:tc>
          <w:tcPr>
            <w:tcW w:type="dxa" w:w="2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Configuración multi-empresa</w:t>
            </w:r>
          </w:p>
        </w:tc>
        <w:tc>
          <w:tcPr>
            <w:tcW w:type="dxa" w:w="6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AWS DynamoDB (NoSQL, un registro por clientId)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Almacenamiento de logos</w:t>
            </w:r>
          </w:p>
        </w:tc>
        <w:tc>
          <w:tcPr>
            <w:tcW w:type="dxa" w:w="6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AWS S3 (bucket de logos, carga desde el Backoffice)</w:t>
            </w:r>
          </w:p>
        </w:tc>
      </w:tr>
      <w:tr>
        <w:tc>
          <w:tcPr>
            <w:tcW w:type="dxa" w:w="2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Back-end de negocio</w:t>
            </w:r>
          </w:p>
        </w:tc>
        <w:tc>
          <w:tcPr>
            <w:tcW w:type="dxa" w:w="6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NetSuite — Suitelets (SuiteScript 2.x)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Serverless (AWS Amplify / Vercel)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3.2 Componentes y flujo de datos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Portal público (Next.js): </w:t>
      </w:r>
      <w:r>
        <w:rPr>
          <w:sz w:val="22"/>
          <w:szCs w:val="22"/>
        </w:rPr>
        <w:t xml:space="preserve">lee la configuración de la empresa desde DynamoDB en el servidor y orquesta el flujo del cliente final en el navegador.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Panel de administración (Backoffice): </w:t>
      </w:r>
      <w:r>
        <w:rPr>
          <w:sz w:val="22"/>
          <w:szCs w:val="22"/>
        </w:rPr>
        <w:t xml:space="preserve">entorno restringido por contraseña que administra los registros de empresas en DynamoDB y sube logos a S3.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Integración con NetSuite: </w:t>
      </w:r>
      <w:r>
        <w:rPr>
          <w:sz w:val="22"/>
          <w:szCs w:val="22"/>
        </w:rPr>
        <w:t xml:space="preserve">el portal invoca directamente los Suitelets de NetSuite mediante peticiones HTTP; un mismo Suitelet resuelve la búsqueda y el timbrado, y un Suitelet de soporte recibe los reportes de error.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Flujo resumido: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Navegador</w:t>
      </w:r>
      <w:r>
        <w:rPr>
          <w:sz w:val="22"/>
          <w:szCs w:val="22"/>
        </w:rPr>
        <w:t xml:space="preserve">  → 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Next.js (config desde DynamoDB)</w:t>
      </w:r>
      <w:r>
        <w:rPr>
          <w:sz w:val="22"/>
          <w:szCs w:val="22"/>
        </w:rPr>
        <w:t xml:space="preserve">  → 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Suitelet NetSuite (búsqueda / timbrado / PAC)</w:t>
      </w:r>
      <w:r>
        <w:rPr>
          <w:sz w:val="22"/>
          <w:szCs w:val="22"/>
        </w:rPr>
        <w:t xml:space="preserve">  → 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XML + PDF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4. Módulo 1 — Portal público (cliente final)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Experiencia guiada de cuatro pasos, diseñada para que el cliente complete su facturación sin asistencia.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4.1 Acceso y control de disponibilidad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Acceso mediante URL con el identificador de empresa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?clientId=empresa</w:t>
      </w:r>
      <w:r>
        <w:rPr>
          <w:sz w:val="22"/>
          <w:szCs w:val="22"/>
        </w:rPr>
        <w:t xml:space="preserve">). Sin identificador válido, el portal muestra "Acceso no válido".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Vigencia por fechas: </w:t>
      </w:r>
      <w:r>
        <w:rPr>
          <w:sz w:val="22"/>
          <w:szCs w:val="22"/>
        </w:rPr>
        <w:t xml:space="preserve">cada portal puede tener fecha de inicio (validFrom) y fin (validTo). El sistema calcula la fecha actual en zona horaria de México y muestra mensajes específicos: "estará disponible a partir de…" o "la vigencia ha expirado".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Activación / desactivación: </w:t>
      </w:r>
      <w:r>
        <w:rPr>
          <w:sz w:val="22"/>
          <w:szCs w:val="22"/>
        </w:rPr>
        <w:t xml:space="preserve">una bandera (isActive) permite apagar temporalmente el portal para mantenimiento o fin de promoción, mostrando "Portal no disponible".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4.2 Paso 1 — Búsqueda del folio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Campo de búsqueda configurable: </w:t>
      </w:r>
      <w:r>
        <w:rPr>
          <w:sz w:val="22"/>
          <w:szCs w:val="22"/>
        </w:rPr>
        <w:t xml:space="preserve">la etiqueta del campo principal se define por empresa (ej. "Ticket a facturar", "Número de Factura").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Campo de monto opcional: </w:t>
      </w:r>
      <w:r>
        <w:rPr>
          <w:sz w:val="22"/>
          <w:szCs w:val="22"/>
        </w:rPr>
        <w:t xml:space="preserve">se puede mostrar u ocultar el campo "Total" como validación adicional.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Modo de búsqueda configurable: </w:t>
      </w:r>
      <w:r>
        <w:rPr>
          <w:sz w:val="22"/>
          <w:szCs w:val="22"/>
        </w:rPr>
        <w:t xml:space="preserve">Factura, Orden de Venta o Ambos (busca factura y, si no existe, la orden de venta).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Campo de folio parametrizable: </w:t>
      </w:r>
      <w:r>
        <w:rPr>
          <w:sz w:val="22"/>
          <w:szCs w:val="22"/>
        </w:rPr>
        <w:t xml:space="preserve">permite buscar por el número de transacción estándar o por un campo personalizado de NetSuite (ej. número de ticket de punto de venta).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4.3 Paso 2 — Confirmación de detalles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Muestra número de folio, cliente, fecha de emisión, fecha de vencimiento, monto total y el desglose de conceptos (descripción, cantidad, precio unitario e importe).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El monto se formatea en pesos mexicanos (formato es-MX).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Si el folio ya fue timbrado previamente, el sistema lo detecta y ofrece directamente los archivos existentes, sin generar una factura duplicada.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4.4 Paso 3 — Captura de datos fiscales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Formulario con validación en tiempo real. Los datos que ya conoce NetSuite se pre-llenan automáticamente. Campos: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300"/>
        <w:gridCol w:w="25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2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43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Requerido</w:t>
            </w:r>
          </w:p>
        </w:tc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RFC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Formato SAT (12–13 caracteres, fecha y homoclave)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convierte a mayúsculas automáticamente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Correo (CFDI)</w:t>
            </w:r>
          </w:p>
        </w:tc>
        <w:tc>
          <w:tcPr>
            <w:tcW w:type="dxa" w:w="43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Formato de email válido</w:t>
            </w:r>
          </w:p>
        </w:tc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Recibe copia del XML/PDF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Teléfono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Opcional (máx. 10 dígitos)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Domicilio Fiscal</w:t>
            </w:r>
          </w:p>
        </w:tc>
        <w:tc>
          <w:tcPr>
            <w:tcW w:type="dxa" w:w="43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Requerido</w:t>
            </w:r>
          </w:p>
        </w:tc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Código Postal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Exactamente 5 dígitos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Régimen Fiscal</w:t>
            </w:r>
          </w:p>
        </w:tc>
        <w:tc>
          <w:tcPr>
            <w:tcW w:type="dxa" w:w="43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Selección obligatoria</w:t>
            </w:r>
          </w:p>
        </w:tc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 SAT (601, 603, 605, 606, 612, 616, 621, 626)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Uso de CFDI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Selección obligatoria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 SAT (S01, G01, G03, I01, I08, P01)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Antes de timbrar, el sistema pide una </w:t>
      </w:r>
      <w:r>
        <w:rPr>
          <w:b/>
          <w:bCs/>
          <w:sz w:val="22"/>
          <w:szCs w:val="22"/>
        </w:rPr>
        <w:t xml:space="preserve">confirmación explícita</w:t>
      </w:r>
      <w:r>
        <w:rPr>
          <w:sz w:val="22"/>
          <w:szCs w:val="22"/>
        </w:rPr>
        <w:t xml:space="preserve"> ("¿Estás seguro de que los datos son correctos?") para reducir errores fiscales.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4.5 Paso 4 — Timbrado y descarga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El portal envía el folio y los datos fiscales al Suitelet de NetSuite, que timbra el CFDI ante el PAC configurado por subsidiaria.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Al completarse, se habilitan los botones de descarga de XML y PDF, y se envía copia por correo al cliente.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4.6 Soporte y manejo de errores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Botón flotante de WhatsApp: </w:t>
      </w:r>
      <w:r>
        <w:rPr>
          <w:sz w:val="22"/>
          <w:szCs w:val="22"/>
        </w:rPr>
        <w:t xml:space="preserve">visible durante todo el flujo (configurable por empresa) para ayuda humana inmediata.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Reporte automático de incidencias: </w:t>
      </w:r>
      <w:r>
        <w:rPr>
          <w:sz w:val="22"/>
          <w:szCs w:val="22"/>
        </w:rPr>
        <w:t xml:space="preserve">ante un error de timbrado, un modal permite enviar el detalle técnico (folio, datos, error, correo del cliente) directamente a soporte mediante un Suitelet dedicado.</w:t>
      </w:r>
    </w:p>
    <w:p>
      <w:r>
        <w:br w:type="page"/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5. Módulo 2 — Panel de administración (Backoffice)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Entorno restringido desde el cual se administran todas las empresas del portal, sin necesidad de programar ni desplegar código.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5.1 Seguridad de acceso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Acceso protegido por contraseña de administrador.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Sesión con cookie httpOnly (segura en producción) con vigencia de 24 horas.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Cierre de sesión automático tras 10 minutos de inactividad.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5.2 Gestión de empresas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Tablero con total de clientes, clientes activos y listado con estado (Activo/Inactivo).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Alta, edición y eliminación de empresas; el identificador (slug) es inmutable una vez creado.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Carga de logo por URL o subiendo el archivo directamente (se almacena en AWS S3).</w:t>
      </w:r>
    </w:p>
    <w:p>
      <w:pPr>
        <w:pStyle w:val="Heading2"/>
        <w:spacing w:after="100" w:before="240"/>
      </w:pPr>
      <w:r>
        <w:rPr>
          <w:b/>
          <w:bCs/>
          <w:color w:val="2E5496"/>
          <w:sz w:val="25"/>
          <w:szCs w:val="25"/>
        </w:rPr>
        <w:t xml:space="preserve">5.3 Propiedades configurables por empresa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Cada empresa (portal) se configura en cuatro secciones: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Parámetros configurables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Información general</w:t>
            </w:r>
          </w:p>
        </w:tc>
        <w:tc>
          <w:tcPr>
            <w:tcW w:type="dxa" w:w="69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ID/Slug, Nombre, Email de soporte, WhatsApp, Portal activo (sí/no), Válido desde, Válido hasta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Integración NetSuite</w:t>
            </w:r>
          </w:p>
        </w:tc>
        <w:tc>
          <w:tcPr>
            <w:tcW w:type="dxa" w:w="6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NetSuite Comp ID, Sender ID (empleado autor del correo), Suitelet URL principal (requerida), Report Suitelet URL, Search ID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Apariencia y branding</w:t>
            </w:r>
          </w:p>
        </w:tc>
        <w:tc>
          <w:tcPr>
            <w:tcW w:type="dxa" w:w="69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Logo (URL o archivo), Altura del logo, y 6 colores: fondo general, fondo de tarjetas, botones, texto primario, texto secundario y texto de botones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Configuración de búsqueda</w:t>
            </w:r>
          </w:p>
        </w:tc>
        <w:tc>
          <w:tcPr>
            <w:tcW w:type="dxa" w:w="6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Modo de búsqueda (Factura / Orden de venta / Ambos), Campo de folio, Etiqueta del campo principal, Mostrar campo de monto (sí/no)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6. Integración con NetSuite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Toda la lógica fiscal y de negocio reside en NetSuite mediante Suitelets (endpoints web de SuiteScript). El portal no almacena transacciones: solo orquesta llamadas.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Búsqueda (acción "search"): </w:t>
      </w:r>
      <w:r>
        <w:rPr>
          <w:sz w:val="22"/>
          <w:szCs w:val="22"/>
        </w:rPr>
        <w:t xml:space="preserve">localiza la factura u orden de venta por el campo configurado y devuelve montos, conceptos y datos fiscales pre-llenados.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Timbrado (acción "timbrar"): </w:t>
      </w:r>
      <w:r>
        <w:rPr>
          <w:sz w:val="22"/>
          <w:szCs w:val="22"/>
        </w:rPr>
        <w:t xml:space="preserve">si el folio es una Orden de Venta, la transforma automáticamente en Factura (evitando duplicados si ya existe una sin timbrar), actualiza los campos fiscales, invoca el PAC y devuelve XML y PDF.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Configuración por subsidiaria: </w:t>
      </w:r>
      <w:r>
        <w:rPr>
          <w:sz w:val="22"/>
          <w:szCs w:val="22"/>
        </w:rPr>
        <w:t xml:space="preserve">el PAC y los datos de timbrado se leen de un registro de configuración por subsidiaria, permitiendo múltiples RFC emisores en una misma cuenta.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Reporte de errores: </w:t>
      </w:r>
      <w:r>
        <w:rPr>
          <w:sz w:val="22"/>
          <w:szCs w:val="22"/>
        </w:rPr>
        <w:t xml:space="preserve">un Suitelet independiente recibe las incidencias reportadas desde el portal para su seguimiento por soporte.</w:t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7. Seguridad y control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Credenciales y configuración sensible fuera del código, en variables de entorno del servidor.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El timbrado valida el estado de la transacción: no se puede timbrar dos veces el mismo folio.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CORS configurado explícitamente en el Suitelet para controlar los orígenes permitidos.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Vigencia y activación por empresa para abrir o cerrar la facturación automáticamente.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Backoffice con contraseña, cookie httpOnly y cierre de sesión por inactividad.</w:t>
      </w:r>
    </w:p>
    <w:p>
      <w:r>
        <w:br w:type="page"/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8. Detalle funcional orientado a Dirección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Resumen de capacidades del portal expresadas en términos de qué hace el sistema y qué valor aporta al negocio.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3700"/>
        <w:gridCol w:w="32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para el negocio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Autofacturación 24/7</w:t>
            </w:r>
          </w:p>
        </w:tc>
        <w:tc>
          <w:tcPr>
            <w:tcW w:type="dxa" w:w="3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cliente genera su propio CFDI en línea, en cualquier momento</w:t>
            </w:r>
          </w:p>
        </w:tc>
        <w:tc>
          <w:tcPr>
            <w:tcW w:type="dxa" w:w="32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Elimina la captura manual y libera al personal administrativo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Integración nativa con NetSuite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Búsqueda y timbrado directamente sobre las transacciones de NetSuite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Cero sistemas paralelos; información siempre consistente y trazable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Conversión automática OV → Factura</w:t>
            </w:r>
          </w:p>
        </w:tc>
        <w:tc>
          <w:tcPr>
            <w:tcW w:type="dxa" w:w="3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Transforma la orden de venta en factura al momento de timbrar</w:t>
            </w:r>
          </w:p>
        </w:tc>
        <w:tc>
          <w:tcPr>
            <w:tcW w:type="dxa" w:w="32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Evita retrabajo y facturas duplicadas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Detección de folios ya timbrados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Reconoce facturas existentes y entrega los archivos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Previene duplicados y reclamaciones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Validación fiscal en el formulario</w:t>
            </w:r>
          </w:p>
        </w:tc>
        <w:tc>
          <w:tcPr>
            <w:tcW w:type="dxa" w:w="3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 RFC, código postal, correo y catálogos SAT antes de timbrar</w:t>
            </w:r>
          </w:p>
        </w:tc>
        <w:tc>
          <w:tcPr>
            <w:tcW w:type="dxa" w:w="32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Menos CFDI cancelados por errores de captura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Personalización por empresa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Logo, colores e identidad visual por cada marca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empresa del grupo conserva su imagen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Plataforma multi-empresa</w:t>
            </w:r>
          </w:p>
        </w:tc>
        <w:tc>
          <w:tcPr>
            <w:tcW w:type="dxa" w:w="3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solo sistema atiende a todas las marcas vía clientId</w:t>
            </w:r>
          </w:p>
        </w:tc>
        <w:tc>
          <w:tcPr>
            <w:tcW w:type="dxa" w:w="32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Escala a nuevas empresas sin desarrollo adicional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Control de vigencia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Abre y cierra la facturación por fechas y por bandera de activo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 total de periodos y promociones sin depender de TI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Envío automático de CFDI</w:t>
            </w:r>
          </w:p>
        </w:tc>
        <w:tc>
          <w:tcPr>
            <w:tcW w:type="dxa" w:w="3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 XML y PDF por correo al cliente al timbrar</w:t>
            </w:r>
          </w:p>
        </w:tc>
        <w:tc>
          <w:tcPr>
            <w:tcW w:type="dxa" w:w="32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Mejor experiencia y menos solicitudes de reenvío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Soporte integrado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Botón de WhatsApp y reporte automático de incidencias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cliente nunca queda varado; soporte con contexto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Backoffice de administración</w:t>
            </w:r>
          </w:p>
        </w:tc>
        <w:tc>
          <w:tcPr>
            <w:tcW w:type="dxa" w:w="37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 y configuración de empresas por interfaz web</w:t>
            </w:r>
          </w:p>
        </w:tc>
        <w:tc>
          <w:tcPr>
            <w:tcW w:type="dxa" w:w="3200"/>
            <w:shd w:fill="F2F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Autonomía operativa; puesta en marcha en minutos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Multi-subsidiaria / RFC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Timbra con el PAC y RFC de cada subsidiaria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Soporta grupos con varias razones sociales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9. Requerimientos técnicos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Cuenta de NetSuite con los Suitelets de portal y el motor de timbrado (PAC) configurados por subsidiaria.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Infraestructura AWS: DynamoDB (configuración de empresas) y S3 (logos).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Variables de entorno del servidor: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PORTAL_REGION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PORTAL_TABLE_NAME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PORTAL_ACCESS_KEY_ID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PORTAL_SECRET_ACCESS_KEY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ADMIN_PASSWORD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PORTAL_S3_BUCKET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Plataforma de despliegue serverless (AWS Amplify o Vercel).</w:t>
      </w:r>
    </w:p>
    <w:p>
      <w:pPr>
        <w:pStyle w:val="Heading1"/>
        <w:pBdr>
          <w:bottom w:val="single" w:color="D9E1F2" w:sz="8"/>
        </w:pBdr>
        <w:spacing w:after="160" w:before="340"/>
      </w:pPr>
      <w:r>
        <w:rPr>
          <w:b/>
          <w:bCs/>
          <w:color w:val="1F3864"/>
          <w:sz w:val="30"/>
          <w:szCs w:val="30"/>
        </w:rPr>
        <w:t xml:space="preserve">10. Glosario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CFDI: </w:t>
      </w:r>
      <w:r>
        <w:rPr>
          <w:sz w:val="22"/>
          <w:szCs w:val="22"/>
        </w:rPr>
        <w:t xml:space="preserve">Comprobante Fiscal Digital por Internet (factura electrónica en México).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PAC: </w:t>
      </w:r>
      <w:r>
        <w:rPr>
          <w:sz w:val="22"/>
          <w:szCs w:val="22"/>
        </w:rPr>
        <w:t xml:space="preserve">Proveedor Autorizado de Certificación — quien timbra el CFDI ante el SAT.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Suitelet: </w:t>
      </w:r>
      <w:r>
        <w:rPr>
          <w:sz w:val="22"/>
          <w:szCs w:val="22"/>
        </w:rPr>
        <w:t xml:space="preserve">Script de NetSuite que expone un endpoint web; funciona como API del portal.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Uso de CFDI / Régimen Fiscal: </w:t>
      </w:r>
      <w:r>
        <w:rPr>
          <w:sz w:val="22"/>
          <w:szCs w:val="22"/>
        </w:rPr>
        <w:t xml:space="preserve">catálogos del SAT que clasifican el motivo y la figura fiscal.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Multi-tenant: </w:t>
      </w:r>
      <w:r>
        <w:rPr>
          <w:sz w:val="22"/>
          <w:szCs w:val="22"/>
        </w:rPr>
        <w:t xml:space="preserve">un solo despliegue que atiende a varias empresas de forma aislada.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Timbrar: </w:t>
      </w:r>
      <w:r>
        <w:rPr>
          <w:sz w:val="22"/>
          <w:szCs w:val="22"/>
        </w:rPr>
        <w:t xml:space="preserve">sellar fiscalmente un CFDI ante el SAT a través del PAC.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de Autofacturación — Especificación Técnica</dc:title>
  <dc:creator>IMR Software</dc:creator>
  <dc:description>Descripción técnica y funcional del Portal de Autofacturación</dc:description>
  <cp:lastModifiedBy>Un-named</cp:lastModifiedBy>
  <cp:revision>1</cp:revision>
  <dcterms:created xsi:type="dcterms:W3CDTF">2026-07-29T18:37:52.271Z</dcterms:created>
  <dcterms:modified xsi:type="dcterms:W3CDTF">2026-07-29T18:37:52.276Z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