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A365C"/>
          <w:sz w:val="44"/>
        </w:rPr>
        <w:t>IBRAHEEM MUSTAFA</w:t>
      </w:r>
    </w:p>
    <w:p>
      <w:pPr>
        <w:spacing w:after="80"/>
        <w:jc w:val="center"/>
      </w:pPr>
      <w:r>
        <w:rPr>
          <w:b/>
          <w:color w:val="2C5282"/>
          <w:sz w:val="24"/>
        </w:rPr>
        <w:t>Information Security Engineer – GRC</w:t>
      </w:r>
    </w:p>
    <w:p>
      <w:pPr>
        <w:spacing w:after="120"/>
        <w:jc w:val="center"/>
      </w:pPr>
      <w:r>
        <w:rPr>
          <w:color w:val="444444"/>
          <w:sz w:val="18"/>
        </w:rPr>
        <w:t>ibraheem.mustafa00@gmail.com  |  +92-3018442580  |  Lahore, Pakistan  |  LinkedIn: Ibraheem Mustafa</w:t>
      </w:r>
    </w:p>
    <w:p>
      <w:pPr>
        <w:spacing w:before="40" w:after="40"/>
        <w:pBdr>
          <w:bottom w:val="single" w:sz="6" w:space="1" w:color="2C5282"/>
        </w:pBdr>
      </w:pPr>
    </w:p>
    <w:p>
      <w:pPr>
        <w:spacing w:before="200" w:after="40"/>
      </w:pPr>
      <w:r>
        <w:rPr>
          <w:b/>
          <w:color w:val="2C5282"/>
          <w:sz w:val="22"/>
        </w:rPr>
        <w:t>PROFESSIONAL SUMMARY</w:t>
      </w:r>
    </w:p>
    <w:p>
      <w:pPr>
        <w:spacing w:before="40" w:after="40"/>
        <w:pBdr>
          <w:bottom w:val="single" w:sz="6" w:space="1" w:color="2C5282"/>
        </w:pBdr>
      </w:pPr>
    </w:p>
    <w:p>
      <w:pPr>
        <w:spacing w:after="80"/>
      </w:pPr>
      <w:r>
        <w:t>GRC-focused Information Security Engineer with 2+ years of experience delivering ISO 27001:2022 audit engagements, ISMS implementations, and compliance assessments across local and international organizations. Conducted end-to-end internal and external audits for 5 organizations including Kualitatem, Virtual Force, and international clients, driving ISMS certification and compliance outcomes. Certified ISO 27001:2022 Lead Auditor (CQI|IRCA &amp; Mastermind Assurance) with hands-on expertise in SAMA CSF, SOC 2, GDPR, Vanta, and Sahl.</w:t>
      </w:r>
    </w:p>
    <w:p>
      <w:pPr>
        <w:spacing w:before="200" w:after="40"/>
      </w:pPr>
      <w:r>
        <w:rPr>
          <w:b/>
          <w:color w:val="2C5282"/>
          <w:sz w:val="22"/>
        </w:rPr>
        <w:t>CORE SKILLS</w:t>
      </w:r>
    </w:p>
    <w:p>
      <w:pPr>
        <w:spacing w:before="40" w:after="40"/>
        <w:pBdr>
          <w:bottom w:val="single" w:sz="6" w:space="1" w:color="2C5282"/>
        </w:pBdr>
      </w:pPr>
    </w:p>
    <w:p>
      <w:pPr>
        <w:spacing w:after="80"/>
      </w:pPr>
      <w:r>
        <w:t>ISO 27001:2022  |  Internal Audit  |  External Audit  |  ISMS Implementation  |  SAMA CSF  |  SOC 2  |  GDPR  |  Risk Assessment  |  Risk Treatment Plan  |  Gap Analysis  |  Statement of Applicability (SoA)  |  Non-Conformity Reporting  |  Audit Planning &amp; Execution  |  Compliance Reporting  |  Vanta  |  Sahl  |  Top Management Presentations</w:t>
      </w:r>
    </w:p>
    <w:p>
      <w:pPr>
        <w:spacing w:before="200" w:after="40"/>
      </w:pPr>
      <w:r>
        <w:rPr>
          <w:b/>
          <w:color w:val="2C5282"/>
          <w:sz w:val="22"/>
        </w:rPr>
        <w:t>WORK EXPERIENCE</w:t>
      </w:r>
    </w:p>
    <w:p>
      <w:pPr>
        <w:spacing w:before="40" w:after="40"/>
        <w:pBdr>
          <w:bottom w:val="single" w:sz="6" w:space="1" w:color="2C5282"/>
        </w:pBdr>
      </w:pPr>
    </w:p>
    <w:p>
      <w:pPr>
        <w:spacing w:before="120" w:after="0"/>
      </w:pPr>
      <w:r>
        <w:rPr>
          <w:b/>
          <w:sz w:val="22"/>
        </w:rPr>
        <w:t>Kualitatem Inc.</w:t>
      </w:r>
    </w:p>
    <w:p>
      <w:pPr>
        <w:spacing w:before="0" w:after="0"/>
      </w:pPr>
      <w:r>
        <w:rPr>
          <w:b/>
          <w:sz w:val="20"/>
        </w:rPr>
        <w:t>Information Security Engineer – Information Security Department</w:t>
      </w:r>
    </w:p>
    <w:p>
      <w:pPr>
        <w:spacing w:before="0" w:after="80"/>
      </w:pPr>
      <w:r>
        <w:rPr>
          <w:i/>
          <w:color w:val="666666"/>
          <w:sz w:val="18"/>
        </w:rPr>
        <w:t>December 2023 – Present  |  Lahore, Pakistan</w:t>
      </w:r>
    </w:p>
    <w:p>
      <w:pPr>
        <w:pStyle w:val="ListBullet"/>
        <w:spacing w:after="60"/>
        <w:ind w:left="360"/>
      </w:pPr>
      <w:r>
        <w:rPr>
          <w:sz w:val="20"/>
        </w:rPr>
        <w:t>Strengthened Kualitatem's ISO 27001:2022 compliance posture, as measured by a successful external certification audit with zero major non-conformities, by leading end-to-end internal audit activities covering planning, evidence collection, controls assessment, and non-conformity reporting to top management.</w:t>
      </w:r>
    </w:p>
    <w:p>
      <w:pPr>
        <w:pStyle w:val="ListBullet"/>
        <w:spacing w:after="60"/>
        <w:ind w:left="360"/>
      </w:pPr>
      <w:r>
        <w:rPr>
          <w:sz w:val="20"/>
        </w:rPr>
        <w:t>Maintained ISO 27001:2022 certification for Virtual Force, as measured by a passed surveillance audit, by executing a full audit lifecycle including scope review, controls re-evaluation, and verification of previously identified non-conformity closures.</w:t>
      </w:r>
    </w:p>
    <w:p>
      <w:pPr>
        <w:pStyle w:val="ListBullet"/>
        <w:spacing w:after="60"/>
        <w:ind w:left="360"/>
      </w:pPr>
      <w:r>
        <w:rPr>
          <w:sz w:val="20"/>
        </w:rPr>
        <w:t>Achieved ISO 27001:2022 certification readiness for 3 clients (2 local, 1 international), as measured by successful audit outcomes across all engagements, by delivering structured end-to-end internal and external audit programs, identifying control gaps, and presenting prioritized findings to client management.</w:t>
      </w:r>
    </w:p>
    <w:p>
      <w:pPr>
        <w:pStyle w:val="ListBullet"/>
        <w:spacing w:after="60"/>
        <w:ind w:left="360"/>
      </w:pPr>
      <w:r>
        <w:rPr>
          <w:sz w:val="20"/>
        </w:rPr>
        <w:t>Achieved ISO 27001:2022 certification for a client from ground zero, as measured by full certification attainment, by leading end-to-end ISMS implementation including risk assessment, SoA development, control design, and pre-certification audit preparation.</w:t>
      </w:r>
    </w:p>
    <w:p>
      <w:pPr>
        <w:pStyle w:val="ListBullet"/>
        <w:spacing w:after="60"/>
        <w:ind w:left="360"/>
      </w:pPr>
      <w:r>
        <w:rPr>
          <w:sz w:val="20"/>
        </w:rPr>
        <w:t>Renewed SOC 2 certification for Kualitatem, as measured by continued compliance with all Trust Service Criteria, by coordinating cross-functional evidence collection via Vanta, liaising with external auditors, and remediating identified control gaps ahead of assessment.</w:t>
      </w:r>
    </w:p>
    <w:p>
      <w:pPr>
        <w:pStyle w:val="ListBullet"/>
        <w:spacing w:after="60"/>
        <w:ind w:left="360"/>
      </w:pPr>
      <w:r>
        <w:rPr>
          <w:sz w:val="20"/>
        </w:rPr>
        <w:t>Enhanced client compliance posture against SAMA CSF, as measured by detailed gap assessment reports delivered to senior management, by conducting structured stakeholder interviews, analyzing control deficiencies via Sahl, and producing prioritized remediation roadmaps.</w:t>
      </w:r>
    </w:p>
    <w:p>
      <w:pPr>
        <w:pStyle w:val="ListBullet"/>
        <w:spacing w:after="60"/>
        <w:ind w:left="360"/>
      </w:pPr>
      <w:r>
        <w:rPr>
          <w:sz w:val="20"/>
        </w:rPr>
        <w:t>Supported organization-wide GDPR compliance program, as measured by documented data processing assessments, by collaborating with the Internal Audit team to review data handling practices and implement corrective control measures.</w:t>
      </w:r>
    </w:p>
    <w:p>
      <w:pPr>
        <w:spacing w:before="200" w:after="40"/>
      </w:pPr>
      <w:r>
        <w:rPr>
          <w:b/>
          <w:color w:val="2C5282"/>
          <w:sz w:val="22"/>
        </w:rPr>
        <w:t>EDUCATION</w:t>
      </w:r>
    </w:p>
    <w:p>
      <w:pPr>
        <w:spacing w:before="40" w:after="40"/>
        <w:pBdr>
          <w:bottom w:val="single" w:sz="6" w:space="1" w:color="2C5282"/>
        </w:pBdr>
      </w:pPr>
    </w:p>
    <w:p>
      <w:pPr>
        <w:spacing w:before="80" w:after="0"/>
      </w:pPr>
      <w:r>
        <w:rPr>
          <w:b/>
        </w:rPr>
        <w:t>Masters in Cyber Security – CGPA 3.57</w:t>
      </w:r>
    </w:p>
    <w:p>
      <w:pPr>
        <w:spacing w:before="0" w:after="40"/>
      </w:pPr>
      <w:r>
        <w:rPr>
          <w:i/>
          <w:color w:val="555555"/>
          <w:sz w:val="18"/>
        </w:rPr>
        <w:t>Bahcesehir University, Turkiye  |  2023</w:t>
      </w:r>
    </w:p>
    <w:p>
      <w:pPr>
        <w:spacing w:before="80" w:after="0"/>
      </w:pPr>
      <w:r>
        <w:rPr>
          <w:b/>
        </w:rPr>
        <w:t>Bachelors in Computer Science – CGPA 3.40</w:t>
      </w:r>
    </w:p>
    <w:p>
      <w:pPr>
        <w:spacing w:before="0" w:after="40"/>
      </w:pPr>
      <w:r>
        <w:rPr>
          <w:i/>
          <w:color w:val="555555"/>
          <w:sz w:val="18"/>
        </w:rPr>
        <w:t>Bahauddin Zakariya University, Pakistan  |  2018</w:t>
      </w:r>
    </w:p>
    <w:p>
      <w:pPr>
        <w:spacing w:before="200" w:after="40"/>
      </w:pPr>
      <w:r>
        <w:rPr>
          <w:b/>
          <w:color w:val="2C5282"/>
          <w:sz w:val="22"/>
        </w:rPr>
        <w:t>CERTIFICATIONS</w:t>
      </w:r>
    </w:p>
    <w:p>
      <w:pPr>
        <w:spacing w:before="40" w:after="40"/>
        <w:pBdr>
          <w:bottom w:val="single" w:sz="6" w:space="1" w:color="2C5282"/>
        </w:pBdr>
      </w:pPr>
    </w:p>
    <w:tbl>
      <w:tblPr>
        <w:tblStyle w:val="TableGrid"/>
        <w:tblW w:type="auto" w:w="0"/>
        <w:tblLook w:firstColumn="1" w:firstRow="1" w:lastColumn="0" w:lastRow="0" w:noHBand="0" w:noVBand="1" w:val="04A0"/>
      </w:tblPr>
      <w:tblGrid>
        <w:gridCol w:w="4986"/>
        <w:gridCol w:w="4986"/>
      </w:tblGrid>
      <w:tr>
        <w:tc>
          <w:tcPr>
            <w:tcW w:type="dxa" w:w="4986"/>
            <w:shd w:val="clear" w:color="auto" w:fill="2C5282"/>
          </w:tcPr>
          <w:p>
            <w:r>
              <w:rPr>
                <w:b/>
                <w:color w:val="FFFFFF"/>
                <w:sz w:val="20"/>
              </w:rPr>
              <w:t>Certification</w:t>
            </w:r>
          </w:p>
        </w:tc>
        <w:tc>
          <w:tcPr>
            <w:tcW w:type="dxa" w:w="4986"/>
            <w:shd w:val="clear" w:color="auto" w:fill="2C5282"/>
          </w:tcPr>
          <w:p>
            <w:r>
              <w:rPr>
                <w:b/>
                <w:color w:val="FFFFFF"/>
                <w:sz w:val="20"/>
              </w:rPr>
              <w:t>Issuing Body</w:t>
            </w:r>
          </w:p>
        </w:tc>
      </w:tr>
      <w:tr>
        <w:tc>
          <w:tcPr>
            <w:tcW w:type="dxa" w:w="4986"/>
          </w:tcPr>
          <w:p>
            <w:r>
              <w:rPr>
                <w:sz w:val="20"/>
              </w:rPr>
              <w:t>ISO 27001:2022 Lead Auditor</w:t>
            </w:r>
          </w:p>
        </w:tc>
        <w:tc>
          <w:tcPr>
            <w:tcW w:type="dxa" w:w="4986"/>
          </w:tcPr>
          <w:p>
            <w:r>
              <w:rPr>
                <w:sz w:val="20"/>
              </w:rPr>
              <w:t>CQI|IRCA</w:t>
            </w:r>
          </w:p>
        </w:tc>
      </w:tr>
      <w:tr>
        <w:tc>
          <w:tcPr>
            <w:tcW w:type="dxa" w:w="4986"/>
          </w:tcPr>
          <w:p>
            <w:r>
              <w:rPr>
                <w:sz w:val="20"/>
              </w:rPr>
              <w:t>ISO/IEC 27001:2022 Lead Auditor</w:t>
            </w:r>
          </w:p>
        </w:tc>
        <w:tc>
          <w:tcPr>
            <w:tcW w:type="dxa" w:w="4986"/>
          </w:tcPr>
          <w:p>
            <w:r>
              <w:rPr>
                <w:sz w:val="20"/>
              </w:rPr>
              <w:t>Mastermind Assurance</w:t>
            </w:r>
          </w:p>
        </w:tc>
      </w:tr>
      <w:tr>
        <w:tc>
          <w:tcPr>
            <w:tcW w:type="dxa" w:w="4986"/>
          </w:tcPr>
          <w:p>
            <w:r>
              <w:rPr>
                <w:sz w:val="20"/>
              </w:rPr>
              <w:t>ISO 27001:2022 INFOSEC Associate</w:t>
            </w:r>
          </w:p>
        </w:tc>
        <w:tc>
          <w:tcPr>
            <w:tcW w:type="dxa" w:w="4986"/>
          </w:tcPr>
          <w:p>
            <w:r>
              <w:rPr>
                <w:sz w:val="20"/>
              </w:rPr>
              <w:t>SkillFront</w:t>
            </w:r>
          </w:p>
        </w:tc>
      </w:tr>
      <w:tr>
        <w:tc>
          <w:tcPr>
            <w:tcW w:type="dxa" w:w="4986"/>
          </w:tcPr>
          <w:p>
            <w:r>
              <w:rPr>
                <w:sz w:val="20"/>
              </w:rPr>
              <w:t>eJPT – Junior Penetration Tester</w:t>
            </w:r>
          </w:p>
        </w:tc>
        <w:tc>
          <w:tcPr>
            <w:tcW w:type="dxa" w:w="4986"/>
          </w:tcPr>
          <w:p>
            <w:r>
              <w:rPr>
                <w:sz w:val="20"/>
              </w:rPr>
              <w:t>INE eLearnSecurity</w:t>
            </w:r>
          </w:p>
        </w:tc>
      </w:tr>
    </w:tbl>
    <w:p/>
    <w:p>
      <w:pPr>
        <w:spacing w:before="200" w:after="40"/>
      </w:pPr>
      <w:r>
        <w:rPr>
          <w:b/>
          <w:color w:val="2C5282"/>
          <w:sz w:val="22"/>
        </w:rPr>
        <w:t>LANGUAGES</w:t>
      </w:r>
    </w:p>
    <w:p>
      <w:pPr>
        <w:spacing w:before="40" w:after="40"/>
        <w:pBdr>
          <w:bottom w:val="single" w:sz="6" w:space="1" w:color="2C5282"/>
        </w:pBdr>
      </w:pPr>
    </w:p>
    <w:p>
      <w:pPr>
        <w:spacing w:after="40"/>
      </w:pPr>
      <w:r>
        <w:rPr>
          <w:b/>
        </w:rPr>
        <w:t xml:space="preserve">English: </w:t>
      </w:r>
      <w:r>
        <w:t>Full Professional Proficiency</w:t>
      </w:r>
    </w:p>
    <w:p>
      <w:pPr>
        <w:spacing w:after="40"/>
      </w:pPr>
      <w:r>
        <w:rPr>
          <w:b/>
        </w:rPr>
        <w:t xml:space="preserve">Urdu: </w:t>
      </w:r>
      <w:r>
        <w:t>Native / Bilingual Proficiency</w:t>
      </w:r>
    </w:p>
    <w:p>
      <w:pPr>
        <w:spacing w:after="40"/>
      </w:pPr>
      <w:r>
        <w:rPr>
          <w:b/>
        </w:rPr>
        <w:t xml:space="preserve">Turkish: </w:t>
      </w:r>
      <w:r>
        <w:t>Elementary Proficiency</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