
<file path=[Content_Types].xml><?xml version="1.0" encoding="utf-8"?>
<Types xmlns="http://schemas.openxmlformats.org/package/2006/content-types">
  <Override PartName="/_rels/.rels" ContentType="application/vnd.openxmlformats-package.relationships+xml"/>
  <Override PartName="/word/fontTable.xml" ContentType="application/vnd.openxmlformats-officedocument.wordprocessingml.fontTable+xml"/>
  <Override PartName="/word/theme/theme1.xml" ContentType="application/vnd.openxmlformats-officedocument.theme+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media/image8.png" ContentType="image/png"/>
  <Override PartName="/word/media/image7.wmf" ContentType="image/x-wmf"/>
  <Override PartName="/word/media/image6.wmf" ContentType="image/x-wmf"/>
  <Override PartName="/word/media/image1.png" ContentType="image/png"/>
  <Override PartName="/word/media/image2.png" ContentType="image/png"/>
  <Override PartName="/word/media/image3.wmf" ContentType="image/x-wmf"/>
  <Override PartName="/word/media/image5.wmf" ContentType="image/x-wmf"/>
  <Override PartName="/word/media/image4.png" ContentType="image/png"/>
  <Override PartName="/word/document.xml" ContentType="application/vnd.openxmlformats-officedocument.wordprocessingml.document.main+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b/>
          <w:b/>
        </w:rPr>
      </w:pPr>
      <w:r>
        <w:rPr>
          <w:b/>
        </w:rPr>
        <w:t>ADDITION OF A NEW PROVIDER TO BE CONSIDERED BY CP-GENERATOR-MODEL-TO-SOLVER</w:t>
      </w:r>
    </w:p>
    <w:p>
      <w:pPr>
        <w:pStyle w:val="Normal"/>
        <w:rPr>
          <w:b/>
          <w:b/>
        </w:rPr>
      </w:pPr>
      <w:r>
        <w:rPr>
          <w:b/>
        </w:rPr>
      </w:r>
    </w:p>
    <w:p>
      <w:pPr>
        <w:pStyle w:val="Normal"/>
        <w:jc w:val="both"/>
        <w:rPr/>
      </w:pPr>
      <w:r>
        <w:rPr/>
        <w:t xml:space="preserve">The objective of this document is to present the elements that need to be added in order to incorporate a new provider model regarding the CP-Generator-Model-to-Solver component. Please notice that adding a new provider at the Upperware does not mean that the Executionware will support this provider.  </w:t>
      </w:r>
    </w:p>
    <w:p>
      <w:pPr>
        <w:pStyle w:val="Normal"/>
        <w:rPr>
          <w:b/>
          <w:b/>
        </w:rPr>
      </w:pPr>
      <w:r>
        <w:rPr>
          <w:b/>
        </w:rPr>
      </w:r>
    </w:p>
    <w:p>
      <w:pPr>
        <w:pStyle w:val="Normal"/>
        <w:rPr>
          <w:b/>
          <w:b/>
        </w:rPr>
      </w:pPr>
      <w:r>
        <w:rPr>
          <w:b/>
        </w:rPr>
        <w:t>1. Models to ADD</w:t>
      </w:r>
    </w:p>
    <w:p>
      <w:pPr>
        <w:pStyle w:val="Normal"/>
        <w:rPr>
          <w:b/>
          <w:b/>
        </w:rPr>
      </w:pPr>
      <w:r>
        <w:rPr>
          <w:b/>
        </w:rPr>
      </w:r>
    </w:p>
    <w:p>
      <w:pPr>
        <w:pStyle w:val="Normal"/>
        <w:rPr>
          <w:u w:val="single"/>
        </w:rPr>
      </w:pPr>
      <w:r>
        <w:rPr>
          <w:u w:val="single"/>
        </w:rPr>
        <w:t xml:space="preserve">1.1 Provider Model </w:t>
      </w:r>
    </w:p>
    <w:p>
      <w:pPr>
        <w:pStyle w:val="Normal"/>
        <w:rPr/>
      </w:pPr>
      <w:r>
        <w:rPr/>
      </w:r>
    </w:p>
    <w:p>
      <w:pPr>
        <w:pStyle w:val="Normal"/>
        <w:jc w:val="both"/>
        <w:rPr/>
      </w:pPr>
      <w:r>
        <w:rPr/>
        <w:t xml:space="preserve">Each provider model is contained in a CAMEL model. Therefore in order to add a new provider, it is required to define a CAMEL Model containing the related Provider and Type models. Figure 1 provides an overview of such a CAMEL model. </w:t>
      </w:r>
    </w:p>
    <w:p>
      <w:pPr>
        <w:pStyle w:val="Normal"/>
        <w:rPr/>
      </w:pPr>
      <w:r>
        <w:rPr/>
        <w:drawing>
          <wp:anchor behindDoc="0" distT="0" distB="8255" distL="114300" distR="114300" simplePos="0" locked="0" layoutInCell="1" allowOverlap="1" relativeHeight="2">
            <wp:simplePos x="0" y="0"/>
            <wp:positionH relativeFrom="margin">
              <wp:posOffset>800100</wp:posOffset>
            </wp:positionH>
            <wp:positionV relativeFrom="margin">
              <wp:posOffset>2971800</wp:posOffset>
            </wp:positionV>
            <wp:extent cx="3556000" cy="1083945"/>
            <wp:effectExtent l="0" t="0" r="0" b="0"/>
            <wp:wrapSquare wrapText="bothSides"/>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3556000" cy="1083945"/>
                    </a:xfrm>
                    <a:prstGeom prst="rect">
                      <a:avLst/>
                    </a:prstGeom>
                  </pic:spPr>
                </pic:pic>
              </a:graphicData>
            </a:graphic>
          </wp:anchor>
        </w:drawing>
      </w:r>
    </w:p>
    <w:p>
      <w:pPr>
        <w:pStyle w:val="Normal"/>
        <w:rPr/>
      </w:pPr>
      <w:r>
        <w:rPr/>
      </w:r>
    </w:p>
    <w:p>
      <w:pPr>
        <w:pStyle w:val="Normal"/>
        <w:rPr/>
      </w:pPr>
      <w:r>
        <w:rPr/>
        <w:t xml:space="preserve">   </w:t>
      </w:r>
    </w:p>
    <w:p>
      <w:pPr>
        <w:pStyle w:val="Normal"/>
        <w:rPr/>
      </w:pPr>
      <w:r>
        <w:rPr/>
      </w:r>
    </w:p>
    <w:p>
      <w:pPr>
        <w:pStyle w:val="Normal"/>
        <w:rPr/>
      </w:pPr>
      <w:r>
        <w:rPr/>
      </w:r>
    </w:p>
    <w:p>
      <w:pPr>
        <w:pStyle w:val="Normal"/>
        <w:rPr/>
      </w:pPr>
      <w:r>
        <w:rPr/>
      </w:r>
    </w:p>
    <w:p>
      <w:pPr>
        <w:pStyle w:val="Normal"/>
        <w:rPr/>
      </w:pPr>
      <w:r>
        <w:rPr/>
      </w:r>
    </w:p>
    <w:p>
      <w:pPr>
        <w:pStyle w:val="Normal"/>
        <w:jc w:val="center"/>
        <w:rPr/>
      </w:pPr>
      <w:r>
        <w:rPr>
          <w:b/>
        </w:rPr>
        <w:t>Figure 1.</w:t>
      </w:r>
      <w:r>
        <w:rPr/>
        <w:t xml:space="preserve"> </w:t>
      </w:r>
      <w:r>
        <w:rPr>
          <w:i/>
        </w:rPr>
        <w:t>Overview of the CAMEL model containing the Flexiant Provider Model</w:t>
      </w:r>
    </w:p>
    <w:p>
      <w:pPr>
        <w:pStyle w:val="Normal"/>
        <w:rPr/>
      </w:pPr>
      <w:r>
        <w:rPr/>
      </w:r>
    </w:p>
    <w:p>
      <w:pPr>
        <w:pStyle w:val="Normal"/>
        <w:jc w:val="both"/>
        <w:rPr/>
      </w:pPr>
      <w:r>
        <w:rPr/>
        <w:t xml:space="preserve">In order to be correctly processed by the CP-Generator-Model-to-Solver, the following conventions have to be respected: </w:t>
      </w:r>
    </w:p>
    <w:p>
      <w:pPr>
        <w:pStyle w:val="Normal"/>
        <w:jc w:val="both"/>
        <w:rPr/>
      </w:pPr>
      <w:r>
        <w:rPr/>
      </w:r>
    </w:p>
    <w:p>
      <w:pPr>
        <w:pStyle w:val="ListParagraph"/>
        <w:numPr>
          <w:ilvl w:val="0"/>
          <w:numId w:val="2"/>
        </w:numPr>
        <w:jc w:val="both"/>
        <w:rPr/>
      </w:pPr>
      <w:r>
        <w:rPr/>
        <w:t xml:space="preserve">The </w:t>
      </w:r>
      <w:r>
        <w:rPr>
          <w:i/>
        </w:rPr>
        <w:t>root feature</w:t>
      </w:r>
      <w:r>
        <w:rPr/>
        <w:t xml:space="preserve"> has the same name as the type defined by the ProviderTypes.xmi model (cf. Section 2.2).</w:t>
      </w:r>
    </w:p>
    <w:p>
      <w:pPr>
        <w:pStyle w:val="ListParagraph"/>
        <w:numPr>
          <w:ilvl w:val="0"/>
          <w:numId w:val="2"/>
        </w:numPr>
        <w:jc w:val="both"/>
        <w:rPr/>
      </w:pPr>
      <w:r>
        <w:rPr/>
        <w:t xml:space="preserve">A feature “VM” is required. The cardinality of this feature has to be defined according to the number of virtual machine instances that clients can create. </w:t>
      </w:r>
    </w:p>
    <w:p>
      <w:pPr>
        <w:pStyle w:val="ListParagraph"/>
        <w:numPr>
          <w:ilvl w:val="0"/>
          <w:numId w:val="2"/>
        </w:numPr>
        <w:jc w:val="both"/>
        <w:rPr/>
      </w:pPr>
      <w:r>
        <w:rPr/>
        <w:t xml:space="preserve">The “VM” feature has an attribute “VMType”. </w:t>
      </w:r>
    </w:p>
    <w:p>
      <w:pPr>
        <w:pStyle w:val="ListParagraph"/>
        <w:numPr>
          <w:ilvl w:val="0"/>
          <w:numId w:val="2"/>
        </w:numPr>
        <w:jc w:val="both"/>
        <w:rPr/>
      </w:pPr>
      <w:r>
        <w:rPr/>
        <w:t>As CAMEL expresses requirements in terms of memory, storage, CPU, cores and operating system, the provider model has to define also attributes related to these elements (cf. Figure 2).</w:t>
      </w:r>
    </w:p>
    <w:p>
      <w:pPr>
        <w:pStyle w:val="ListParagraph"/>
        <w:numPr>
          <w:ilvl w:val="0"/>
          <w:numId w:val="2"/>
        </w:numPr>
        <w:jc w:val="both"/>
        <w:rPr/>
      </w:pPr>
      <w:r>
        <w:rPr/>
        <w:t xml:space="preserve">Domains for memory, storage, CPU and cores attributes can be defined via a list of values or ranges. However, the use of lists is encouraged in order to avoid overheads in the solver used by CP-Generator-Solver-to-Deployment.   </w:t>
      </w:r>
    </w:p>
    <w:p>
      <w:pPr>
        <w:pStyle w:val="ListParagraph"/>
        <w:jc w:val="both"/>
        <w:rPr/>
      </w:pPr>
      <w:r>
        <w:rPr/>
        <w:t xml:space="preserve">  </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center"/>
        <w:rPr>
          <w:b/>
          <w:b/>
        </w:rPr>
      </w:pPr>
      <w:r>
        <w:rPr>
          <w:b/>
        </w:rPr>
      </w:r>
    </w:p>
    <w:p>
      <w:pPr>
        <w:pStyle w:val="Normal"/>
        <w:jc w:val="center"/>
        <w:rPr>
          <w:b/>
          <w:b/>
        </w:rPr>
      </w:pPr>
      <w:r>
        <w:rPr>
          <w:b/>
        </w:rPr>
        <w:drawing>
          <wp:anchor behindDoc="0" distT="0" distB="8255" distL="114300" distR="122555" simplePos="0" locked="0" layoutInCell="1" allowOverlap="1" relativeHeight="3">
            <wp:simplePos x="0" y="0"/>
            <wp:positionH relativeFrom="column">
              <wp:posOffset>1485900</wp:posOffset>
            </wp:positionH>
            <wp:positionV relativeFrom="paragraph">
              <wp:posOffset>-114300</wp:posOffset>
            </wp:positionV>
            <wp:extent cx="2252345" cy="1795145"/>
            <wp:effectExtent l="0" t="0" r="0" b="0"/>
            <wp:wrapSquare wrapText="bothSides"/>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3"/>
                    <a:stretch>
                      <a:fillRect/>
                    </a:stretch>
                  </pic:blipFill>
                  <pic:spPr bwMode="auto">
                    <a:xfrm>
                      <a:off x="0" y="0"/>
                      <a:ext cx="2252345" cy="1795145"/>
                    </a:xfrm>
                    <a:prstGeom prst="rect">
                      <a:avLst/>
                    </a:prstGeom>
                  </pic:spPr>
                </pic:pic>
              </a:graphicData>
            </a:graphic>
          </wp:anchor>
        </w:drawing>
      </w:r>
    </w:p>
    <w:p>
      <w:pPr>
        <w:pStyle w:val="Normal"/>
        <w:jc w:val="center"/>
        <w:rPr>
          <w:b/>
          <w:b/>
        </w:rPr>
      </w:pPr>
      <w:r>
        <w:rPr>
          <w:b/>
        </w:rPr>
      </w:r>
    </w:p>
    <w:p>
      <w:pPr>
        <w:pStyle w:val="Normal"/>
        <w:jc w:val="center"/>
        <w:rPr>
          <w:b/>
          <w:b/>
        </w:rPr>
      </w:pPr>
      <w:r>
        <w:rPr>
          <w:b/>
        </w:rPr>
      </w:r>
    </w:p>
    <w:p>
      <w:pPr>
        <w:pStyle w:val="Normal"/>
        <w:jc w:val="both"/>
        <w:rPr/>
      </w:pPr>
      <w:r>
        <w:rPr/>
      </w:r>
    </w:p>
    <w:p>
      <w:pPr>
        <w:pStyle w:val="ListParagraph"/>
        <w:jc w:val="both"/>
        <w:rPr/>
      </w:pPr>
      <w:r>
        <w:rPr/>
      </w:r>
    </w:p>
    <w:p>
      <w:pPr>
        <w:pStyle w:val="ListParagraph"/>
        <w:jc w:val="both"/>
        <w:rPr/>
      </w:pPr>
      <w:r>
        <w:rPr/>
      </w:r>
    </w:p>
    <w:p>
      <w:pPr>
        <w:pStyle w:val="ListParagraph"/>
        <w:jc w:val="both"/>
        <w:rPr/>
      </w:pPr>
      <w:r>
        <w:rPr/>
      </w:r>
    </w:p>
    <w:p>
      <w:pPr>
        <w:pStyle w:val="ListParagraph"/>
        <w:jc w:val="both"/>
        <w:rPr/>
      </w:pPr>
      <w:r>
        <w:rPr/>
      </w:r>
    </w:p>
    <w:p>
      <w:pPr>
        <w:pStyle w:val="ListParagraph"/>
        <w:jc w:val="both"/>
        <w:rPr/>
      </w:pPr>
      <w:r>
        <w:rPr/>
      </w:r>
    </w:p>
    <w:p>
      <w:pPr>
        <w:pStyle w:val="ListParagraph"/>
        <w:jc w:val="both"/>
        <w:rPr/>
      </w:pPr>
      <w:r>
        <w:rPr/>
      </w:r>
    </w:p>
    <w:p>
      <w:pPr>
        <w:pStyle w:val="Normal"/>
        <w:jc w:val="center"/>
        <w:rPr/>
      </w:pPr>
      <w:r>
        <w:rPr>
          <w:b/>
        </w:rPr>
        <w:t xml:space="preserve">Figure 2. </w:t>
      </w:r>
      <w:r>
        <w:rPr>
          <w:i/>
        </w:rPr>
        <w:t>Attributes of the VM Feature</w:t>
      </w:r>
    </w:p>
    <w:p>
      <w:pPr>
        <w:pStyle w:val="ListParagraph"/>
        <w:jc w:val="both"/>
        <w:rPr/>
      </w:pPr>
      <w:r>
        <w:rPr/>
      </w:r>
    </w:p>
    <w:p>
      <w:pPr>
        <w:pStyle w:val="ListParagraph"/>
        <w:numPr>
          <w:ilvl w:val="0"/>
          <w:numId w:val="2"/>
        </w:numPr>
        <w:jc w:val="both"/>
        <w:rPr/>
      </w:pPr>
      <w:r>
        <w:rPr/>
        <w:t xml:space="preserve">The value of different attributes is determined by </w:t>
      </w:r>
      <w:r>
        <w:rPr>
          <w:i/>
          <w:iCs/>
        </w:rPr>
        <w:t>implies</w:t>
      </w:r>
      <w:r>
        <w:rPr/>
        <w:t xml:space="preserve"> constraints. For example, in Flexiant a LOWEST virtual mac</w:t>
      </w:r>
      <w:r>
        <w:rPr/>
        <w:t>hi</w:t>
      </w:r>
      <w:r>
        <w:rPr/>
        <w:t xml:space="preserve">ne profile has 512 MB of RAM. To express that we define a “LOWEST_VM_Constraint_Mapping” as depicted by Figure 3. </w:t>
      </w:r>
    </w:p>
    <w:p>
      <w:pPr>
        <w:pStyle w:val="ListParagraph"/>
        <w:jc w:val="both"/>
        <w:rPr/>
      </w:pPr>
      <w:r>
        <w:rPr/>
      </w:r>
    </w:p>
    <w:p>
      <w:pPr>
        <w:pStyle w:val="ListParagraph"/>
        <w:jc w:val="both"/>
        <w:rPr/>
      </w:pPr>
      <w:r>
        <w:rPr/>
        <w:drawing>
          <wp:inline distT="0" distB="0" distL="0" distR="0">
            <wp:extent cx="5270500" cy="1484630"/>
            <wp:effectExtent l="0" t="0" r="0" b="0"/>
            <wp:docPr id="3"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
                    <pic:cNvPicPr>
                      <a:picLocks noChangeAspect="1" noChangeArrowheads="1"/>
                    </pic:cNvPicPr>
                  </pic:nvPicPr>
                  <pic:blipFill>
                    <a:blip r:embed="rId4"/>
                    <a:stretch>
                      <a:fillRect/>
                    </a:stretch>
                  </pic:blipFill>
                  <pic:spPr bwMode="auto">
                    <a:xfrm>
                      <a:off x="0" y="0"/>
                      <a:ext cx="5270500" cy="1484630"/>
                    </a:xfrm>
                    <a:prstGeom prst="rect">
                      <a:avLst/>
                    </a:prstGeom>
                  </pic:spPr>
                </pic:pic>
              </a:graphicData>
            </a:graphic>
          </wp:inline>
        </w:drawing>
      </w:r>
    </w:p>
    <w:p>
      <w:pPr>
        <w:pStyle w:val="ListParagraph"/>
        <w:jc w:val="both"/>
        <w:rPr/>
      </w:pPr>
      <w:r>
        <w:rPr/>
        <w:t xml:space="preserve"> </w:t>
      </w:r>
    </w:p>
    <w:p>
      <w:pPr>
        <w:pStyle w:val="ListParagraph"/>
        <w:jc w:val="center"/>
        <w:rPr/>
      </w:pPr>
      <w:r>
        <w:rPr>
          <w:b/>
        </w:rPr>
        <w:t xml:space="preserve">Figure 3. </w:t>
      </w:r>
      <w:r>
        <w:rPr>
          <w:i/>
        </w:rPr>
        <w:t>Implies constraint example.</w:t>
      </w:r>
    </w:p>
    <w:p>
      <w:pPr>
        <w:pStyle w:val="Normal"/>
        <w:jc w:val="both"/>
        <w:rPr/>
      </w:pPr>
      <w:r>
        <w:rPr/>
      </w:r>
    </w:p>
    <w:p>
      <w:pPr>
        <w:pStyle w:val="ListParagraph"/>
        <w:jc w:val="both"/>
        <w:rPr/>
      </w:pPr>
      <w:r>
        <w:rPr/>
      </w:r>
    </w:p>
    <w:p>
      <w:pPr>
        <w:pStyle w:val="ListParagraph"/>
        <w:jc w:val="both"/>
        <w:rPr/>
      </w:pPr>
      <w:r>
        <w:rPr/>
        <w:t xml:space="preserve">This constraint relates two attributes of the “VM” feature. This is why “From” and “To” properties of the constraint reference such a feature. The implies constraint has an “Attribute Constraint” that relates “VMType” and “VMMemory” attributes with “LOWEST” and “512” as values, respectively.   </w:t>
      </w:r>
    </w:p>
    <w:p>
      <w:pPr>
        <w:pStyle w:val="Normal"/>
        <w:jc w:val="both"/>
        <w:rPr/>
      </w:pPr>
      <w:r>
        <w:rPr/>
      </w:r>
    </w:p>
    <w:p>
      <w:pPr>
        <w:pStyle w:val="ListParagraph"/>
        <w:numPr>
          <w:ilvl w:val="0"/>
          <w:numId w:val="2"/>
        </w:numPr>
        <w:jc w:val="both"/>
        <w:rPr/>
      </w:pPr>
      <w:r>
        <w:rPr/>
        <w:t xml:space="preserve">A feature “Location” has to be defined. The cardinality of this feature is [1..1], which means it is mandatory. </w:t>
      </w:r>
    </w:p>
    <w:p>
      <w:pPr>
        <w:pStyle w:val="ListParagraph"/>
        <w:jc w:val="both"/>
        <w:rPr/>
      </w:pPr>
      <w:r>
        <w:rPr/>
      </w:r>
    </w:p>
    <w:p>
      <w:pPr>
        <w:pStyle w:val="ListParagraph"/>
        <w:numPr>
          <w:ilvl w:val="0"/>
          <w:numId w:val="2"/>
        </w:numPr>
        <w:jc w:val="both"/>
        <w:rPr/>
      </w:pPr>
      <w:r>
        <w:rPr/>
        <w:t xml:space="preserve">The “Location” feature has to define at least one subfeature representing a city, country or continent. If there is only one subfeature, its cardinality is [1..1]. If the provider is available in several locations, the “Location” feature has to be an exclusive feature. In this case, the cardinality of each one of these subfeatures has to be [0..1]. Figure 4 depicts the “Location” feature for Flexiant. </w:t>
      </w:r>
    </w:p>
    <w:p>
      <w:pPr>
        <w:pStyle w:val="Normal"/>
        <w:jc w:val="both"/>
        <w:rPr/>
      </w:pPr>
      <w:r>
        <w:rPr/>
      </w:r>
    </w:p>
    <w:p>
      <w:pPr>
        <w:pStyle w:val="ListParagraph"/>
        <w:jc w:val="both"/>
        <w:rPr/>
      </w:pPr>
      <w:r>
        <w:rPr/>
      </w:r>
    </w:p>
    <w:p>
      <w:pPr>
        <w:pStyle w:val="ListParagraph"/>
        <w:jc w:val="both"/>
        <w:rPr/>
      </w:pPr>
      <w:r>
        <w:rPr/>
      </w:r>
    </w:p>
    <w:p>
      <w:pPr>
        <w:pStyle w:val="ListParagraph"/>
        <w:jc w:val="both"/>
        <w:rPr/>
      </w:pPr>
      <w:r>
        <w:rPr/>
      </w:r>
    </w:p>
    <w:p>
      <w:pPr>
        <w:pStyle w:val="ListParagraph"/>
        <w:jc w:val="both"/>
        <w:rPr/>
      </w:pPr>
      <w:r>
        <w:rPr/>
      </w:r>
    </w:p>
    <w:p>
      <w:pPr>
        <w:pStyle w:val="ListParagraph"/>
        <w:jc w:val="both"/>
        <w:rPr/>
      </w:pPr>
      <w:r>
        <w:rPr/>
      </w:r>
    </w:p>
    <w:p>
      <w:pPr>
        <w:pStyle w:val="ListParagraph"/>
        <w:jc w:val="center"/>
        <w:rPr>
          <w:b/>
          <w:b/>
        </w:rPr>
      </w:pPr>
      <w:r>
        <w:rPr>
          <w:b/>
        </w:rPr>
        <w:drawing>
          <wp:anchor behindDoc="0" distT="0" distB="8255" distL="114300" distR="114300" simplePos="0" locked="0" layoutInCell="1" allowOverlap="1" relativeHeight="4">
            <wp:simplePos x="0" y="0"/>
            <wp:positionH relativeFrom="column">
              <wp:posOffset>1828800</wp:posOffset>
            </wp:positionH>
            <wp:positionV relativeFrom="paragraph">
              <wp:posOffset>-114300</wp:posOffset>
            </wp:positionV>
            <wp:extent cx="2108200" cy="931545"/>
            <wp:effectExtent l="0" t="0" r="0" b="0"/>
            <wp:wrapSquare wrapText="bothSides"/>
            <wp:docPr id="4"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descr=""/>
                    <pic:cNvPicPr>
                      <a:picLocks noChangeAspect="1" noChangeArrowheads="1"/>
                    </pic:cNvPicPr>
                  </pic:nvPicPr>
                  <pic:blipFill>
                    <a:blip r:embed="rId5"/>
                    <a:stretch>
                      <a:fillRect/>
                    </a:stretch>
                  </pic:blipFill>
                  <pic:spPr bwMode="auto">
                    <a:xfrm>
                      <a:off x="0" y="0"/>
                      <a:ext cx="2108200" cy="931545"/>
                    </a:xfrm>
                    <a:prstGeom prst="rect">
                      <a:avLst/>
                    </a:prstGeom>
                  </pic:spPr>
                </pic:pic>
              </a:graphicData>
            </a:graphic>
          </wp:anchor>
        </w:drawing>
      </w:r>
    </w:p>
    <w:p>
      <w:pPr>
        <w:pStyle w:val="ListParagraph"/>
        <w:jc w:val="center"/>
        <w:rPr>
          <w:b/>
          <w:b/>
        </w:rPr>
      </w:pPr>
      <w:r>
        <w:rPr>
          <w:b/>
        </w:rPr>
      </w:r>
    </w:p>
    <w:p>
      <w:pPr>
        <w:pStyle w:val="ListParagraph"/>
        <w:jc w:val="center"/>
        <w:rPr>
          <w:b/>
          <w:b/>
        </w:rPr>
      </w:pPr>
      <w:r>
        <w:rPr>
          <w:b/>
        </w:rPr>
      </w:r>
    </w:p>
    <w:p>
      <w:pPr>
        <w:pStyle w:val="ListParagraph"/>
        <w:jc w:val="center"/>
        <w:rPr>
          <w:b/>
          <w:b/>
        </w:rPr>
      </w:pPr>
      <w:r>
        <w:rPr>
          <w:b/>
        </w:rPr>
      </w:r>
    </w:p>
    <w:p>
      <w:pPr>
        <w:pStyle w:val="ListParagraph"/>
        <w:jc w:val="center"/>
        <w:rPr>
          <w:b/>
          <w:b/>
        </w:rPr>
      </w:pPr>
      <w:r>
        <w:rPr>
          <w:b/>
        </w:rPr>
      </w:r>
    </w:p>
    <w:p>
      <w:pPr>
        <w:pStyle w:val="ListParagraph"/>
        <w:jc w:val="center"/>
        <w:rPr/>
      </w:pPr>
      <w:r>
        <w:rPr>
          <w:b/>
        </w:rPr>
        <w:t>Figure 4.</w:t>
      </w:r>
      <w:r>
        <w:rPr/>
        <w:t xml:space="preserve"> </w:t>
      </w:r>
      <w:r>
        <w:rPr>
          <w:i/>
        </w:rPr>
        <w:t>Location Feature</w:t>
      </w:r>
    </w:p>
    <w:p>
      <w:pPr>
        <w:pStyle w:val="ListParagraph"/>
        <w:jc w:val="both"/>
        <w:rPr/>
      </w:pPr>
      <w:r>
        <w:rPr/>
      </w:r>
    </w:p>
    <w:p>
      <w:pPr>
        <w:pStyle w:val="ListParagraph"/>
        <w:numPr>
          <w:ilvl w:val="0"/>
          <w:numId w:val="2"/>
        </w:numPr>
        <w:jc w:val="both"/>
        <w:rPr/>
      </w:pPr>
      <w:r>
        <w:rPr/>
        <w:t>The root feature has to define 3 attributes required by the executionware: “Drive”, “EndPoint” and “ProviderId”. Driver and EndPoint are strings. ProviderId is a list of strings related to a hardware flavor, which specifies the memory, hard disk and cores in order to instantiate virtual machines.</w:t>
      </w:r>
    </w:p>
    <w:p>
      <w:pPr>
        <w:pStyle w:val="Normal"/>
        <w:rPr/>
      </w:pPr>
      <w:r>
        <w:rPr/>
      </w:r>
    </w:p>
    <w:p>
      <w:pPr>
        <w:pStyle w:val="Normal"/>
        <w:rPr/>
      </w:pPr>
      <w:r>
        <w:rPr/>
      </w:r>
    </w:p>
    <w:p>
      <w:pPr>
        <w:pStyle w:val="Normal"/>
        <w:jc w:val="both"/>
        <w:rPr/>
      </w:pPr>
      <w:r>
        <w:rPr>
          <w:i/>
        </w:rPr>
        <w:t>Note:</w:t>
      </w:r>
      <w:r>
        <w:rPr/>
        <w:t xml:space="preserve"> by convention in CAMEL, attribute names have to start by Uppercase </w:t>
      </w:r>
    </w:p>
    <w:p>
      <w:pPr>
        <w:pStyle w:val="Normal"/>
        <w:rPr/>
      </w:pPr>
      <w:r>
        <w:rPr/>
      </w:r>
    </w:p>
    <w:p>
      <w:pPr>
        <w:pStyle w:val="Normal"/>
        <w:rPr/>
      </w:pPr>
      <w:r>
        <w:rPr/>
      </w:r>
    </w:p>
    <w:p>
      <w:pPr>
        <w:pStyle w:val="Normal"/>
        <w:rPr>
          <w:u w:val="single"/>
        </w:rPr>
      </w:pPr>
      <w:r>
        <w:rPr>
          <w:u w:val="single"/>
        </w:rPr>
        <w:t>1.2 Mapping Model</w:t>
      </w:r>
    </w:p>
    <w:p>
      <w:pPr>
        <w:pStyle w:val="Normal"/>
        <w:rPr/>
      </w:pPr>
      <w:r>
        <w:rPr/>
      </w:r>
    </w:p>
    <w:p>
      <w:pPr>
        <w:pStyle w:val="Normal"/>
        <w:jc w:val="both"/>
        <w:rPr/>
      </w:pPr>
      <w:r>
        <w:rPr/>
        <w:t xml:space="preserve">CP-Generator-Model-to-Solver exploits Saloon core [1] in order to select provider candidates according to requirements specified by the CAMEL model. In order to do that, these (hardware, location and operating system) requirements are defined independently from providers by using an ontology. Figure 5 depicts an excerpt of the ontology used by CP-Generator-Model-to-Solver. </w:t>
      </w:r>
    </w:p>
    <w:p>
      <w:pPr>
        <w:pStyle w:val="Normal"/>
        <w:jc w:val="both"/>
        <w:rPr/>
      </w:pPr>
      <w:r>
        <w:rPr/>
      </w:r>
    </w:p>
    <w:p>
      <w:pPr>
        <w:pStyle w:val="Normal"/>
        <w:jc w:val="both"/>
        <w:rPr/>
      </w:pPr>
      <w:r>
        <w:rPr/>
        <w:t>This ontology provides a</w:t>
      </w:r>
      <w:r>
        <w:rPr/>
        <w:t>n</w:t>
      </w:r>
      <w:r>
        <w:rPr/>
        <w:t xml:space="preserve"> unify view of cloud offers. Therefore, in order to consider the new provider as candidate, it is necessary to define a mapping model linking concepts in the ontology with features or attributes in the provider model.  Figure 6 presents the mapping for Flexiant with 2 “concept to feature” mappings and one “concept to attribute” mapping.   </w:t>
      </w:r>
    </w:p>
    <w:p>
      <w:pPr>
        <w:pStyle w:val="Normal"/>
        <w:jc w:val="both"/>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114300" distR="122555" simplePos="0" locked="0" layoutInCell="1" allowOverlap="1" relativeHeight="5">
            <wp:simplePos x="0" y="0"/>
            <wp:positionH relativeFrom="column">
              <wp:posOffset>571500</wp:posOffset>
            </wp:positionH>
            <wp:positionV relativeFrom="paragraph">
              <wp:posOffset>164465</wp:posOffset>
            </wp:positionV>
            <wp:extent cx="4233545" cy="8187055"/>
            <wp:effectExtent l="0" t="0" r="0" b="0"/>
            <wp:wrapSquare wrapText="bothSides"/>
            <wp:docPr id="5"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7" descr=""/>
                    <pic:cNvPicPr>
                      <a:picLocks noChangeAspect="1" noChangeArrowheads="1"/>
                    </pic:cNvPicPr>
                  </pic:nvPicPr>
                  <pic:blipFill>
                    <a:blip r:embed="rId6"/>
                    <a:stretch>
                      <a:fillRect/>
                    </a:stretch>
                  </pic:blipFill>
                  <pic:spPr bwMode="auto">
                    <a:xfrm>
                      <a:off x="0" y="0"/>
                      <a:ext cx="4233545" cy="818705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jc w:val="center"/>
        <w:rPr>
          <w:i/>
          <w:i/>
        </w:rPr>
      </w:pPr>
      <w:r>
        <w:rPr>
          <w:b/>
        </w:rPr>
        <w:t xml:space="preserve">Figure 5. </w:t>
      </w:r>
      <w:r>
        <w:rPr>
          <w:i/>
        </w:rPr>
        <w:t>Saloon Ontology (Excerpt)</w:t>
      </w:r>
    </w:p>
    <w:p>
      <w:pPr>
        <w:pStyle w:val="Normal"/>
        <w:jc w:val="center"/>
        <w:rPr>
          <w:b/>
          <w:b/>
        </w:rPr>
      </w:pPr>
      <w:r>
        <w:rPr>
          <w:b/>
        </w:rPr>
      </w:r>
    </w:p>
    <w:p>
      <w:pPr>
        <w:pStyle w:val="Normal"/>
        <w:jc w:val="center"/>
        <w:rPr>
          <w:b/>
          <w:b/>
        </w:rPr>
      </w:pPr>
      <w:r>
        <w:rPr/>
        <w:drawing>
          <wp:inline distT="0" distB="8890" distL="0" distR="12700">
            <wp:extent cx="5270500" cy="1718310"/>
            <wp:effectExtent l="0" t="0" r="0" b="0"/>
            <wp:docPr id="6"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8" descr=""/>
                    <pic:cNvPicPr>
                      <a:picLocks noChangeAspect="1" noChangeArrowheads="1"/>
                    </pic:cNvPicPr>
                  </pic:nvPicPr>
                  <pic:blipFill>
                    <a:blip r:embed="rId7"/>
                    <a:stretch>
                      <a:fillRect/>
                    </a:stretch>
                  </pic:blipFill>
                  <pic:spPr bwMode="auto">
                    <a:xfrm>
                      <a:off x="0" y="0"/>
                      <a:ext cx="5270500" cy="1718310"/>
                    </a:xfrm>
                    <a:prstGeom prst="rect">
                      <a:avLst/>
                    </a:prstGeom>
                  </pic:spPr>
                </pic:pic>
              </a:graphicData>
            </a:graphic>
          </wp:inline>
        </w:drawing>
      </w:r>
    </w:p>
    <w:p>
      <w:pPr>
        <w:pStyle w:val="Normal"/>
        <w:jc w:val="center"/>
        <w:rPr>
          <w:i/>
          <w:i/>
        </w:rPr>
      </w:pPr>
      <w:r>
        <w:rPr>
          <w:b/>
        </w:rPr>
        <w:t xml:space="preserve">Figure 6. </w:t>
      </w:r>
      <w:r>
        <w:rPr>
          <w:i/>
        </w:rPr>
        <w:t>Mapping for Flexiant (Excerpt)</w:t>
      </w:r>
    </w:p>
    <w:p>
      <w:pPr>
        <w:pStyle w:val="Normal"/>
        <w:rPr>
          <w:b/>
          <w:b/>
        </w:rPr>
      </w:pPr>
      <w:r>
        <w:rPr>
          <w:b/>
        </w:rPr>
      </w:r>
    </w:p>
    <w:p>
      <w:pPr>
        <w:pStyle w:val="Normal"/>
        <w:rPr>
          <w:b/>
          <w:b/>
        </w:rPr>
      </w:pPr>
      <w:r>
        <w:rPr>
          <w:b/>
        </w:rPr>
      </w:r>
    </w:p>
    <w:p>
      <w:pPr>
        <w:pStyle w:val="Normal"/>
        <w:rPr>
          <w:b/>
          <w:b/>
        </w:rPr>
      </w:pPr>
      <w:r>
        <w:rPr>
          <w:b/>
        </w:rPr>
        <w:t xml:space="preserve">2. Models to Modify </w:t>
      </w:r>
    </w:p>
    <w:p>
      <w:pPr>
        <w:pStyle w:val="Normal"/>
        <w:rPr>
          <w:b/>
          <w:b/>
        </w:rPr>
      </w:pPr>
      <w:r>
        <w:rPr>
          <w:b/>
        </w:rPr>
      </w:r>
    </w:p>
    <w:p>
      <w:pPr>
        <w:pStyle w:val="Normal"/>
        <w:rPr>
          <w:u w:val="single"/>
        </w:rPr>
      </w:pPr>
      <w:r>
        <w:rPr>
          <w:u w:val="single"/>
        </w:rPr>
        <w:t>2.1 Locations.xmi</w:t>
      </w:r>
    </w:p>
    <w:p>
      <w:pPr>
        <w:pStyle w:val="Normal"/>
        <w:rPr>
          <w:b/>
          <w:b/>
        </w:rPr>
      </w:pPr>
      <w:r>
        <w:rPr>
          <w:b/>
        </w:rPr>
      </w:r>
    </w:p>
    <w:p>
      <w:pPr>
        <w:pStyle w:val="Normal"/>
        <w:jc w:val="both"/>
        <w:rPr/>
      </w:pPr>
      <w:r>
        <w:rPr/>
        <w:t xml:space="preserve">The location model (cf. src/main/resources/model/cp) has to be modified only if the location of the provider does not exist. If the new location is a city, the continent and the country have to be specified. If it is a country, the continent has to be specified. For each location, alternative names can also be provided. Figure 7 depicts the locations model. Please notice that alternatives names as well as relationships between city, country and continent will be used by CP-Model-to-Solver in order to determine if the provider is a suitable candidate. </w:t>
      </w:r>
    </w:p>
    <w:p>
      <w:pPr>
        <w:pStyle w:val="Normal"/>
        <w:rPr>
          <w:b/>
          <w:b/>
        </w:rPr>
      </w:pPr>
      <w:r>
        <w:rPr>
          <w:b/>
        </w:rPr>
      </w:r>
    </w:p>
    <w:p>
      <w:pPr>
        <w:pStyle w:val="Normal"/>
        <w:rPr>
          <w:b/>
          <w:b/>
        </w:rPr>
      </w:pPr>
      <w:r>
        <w:rPr/>
        <w:drawing>
          <wp:inline distT="0" distB="12700" distL="0" distR="0">
            <wp:extent cx="5270500" cy="3162300"/>
            <wp:effectExtent l="0" t="0" r="0" b="0"/>
            <wp:docPr id="7"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descr=""/>
                    <pic:cNvPicPr>
                      <a:picLocks noChangeAspect="1" noChangeArrowheads="1"/>
                    </pic:cNvPicPr>
                  </pic:nvPicPr>
                  <pic:blipFill>
                    <a:blip r:embed="rId8"/>
                    <a:stretch>
                      <a:fillRect/>
                    </a:stretch>
                  </pic:blipFill>
                  <pic:spPr bwMode="auto">
                    <a:xfrm>
                      <a:off x="0" y="0"/>
                      <a:ext cx="5270500" cy="3162300"/>
                    </a:xfrm>
                    <a:prstGeom prst="rect">
                      <a:avLst/>
                    </a:prstGeom>
                  </pic:spPr>
                </pic:pic>
              </a:graphicData>
            </a:graphic>
          </wp:inline>
        </w:drawing>
      </w:r>
    </w:p>
    <w:p>
      <w:pPr>
        <w:pStyle w:val="Normal"/>
        <w:jc w:val="center"/>
        <w:rPr/>
      </w:pPr>
      <w:r>
        <w:rPr>
          <w:b/>
        </w:rPr>
        <w:t xml:space="preserve">Figure 7. </w:t>
      </w:r>
      <w:r>
        <w:rPr>
          <w:i/>
        </w:rPr>
        <w:t>Locations model</w:t>
      </w:r>
      <w:r>
        <w:rPr/>
        <w:t xml:space="preserve"> </w:t>
      </w:r>
    </w:p>
    <w:p>
      <w:pPr>
        <w:pStyle w:val="Normal"/>
        <w:rPr>
          <w:b/>
          <w:b/>
        </w:rPr>
      </w:pPr>
      <w:r>
        <w:rPr>
          <w:b/>
        </w:rPr>
      </w:r>
    </w:p>
    <w:p>
      <w:pPr>
        <w:pStyle w:val="Normal"/>
        <w:rPr>
          <w:u w:val="single"/>
        </w:rPr>
      </w:pPr>
      <w:r>
        <w:rPr>
          <w:u w:val="single"/>
        </w:rPr>
        <w:t>2.2 ProviderTypes.xmi</w:t>
      </w:r>
    </w:p>
    <w:p>
      <w:pPr>
        <w:pStyle w:val="Normal"/>
        <w:rPr/>
      </w:pPr>
      <w:r>
        <w:rPr/>
      </w:r>
    </w:p>
    <w:p>
      <w:pPr>
        <w:pStyle w:val="Normal"/>
        <w:jc w:val="both"/>
        <w:rPr/>
      </w:pPr>
      <w:r>
        <w:rPr/>
        <w:t>This model (cf. src/main/resources/model/cp) has the provider types that are supported by CP-Model-to-Solver. Each time that a new provider model is added, this model has to be modified by adding the provide</w:t>
      </w:r>
      <w:bookmarkStart w:id="0" w:name="_GoBack"/>
      <w:bookmarkEnd w:id="0"/>
      <w:r>
        <w:rPr/>
        <w:t xml:space="preserve">r type. Figure 8 depicts the provider model containing the “Flexiant” type. </w:t>
      </w:r>
    </w:p>
    <w:p>
      <w:pPr>
        <w:pStyle w:val="Normal"/>
        <w:jc w:val="both"/>
        <w:rPr/>
      </w:pPr>
      <w:r>
        <w:rPr/>
      </w:r>
    </w:p>
    <w:p>
      <w:pPr>
        <w:pStyle w:val="Normal"/>
        <w:jc w:val="both"/>
        <w:rPr/>
      </w:pPr>
      <w:r>
        <w:drawing>
          <wp:anchor behindDoc="0" distT="0" distB="0" distL="114300" distR="114300" simplePos="0" locked="0" layoutInCell="1" allowOverlap="1" relativeHeight="6">
            <wp:simplePos x="0" y="0"/>
            <wp:positionH relativeFrom="column">
              <wp:posOffset>1600200</wp:posOffset>
            </wp:positionH>
            <wp:positionV relativeFrom="paragraph">
              <wp:posOffset>0</wp:posOffset>
            </wp:positionV>
            <wp:extent cx="2624455" cy="1295400"/>
            <wp:effectExtent l="0" t="0" r="0" b="0"/>
            <wp:wrapSquare wrapText="bothSides"/>
            <wp:docPr id="8"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1" descr=""/>
                    <pic:cNvPicPr>
                      <a:picLocks noChangeAspect="1" noChangeArrowheads="1"/>
                    </pic:cNvPicPr>
                  </pic:nvPicPr>
                  <pic:blipFill>
                    <a:blip r:embed="rId9"/>
                    <a:stretch>
                      <a:fillRect/>
                    </a:stretch>
                  </pic:blipFill>
                  <pic:spPr bwMode="auto">
                    <a:xfrm>
                      <a:off x="0" y="0"/>
                      <a:ext cx="2624455" cy="1295400"/>
                    </a:xfrm>
                    <a:prstGeom prst="rect">
                      <a:avLst/>
                    </a:prstGeom>
                  </pic:spPr>
                </pic:pic>
              </a:graphicData>
            </a:graphic>
          </wp:anchor>
        </w:drawing>
      </w:r>
      <w:r>
        <w:rPr/>
        <w:t xml:space="preserve"> </w:t>
      </w:r>
    </w:p>
    <w:p>
      <w:pPr>
        <w:pStyle w:val="Normal"/>
        <w:rPr/>
      </w:pPr>
      <w:r>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jc w:val="center"/>
        <w:rPr/>
      </w:pPr>
      <w:r>
        <w:rPr>
          <w:b/>
        </w:rPr>
        <w:t xml:space="preserve">Figure 8. </w:t>
      </w:r>
      <w:r>
        <w:rPr>
          <w:i/>
        </w:rPr>
        <w:t>Provider Types</w:t>
      </w:r>
      <w:r>
        <w:rPr/>
        <w:t xml:space="preserve"> </w:t>
      </w:r>
    </w:p>
    <w:p>
      <w:pPr>
        <w:pStyle w:val="Normal"/>
        <w:rPr>
          <w:u w:val="single"/>
        </w:rPr>
      </w:pPr>
      <w:r>
        <w:rPr>
          <w:u w:val="single"/>
        </w:rPr>
      </w:r>
    </w:p>
    <w:p>
      <w:pPr>
        <w:pStyle w:val="Normal"/>
        <w:rPr>
          <w:u w:val="single"/>
        </w:rPr>
      </w:pPr>
      <w:r>
        <w:rPr>
          <w:u w:val="single"/>
        </w:rPr>
        <w:t xml:space="preserve">2.3 Ontology.xmi </w:t>
      </w:r>
    </w:p>
    <w:p>
      <w:pPr>
        <w:pStyle w:val="Normal"/>
        <w:rPr>
          <w:b/>
          <w:b/>
        </w:rPr>
      </w:pPr>
      <w:r>
        <w:rPr>
          <w:b/>
        </w:rPr>
      </w:r>
    </w:p>
    <w:p>
      <w:pPr>
        <w:pStyle w:val="Normal"/>
        <w:jc w:val="both"/>
        <w:rPr/>
      </w:pPr>
      <w:r>
        <w:rPr/>
        <w:t xml:space="preserve">Figure 5 depicts an excerpt of this model (cf. src/main/resources/model/ontology). The ontology only has to be modified if locations or operating systems related to the new provider are not included. Locations have to be a subconcept of the “Location” concept. Operating systems have to be subconcepts of “OS”.  </w:t>
      </w:r>
    </w:p>
    <w:p>
      <w:pPr>
        <w:pStyle w:val="Normal"/>
        <w:rPr>
          <w:b/>
          <w:b/>
        </w:rPr>
      </w:pPr>
      <w:r>
        <w:rPr>
          <w:b/>
        </w:rPr>
      </w:r>
    </w:p>
    <w:p>
      <w:pPr>
        <w:pStyle w:val="Normal"/>
        <w:rPr>
          <w:b/>
          <w:b/>
        </w:rPr>
      </w:pPr>
      <w:r>
        <w:rPr>
          <w:b/>
        </w:rPr>
        <w:t xml:space="preserve">3. Configuration Files to Modify </w:t>
      </w:r>
    </w:p>
    <w:p>
      <w:pPr>
        <w:pStyle w:val="Normal"/>
        <w:rPr>
          <w:b/>
          <w:b/>
        </w:rPr>
      </w:pPr>
      <w:r>
        <w:rPr>
          <w:b/>
        </w:rPr>
      </w:r>
    </w:p>
    <w:p>
      <w:pPr>
        <w:pStyle w:val="Normal"/>
        <w:rPr>
          <w:u w:val="single"/>
        </w:rPr>
      </w:pPr>
      <w:r>
        <w:rPr>
          <w:u w:val="single"/>
        </w:rPr>
        <w:t>3.1 localDatabaseClouds_camel.properties</w:t>
      </w:r>
    </w:p>
    <w:p>
      <w:pPr>
        <w:pStyle w:val="Normal"/>
        <w:rPr>
          <w:u w:val="single"/>
        </w:rPr>
      </w:pPr>
      <w:r>
        <w:rPr>
          <w:u w:val="single"/>
        </w:rPr>
      </w:r>
    </w:p>
    <w:p>
      <w:pPr>
        <w:pStyle w:val="Normal"/>
        <w:jc w:val="both"/>
        <w:rPr/>
      </w:pPr>
      <w:r>
        <w:rPr/>
        <w:t xml:space="preserve">This file (cf. src/main/resources/config) tells to CP-Generator-Model-to-Solver where to look for provider models and related mapping models. To specify this information, it is necessary to follow the format: </w:t>
      </w:r>
    </w:p>
    <w:p>
      <w:pPr>
        <w:pStyle w:val="Normal"/>
        <w:jc w:val="both"/>
        <w:rPr/>
      </w:pPr>
      <w:r>
        <w:rPr/>
      </w:r>
    </w:p>
    <w:p>
      <w:pPr>
        <w:pStyle w:val="Normal"/>
        <w:jc w:val="center"/>
        <w:rPr>
          <w:rFonts w:ascii="Courier New" w:hAnsi="Courier New" w:cs="Courier New"/>
          <w:sz w:val="20"/>
          <w:szCs w:val="20"/>
        </w:rPr>
      </w:pPr>
      <w:r>
        <w:rPr>
          <w:rFonts w:cs="Courier New" w:ascii="Courier New" w:hAnsi="Courier New"/>
          <w:sz w:val="20"/>
          <w:szCs w:val="20"/>
        </w:rPr>
        <w:t>&lt;provider_type&gt;:&lt;provider_model_path&gt;;&lt;mapping_model_path&gt;</w:t>
      </w:r>
    </w:p>
    <w:p>
      <w:pPr>
        <w:pStyle w:val="Normal"/>
        <w:jc w:val="center"/>
        <w:rPr>
          <w:rFonts w:ascii="Courier New" w:hAnsi="Courier New" w:cs="Courier New"/>
          <w:sz w:val="20"/>
          <w:szCs w:val="20"/>
        </w:rPr>
      </w:pPr>
      <w:r>
        <w:rPr>
          <w:rFonts w:cs="Courier New" w:ascii="Courier New" w:hAnsi="Courier New"/>
          <w:sz w:val="20"/>
          <w:szCs w:val="20"/>
        </w:rPr>
      </w:r>
    </w:p>
    <w:p>
      <w:pPr>
        <w:pStyle w:val="Normal"/>
        <w:jc w:val="both"/>
        <w:rPr/>
      </w:pPr>
      <w:r>
        <w:rPr/>
        <w:t xml:space="preserve">Where &lt;provider_type&gt; is the same as specified by ProviderTypes.xmi (cf. Section 2.2). Below we present the example for Flexiant: </w:t>
      </w:r>
    </w:p>
    <w:p>
      <w:pPr>
        <w:pStyle w:val="Normal"/>
        <w:jc w:val="both"/>
        <w:rPr/>
      </w:pPr>
      <w:r>
        <w:rPr/>
      </w:r>
    </w:p>
    <w:p>
      <w:pPr>
        <w:pStyle w:val="Normal"/>
        <w:jc w:val="both"/>
        <w:rPr>
          <w:rFonts w:ascii="Courier New" w:hAnsi="Courier New" w:cs="Courier New"/>
          <w:sz w:val="20"/>
          <w:szCs w:val="20"/>
        </w:rPr>
      </w:pPr>
      <w:r>
        <w:rPr>
          <w:rFonts w:cs="Courier New" w:ascii="Courier New" w:hAnsi="Courier New"/>
          <w:sz w:val="20"/>
          <w:szCs w:val="20"/>
        </w:rPr>
        <w:t>Flexiant:./</w:t>
      </w:r>
      <w:r>
        <w:rPr>
          <w:rFonts w:cs="Courier New" w:ascii="Courier New" w:hAnsi="Courier New"/>
          <w:sz w:val="20"/>
          <w:szCs w:val="20"/>
          <w:u w:val="single"/>
        </w:rPr>
        <w:t>src</w:t>
      </w:r>
      <w:r>
        <w:rPr>
          <w:rFonts w:cs="Courier New" w:ascii="Courier New" w:hAnsi="Courier New"/>
          <w:sz w:val="20"/>
          <w:szCs w:val="20"/>
        </w:rPr>
        <w:t>/main/resources/model/</w:t>
      </w:r>
      <w:r>
        <w:rPr>
          <w:rFonts w:cs="Courier New" w:ascii="Courier New" w:hAnsi="Courier New"/>
          <w:sz w:val="20"/>
          <w:szCs w:val="20"/>
          <w:u w:val="single"/>
        </w:rPr>
        <w:t>fm</w:t>
      </w:r>
      <w:r>
        <w:rPr>
          <w:rFonts w:cs="Courier New" w:ascii="Courier New" w:hAnsi="Courier New"/>
          <w:sz w:val="20"/>
          <w:szCs w:val="20"/>
        </w:rPr>
        <w:t>/FlexiantCamelModel.xmi;./</w:t>
      </w:r>
      <w:r>
        <w:rPr>
          <w:rFonts w:cs="Courier New" w:ascii="Courier New" w:hAnsi="Courier New"/>
          <w:sz w:val="20"/>
          <w:szCs w:val="20"/>
          <w:u w:val="single"/>
        </w:rPr>
        <w:t>src</w:t>
      </w:r>
      <w:r>
        <w:rPr>
          <w:rFonts w:cs="Courier New" w:ascii="Courier New" w:hAnsi="Courier New"/>
          <w:sz w:val="20"/>
          <w:szCs w:val="20"/>
        </w:rPr>
        <w:t xml:space="preserve">/main/resources/model/mapping/FlexiantCamelModelMapping.xmi </w:t>
      </w:r>
    </w:p>
    <w:p>
      <w:pPr>
        <w:pStyle w:val="Normal"/>
        <w:jc w:val="both"/>
        <w:rPr/>
      </w:pPr>
      <w:r>
        <w:rPr/>
      </w:r>
    </w:p>
    <w:p>
      <w:pPr>
        <w:pStyle w:val="Normal"/>
        <w:rPr>
          <w:u w:val="single"/>
        </w:rPr>
      </w:pPr>
      <w:r>
        <w:rPr>
          <w:u w:val="single"/>
        </w:rPr>
        <w:t>3.2. cloudPricing.txt</w:t>
      </w:r>
    </w:p>
    <w:p>
      <w:pPr>
        <w:pStyle w:val="Normal"/>
        <w:rPr/>
      </w:pPr>
      <w:r>
        <w:rPr/>
      </w:r>
    </w:p>
    <w:p>
      <w:pPr>
        <w:pStyle w:val="Normal"/>
        <w:jc w:val="both"/>
        <w:rPr/>
      </w:pPr>
      <w:r>
        <w:rPr/>
        <w:t xml:space="preserve">This file (cf. src/main/resources/config) has to be modified in order to support the generation of default cost functions. In particular, it is necessary to add the provider rates regarding the virtual machine and/or used images as well as the class (cf. Section 4) that is able to compute the price of a given configuration by using them: </w:t>
      </w:r>
    </w:p>
    <w:p>
      <w:pPr>
        <w:pStyle w:val="Normal"/>
        <w:jc w:val="center"/>
        <w:rPr>
          <w:rFonts w:ascii="Courier New" w:hAnsi="Courier New" w:cs="Courier New"/>
        </w:rPr>
      </w:pPr>
      <w:r>
        <w:rPr>
          <w:rFonts w:cs="Courier New" w:ascii="Courier New" w:hAnsi="Courier New"/>
        </w:rPr>
      </w:r>
    </w:p>
    <w:p>
      <w:pPr>
        <w:pStyle w:val="Normal"/>
        <w:jc w:val="center"/>
        <w:rPr>
          <w:rFonts w:ascii="Courier New" w:hAnsi="Courier New" w:cs="Courier New"/>
          <w:sz w:val="20"/>
          <w:szCs w:val="20"/>
        </w:rPr>
      </w:pPr>
      <w:r>
        <w:rPr>
          <w:rFonts w:cs="Courier New" w:ascii="Courier New" w:hAnsi="Courier New"/>
          <w:sz w:val="20"/>
          <w:szCs w:val="20"/>
        </w:rPr>
        <w:t>&lt;Provider_Type&gt;;&lt;class&gt;;&lt;number_of_rates&gt;</w:t>
      </w:r>
    </w:p>
    <w:p>
      <w:pPr>
        <w:pStyle w:val="Normal"/>
        <w:jc w:val="both"/>
        <w:rPr/>
      </w:pPr>
      <w:r>
        <w:rPr/>
      </w:r>
    </w:p>
    <w:p>
      <w:pPr>
        <w:pStyle w:val="Normal"/>
        <w:jc w:val="both"/>
        <w:rPr/>
      </w:pPr>
      <w:r>
        <w:rPr/>
        <w:t xml:space="preserve">Below we present the rates for Flexiant as example: </w:t>
      </w:r>
    </w:p>
    <w:p>
      <w:pPr>
        <w:pStyle w:val="Normal"/>
        <w:jc w:val="both"/>
        <w:rPr/>
      </w:pPr>
      <w:r>
        <w:rPr/>
      </w:r>
    </w:p>
    <w:p>
      <w:pPr>
        <w:pStyle w:val="Normal"/>
        <w:widowControl w:val="false"/>
        <w:rPr>
          <w:rFonts w:ascii="Courier New" w:hAnsi="Courier New" w:cs="Courier New"/>
          <w:sz w:val="20"/>
          <w:szCs w:val="20"/>
        </w:rPr>
      </w:pPr>
      <w:r>
        <w:rPr>
          <w:rFonts w:cs="Courier New" w:ascii="Courier New" w:hAnsi="Courier New"/>
          <w:color w:val="000000"/>
          <w:sz w:val="20"/>
          <w:szCs w:val="20"/>
          <w:u w:val="single"/>
        </w:rPr>
        <w:t>Flexiant</w:t>
      </w:r>
      <w:r>
        <w:rPr>
          <w:rFonts w:cs="Courier New" w:ascii="Courier New" w:hAnsi="Courier New"/>
          <w:sz w:val="20"/>
          <w:szCs w:val="20"/>
        </w:rPr>
        <w:t>;fr.inria.paasage.saloon.price.model.lib.FlexiantPriceEstimator;7</w:t>
      </w:r>
    </w:p>
    <w:p>
      <w:pPr>
        <w:pStyle w:val="Normal"/>
        <w:widowControl w:val="false"/>
        <w:rPr>
          <w:rFonts w:ascii="Courier New" w:hAnsi="Courier New" w:cs="Courier New"/>
          <w:sz w:val="20"/>
          <w:szCs w:val="20"/>
        </w:rPr>
      </w:pPr>
      <w:r>
        <w:rPr>
          <w:rFonts w:cs="Courier New" w:ascii="Courier New" w:hAnsi="Courier New"/>
          <w:sz w:val="20"/>
          <w:szCs w:val="20"/>
        </w:rPr>
        <w:t>LOWEST;0.084</w:t>
      </w:r>
    </w:p>
    <w:p>
      <w:pPr>
        <w:pStyle w:val="Normal"/>
        <w:widowControl w:val="false"/>
        <w:rPr>
          <w:rFonts w:ascii="Courier New" w:hAnsi="Courier New" w:cs="Courier New"/>
          <w:sz w:val="20"/>
          <w:szCs w:val="20"/>
        </w:rPr>
      </w:pPr>
      <w:r>
        <w:rPr>
          <w:rFonts w:cs="Courier New" w:ascii="Courier New" w:hAnsi="Courier New"/>
          <w:sz w:val="20"/>
          <w:szCs w:val="20"/>
        </w:rPr>
        <w:t>LOWER;0.094</w:t>
      </w:r>
    </w:p>
    <w:p>
      <w:pPr>
        <w:pStyle w:val="Normal"/>
        <w:widowControl w:val="false"/>
        <w:rPr>
          <w:rFonts w:ascii="Courier New" w:hAnsi="Courier New" w:cs="Courier New"/>
          <w:sz w:val="20"/>
          <w:szCs w:val="20"/>
        </w:rPr>
      </w:pPr>
      <w:r>
        <w:rPr>
          <w:rFonts w:cs="Courier New" w:ascii="Courier New" w:hAnsi="Courier New"/>
          <w:sz w:val="20"/>
          <w:szCs w:val="20"/>
        </w:rPr>
        <w:t>LOW;0.104</w:t>
      </w:r>
    </w:p>
    <w:p>
      <w:pPr>
        <w:pStyle w:val="Normal"/>
        <w:widowControl w:val="false"/>
        <w:rPr>
          <w:rFonts w:ascii="Courier New" w:hAnsi="Courier New" w:cs="Courier New"/>
          <w:sz w:val="20"/>
          <w:szCs w:val="20"/>
        </w:rPr>
      </w:pPr>
      <w:r>
        <w:rPr>
          <w:rFonts w:cs="Courier New" w:ascii="Courier New" w:hAnsi="Courier New"/>
          <w:sz w:val="20"/>
          <w:szCs w:val="20"/>
        </w:rPr>
        <w:t>MEDIUM;0.114</w:t>
      </w:r>
    </w:p>
    <w:p>
      <w:pPr>
        <w:pStyle w:val="Normal"/>
        <w:widowControl w:val="false"/>
        <w:rPr>
          <w:rFonts w:ascii="Courier New" w:hAnsi="Courier New" w:cs="Courier New"/>
          <w:sz w:val="20"/>
          <w:szCs w:val="20"/>
        </w:rPr>
      </w:pPr>
      <w:r>
        <w:rPr>
          <w:rFonts w:cs="Courier New" w:ascii="Courier New" w:hAnsi="Courier New"/>
          <w:sz w:val="20"/>
          <w:szCs w:val="20"/>
        </w:rPr>
        <w:t>HIGH;0.124</w:t>
      </w:r>
    </w:p>
    <w:p>
      <w:pPr>
        <w:pStyle w:val="Normal"/>
        <w:widowControl w:val="false"/>
        <w:rPr>
          <w:rFonts w:ascii="Courier New" w:hAnsi="Courier New" w:cs="Courier New"/>
          <w:sz w:val="20"/>
          <w:szCs w:val="20"/>
        </w:rPr>
      </w:pPr>
      <w:r>
        <w:rPr>
          <w:rFonts w:cs="Courier New" w:ascii="Courier New" w:hAnsi="Courier New"/>
          <w:sz w:val="20"/>
          <w:szCs w:val="20"/>
        </w:rPr>
        <w:t>HIGHER;0.134</w:t>
      </w:r>
    </w:p>
    <w:p>
      <w:pPr>
        <w:pStyle w:val="Normal"/>
        <w:jc w:val="both"/>
        <w:rPr>
          <w:rFonts w:ascii="Courier New" w:hAnsi="Courier New" w:cs="Courier New"/>
          <w:sz w:val="20"/>
          <w:szCs w:val="20"/>
        </w:rPr>
      </w:pPr>
      <w:r>
        <w:rPr>
          <w:rFonts w:cs="Courier New" w:ascii="Courier New" w:hAnsi="Courier New"/>
          <w:sz w:val="20"/>
          <w:szCs w:val="20"/>
        </w:rPr>
        <w:t>HIGHEST;0.144</w:t>
      </w:r>
    </w:p>
    <w:p>
      <w:pPr>
        <w:pStyle w:val="Normal"/>
        <w:rPr/>
      </w:pPr>
      <w:r>
        <w:rPr/>
      </w:r>
    </w:p>
    <w:p>
      <w:pPr>
        <w:pStyle w:val="Normal"/>
        <w:rPr>
          <w:b/>
          <w:b/>
        </w:rPr>
      </w:pPr>
      <w:r>
        <w:rPr>
          <w:b/>
        </w:rPr>
        <w:t>4. Code to Add</w:t>
      </w:r>
    </w:p>
    <w:p>
      <w:pPr>
        <w:pStyle w:val="Normal"/>
        <w:rPr>
          <w:b/>
          <w:b/>
        </w:rPr>
      </w:pPr>
      <w:r>
        <w:rPr>
          <w:b/>
        </w:rPr>
      </w:r>
    </w:p>
    <w:p>
      <w:pPr>
        <w:pStyle w:val="Normal"/>
        <w:rPr/>
      </w:pPr>
      <w:r>
        <w:rPr/>
        <w:t xml:space="preserve">In order to generate a default cost function, CP-Generator-Solver-to-Deployment requires the functionality to compute the price of a given provider configuration. To do that, a class implementing the following interface needs to be provided (cf. saloon-price-estimation-tool module): </w:t>
      </w:r>
    </w:p>
    <w:p>
      <w:pPr>
        <w:pStyle w:val="Normal"/>
        <w:rPr/>
      </w:pPr>
      <w:r>
        <w:rPr/>
      </w:r>
    </w:p>
    <w:p>
      <w:pPr>
        <w:pStyle w:val="Normal"/>
        <w:widowControl w:val="false"/>
        <w:rPr>
          <w:rFonts w:ascii="Monaco" w:hAnsi="Monaco" w:cs="Monaco"/>
          <w:sz w:val="22"/>
          <w:szCs w:val="22"/>
        </w:rPr>
      </w:pPr>
      <w:r>
        <w:rPr/>
        <w:t xml:space="preserve"> </w:t>
      </w:r>
      <w:r>
        <w:rPr>
          <w:rFonts w:cs="Monaco" w:ascii="Monaco" w:hAnsi="Monaco"/>
          <w:b/>
          <w:bCs/>
          <w:color w:val="7F0055"/>
          <w:sz w:val="22"/>
          <w:szCs w:val="22"/>
        </w:rPr>
        <w:t>package</w:t>
      </w:r>
      <w:r>
        <w:rPr>
          <w:rFonts w:cs="Monaco" w:ascii="Monaco" w:hAnsi="Monaco"/>
          <w:color w:val="000000"/>
          <w:sz w:val="22"/>
          <w:szCs w:val="22"/>
        </w:rPr>
        <w:t xml:space="preserve"> fr.inria.paasage.saloon.price.api;</w:t>
      </w:r>
    </w:p>
    <w:p>
      <w:pPr>
        <w:pStyle w:val="Normal"/>
        <w:widowControl w:val="false"/>
        <w:rPr>
          <w:rFonts w:ascii="Monaco" w:hAnsi="Monaco" w:cs="Monaco"/>
          <w:sz w:val="22"/>
          <w:szCs w:val="22"/>
        </w:rPr>
      </w:pPr>
      <w:r>
        <w:rPr>
          <w:rFonts w:cs="Monaco" w:ascii="Monaco" w:hAnsi="Monaco"/>
          <w:sz w:val="22"/>
          <w:szCs w:val="22"/>
        </w:rPr>
      </w:r>
    </w:p>
    <w:p>
      <w:pPr>
        <w:pStyle w:val="Normal"/>
        <w:widowControl w:val="false"/>
        <w:rPr>
          <w:rFonts w:ascii="Monaco" w:hAnsi="Monaco" w:cs="Monaco"/>
          <w:sz w:val="22"/>
          <w:szCs w:val="22"/>
        </w:rPr>
      </w:pPr>
      <w:r>
        <w:rPr>
          <w:rFonts w:cs="Monaco" w:ascii="Monaco" w:hAnsi="Monaco"/>
          <w:b/>
          <w:bCs/>
          <w:color w:val="7F0055"/>
          <w:sz w:val="22"/>
          <w:szCs w:val="22"/>
        </w:rPr>
        <w:t>import</w:t>
      </w:r>
      <w:r>
        <w:rPr>
          <w:rFonts w:cs="Monaco" w:ascii="Monaco" w:hAnsi="Monaco"/>
          <w:color w:val="000000"/>
          <w:sz w:val="22"/>
          <w:szCs w:val="22"/>
        </w:rPr>
        <w:t xml:space="preserve"> eu.paasage.camel.provider.ProviderModel;</w:t>
      </w:r>
    </w:p>
    <w:p>
      <w:pPr>
        <w:pStyle w:val="Normal"/>
        <w:widowControl w:val="false"/>
        <w:rPr>
          <w:rFonts w:ascii="Monaco" w:hAnsi="Monaco" w:cs="Monaco"/>
          <w:sz w:val="22"/>
          <w:szCs w:val="22"/>
        </w:rPr>
      </w:pPr>
      <w:r>
        <w:rPr>
          <w:rFonts w:cs="Monaco" w:ascii="Monaco" w:hAnsi="Monaco"/>
          <w:sz w:val="22"/>
          <w:szCs w:val="22"/>
        </w:rPr>
      </w:r>
    </w:p>
    <w:p>
      <w:pPr>
        <w:pStyle w:val="Normal"/>
        <w:widowControl w:val="false"/>
        <w:rPr>
          <w:rFonts w:ascii="Monaco" w:hAnsi="Monaco" w:cs="Monaco"/>
          <w:sz w:val="22"/>
          <w:szCs w:val="22"/>
        </w:rPr>
      </w:pPr>
      <w:r>
        <w:rPr>
          <w:rFonts w:cs="Monaco" w:ascii="Monaco" w:hAnsi="Monaco"/>
          <w:b/>
          <w:bCs/>
          <w:color w:val="7F0055"/>
          <w:sz w:val="22"/>
          <w:szCs w:val="22"/>
        </w:rPr>
        <w:t>public</w:t>
      </w:r>
      <w:r>
        <w:rPr>
          <w:rFonts w:cs="Monaco" w:ascii="Monaco" w:hAnsi="Monaco"/>
          <w:color w:val="000000"/>
          <w:sz w:val="22"/>
          <w:szCs w:val="22"/>
        </w:rPr>
        <w:t xml:space="preserve"> </w:t>
      </w:r>
      <w:r>
        <w:rPr>
          <w:rFonts w:cs="Monaco" w:ascii="Monaco" w:hAnsi="Monaco"/>
          <w:b/>
          <w:bCs/>
          <w:color w:val="7F0055"/>
          <w:sz w:val="22"/>
          <w:szCs w:val="22"/>
        </w:rPr>
        <w:t>interface</w:t>
      </w:r>
      <w:r>
        <w:rPr>
          <w:rFonts w:cs="Monaco" w:ascii="Monaco" w:hAnsi="Monaco"/>
          <w:color w:val="000000"/>
          <w:sz w:val="22"/>
          <w:szCs w:val="22"/>
        </w:rPr>
        <w:t xml:space="preserve"> IProviderPriceEstimator </w:t>
      </w:r>
      <w:r>
        <w:rPr>
          <w:rFonts w:cs="Monaco" w:ascii="Monaco" w:hAnsi="Monaco"/>
          <w:b/>
          <w:bCs/>
          <w:color w:val="7F0055"/>
          <w:sz w:val="22"/>
          <w:szCs w:val="22"/>
        </w:rPr>
        <w:t>extends</w:t>
      </w:r>
      <w:r>
        <w:rPr>
          <w:rFonts w:cs="Monaco" w:ascii="Monaco" w:hAnsi="Monaco"/>
          <w:color w:val="000000"/>
          <w:sz w:val="22"/>
          <w:szCs w:val="22"/>
        </w:rPr>
        <w:t xml:space="preserve"> IProviderPriceEstimatorFactory</w:t>
      </w:r>
    </w:p>
    <w:p>
      <w:pPr>
        <w:pStyle w:val="Normal"/>
        <w:widowControl w:val="false"/>
        <w:rPr>
          <w:rFonts w:ascii="Monaco" w:hAnsi="Monaco" w:cs="Monaco"/>
          <w:sz w:val="22"/>
          <w:szCs w:val="22"/>
        </w:rPr>
      </w:pPr>
      <w:r>
        <w:rPr>
          <w:rFonts w:cs="Monaco" w:ascii="Monaco" w:hAnsi="Monaco"/>
          <w:color w:val="000000"/>
          <w:sz w:val="22"/>
          <w:szCs w:val="22"/>
        </w:rPr>
        <w:t>{</w:t>
      </w:r>
    </w:p>
    <w:p>
      <w:pPr>
        <w:pStyle w:val="Normal"/>
        <w:widowControl w:val="false"/>
        <w:rPr>
          <w:rFonts w:ascii="Monaco" w:hAnsi="Monaco" w:cs="Monaco"/>
          <w:sz w:val="22"/>
          <w:szCs w:val="22"/>
        </w:rPr>
      </w:pPr>
      <w:r>
        <w:rPr>
          <w:rFonts w:cs="Monaco" w:ascii="Monaco" w:hAnsi="Monaco"/>
          <w:color w:val="000000"/>
          <w:sz w:val="22"/>
          <w:szCs w:val="22"/>
        </w:rPr>
        <w:tab/>
      </w:r>
    </w:p>
    <w:p>
      <w:pPr>
        <w:pStyle w:val="Normal"/>
        <w:widowControl w:val="false"/>
        <w:rPr>
          <w:rFonts w:ascii="Monaco" w:hAnsi="Monaco" w:cs="Monaco"/>
          <w:sz w:val="22"/>
          <w:szCs w:val="22"/>
        </w:rPr>
      </w:pPr>
      <w:r>
        <w:rPr>
          <w:rFonts w:cs="Monaco" w:ascii="Monaco" w:hAnsi="Monaco"/>
          <w:color w:val="000000"/>
          <w:sz w:val="22"/>
          <w:szCs w:val="22"/>
        </w:rPr>
        <w:tab/>
      </w:r>
      <w:r>
        <w:rPr>
          <w:rFonts w:cs="Monaco" w:ascii="Monaco" w:hAnsi="Monaco"/>
          <w:b/>
          <w:bCs/>
          <w:color w:val="7F0055"/>
          <w:sz w:val="22"/>
          <w:szCs w:val="22"/>
        </w:rPr>
        <w:t>public</w:t>
      </w:r>
      <w:r>
        <w:rPr>
          <w:rFonts w:cs="Monaco" w:ascii="Monaco" w:hAnsi="Monaco"/>
          <w:color w:val="000000"/>
          <w:sz w:val="22"/>
          <w:szCs w:val="22"/>
        </w:rPr>
        <w:t xml:space="preserve"> </w:t>
      </w:r>
      <w:r>
        <w:rPr>
          <w:rFonts w:cs="Monaco" w:ascii="Monaco" w:hAnsi="Monaco"/>
          <w:b/>
          <w:bCs/>
          <w:color w:val="7F0055"/>
          <w:sz w:val="22"/>
          <w:szCs w:val="22"/>
        </w:rPr>
        <w:t>double</w:t>
      </w:r>
      <w:r>
        <w:rPr>
          <w:rFonts w:cs="Monaco" w:ascii="Monaco" w:hAnsi="Monaco"/>
          <w:color w:val="000000"/>
          <w:sz w:val="22"/>
          <w:szCs w:val="22"/>
        </w:rPr>
        <w:t xml:space="preserve"> estimatePrice(ProviderModel </w:t>
      </w:r>
      <w:r>
        <w:rPr>
          <w:rFonts w:cs="Monaco" w:ascii="Monaco" w:hAnsi="Monaco"/>
          <w:color w:val="6A3E3E"/>
          <w:sz w:val="22"/>
          <w:szCs w:val="22"/>
        </w:rPr>
        <w:t>pm</w:t>
      </w:r>
      <w:r>
        <w:rPr>
          <w:rFonts w:cs="Monaco" w:ascii="Monaco" w:hAnsi="Monaco"/>
          <w:color w:val="000000"/>
          <w:sz w:val="22"/>
          <w:szCs w:val="22"/>
        </w:rPr>
        <w:t xml:space="preserve">); </w:t>
      </w:r>
    </w:p>
    <w:p>
      <w:pPr>
        <w:pStyle w:val="Normal"/>
        <w:widowControl w:val="false"/>
        <w:rPr>
          <w:rFonts w:ascii="Monaco" w:hAnsi="Monaco" w:cs="Monaco"/>
          <w:sz w:val="22"/>
          <w:szCs w:val="22"/>
        </w:rPr>
      </w:pPr>
      <w:r>
        <w:rPr>
          <w:rFonts w:cs="Monaco" w:ascii="Monaco" w:hAnsi="Monaco"/>
          <w:color w:val="000000"/>
          <w:sz w:val="22"/>
          <w:szCs w:val="22"/>
        </w:rPr>
        <w:tab/>
      </w:r>
    </w:p>
    <w:p>
      <w:pPr>
        <w:pStyle w:val="Normal"/>
        <w:widowControl w:val="false"/>
        <w:rPr>
          <w:rFonts w:ascii="Monaco" w:hAnsi="Monaco" w:cs="Monaco"/>
          <w:sz w:val="22"/>
          <w:szCs w:val="22"/>
        </w:rPr>
      </w:pPr>
      <w:r>
        <w:rPr>
          <w:rFonts w:cs="Monaco" w:ascii="Monaco" w:hAnsi="Monaco"/>
          <w:color w:val="000000"/>
          <w:sz w:val="22"/>
          <w:szCs w:val="22"/>
        </w:rPr>
        <w:tab/>
      </w:r>
      <w:r>
        <w:rPr>
          <w:rFonts w:cs="Monaco" w:ascii="Monaco" w:hAnsi="Monaco"/>
          <w:b/>
          <w:bCs/>
          <w:color w:val="7F0055"/>
          <w:sz w:val="22"/>
          <w:szCs w:val="22"/>
        </w:rPr>
        <w:t>public</w:t>
      </w:r>
      <w:r>
        <w:rPr>
          <w:rFonts w:cs="Monaco" w:ascii="Monaco" w:hAnsi="Monaco"/>
          <w:color w:val="000000"/>
          <w:sz w:val="22"/>
          <w:szCs w:val="22"/>
        </w:rPr>
        <w:t xml:space="preserve"> </w:t>
      </w:r>
      <w:r>
        <w:rPr>
          <w:rFonts w:cs="Monaco" w:ascii="Monaco" w:hAnsi="Monaco"/>
          <w:b/>
          <w:bCs/>
          <w:color w:val="7F0055"/>
          <w:sz w:val="22"/>
          <w:szCs w:val="22"/>
        </w:rPr>
        <w:t>double</w:t>
      </w:r>
      <w:r>
        <w:rPr>
          <w:rFonts w:cs="Monaco" w:ascii="Monaco" w:hAnsi="Monaco"/>
          <w:color w:val="000000"/>
          <w:sz w:val="22"/>
          <w:szCs w:val="22"/>
        </w:rPr>
        <w:t xml:space="preserve"> estimatePricePerHour(ProviderModel </w:t>
      </w:r>
      <w:r>
        <w:rPr>
          <w:rFonts w:cs="Monaco" w:ascii="Monaco" w:hAnsi="Monaco"/>
          <w:color w:val="6A3E3E"/>
          <w:sz w:val="22"/>
          <w:szCs w:val="22"/>
        </w:rPr>
        <w:t>pm</w:t>
      </w:r>
      <w:r>
        <w:rPr>
          <w:rFonts w:cs="Monaco" w:ascii="Monaco" w:hAnsi="Monaco"/>
          <w:color w:val="000000"/>
          <w:sz w:val="22"/>
          <w:szCs w:val="22"/>
        </w:rPr>
        <w:t xml:space="preserve">); </w:t>
      </w:r>
    </w:p>
    <w:p>
      <w:pPr>
        <w:pStyle w:val="Normal"/>
        <w:widowControl w:val="false"/>
        <w:rPr>
          <w:rFonts w:ascii="Monaco" w:hAnsi="Monaco" w:cs="Monaco"/>
          <w:sz w:val="22"/>
          <w:szCs w:val="22"/>
        </w:rPr>
      </w:pPr>
      <w:r>
        <w:rPr>
          <w:rFonts w:cs="Monaco" w:ascii="Monaco" w:hAnsi="Monaco"/>
          <w:color w:val="000000"/>
          <w:sz w:val="22"/>
          <w:szCs w:val="22"/>
        </w:rPr>
        <w:tab/>
      </w:r>
    </w:p>
    <w:p>
      <w:pPr>
        <w:pStyle w:val="Normal"/>
        <w:widowControl w:val="false"/>
        <w:rPr>
          <w:rFonts w:ascii="Monaco" w:hAnsi="Monaco" w:cs="Monaco"/>
          <w:sz w:val="22"/>
          <w:szCs w:val="22"/>
        </w:rPr>
      </w:pPr>
      <w:r>
        <w:rPr>
          <w:rFonts w:cs="Monaco" w:ascii="Monaco" w:hAnsi="Monaco"/>
          <w:color w:val="000000"/>
          <w:sz w:val="22"/>
          <w:szCs w:val="22"/>
        </w:rPr>
        <w:tab/>
      </w:r>
      <w:r>
        <w:rPr>
          <w:rFonts w:cs="Monaco" w:ascii="Monaco" w:hAnsi="Monaco"/>
          <w:b/>
          <w:bCs/>
          <w:color w:val="7F0055"/>
          <w:sz w:val="22"/>
          <w:szCs w:val="22"/>
        </w:rPr>
        <w:t>public</w:t>
      </w:r>
      <w:r>
        <w:rPr>
          <w:rFonts w:cs="Monaco" w:ascii="Monaco" w:hAnsi="Monaco"/>
          <w:color w:val="000000"/>
          <w:sz w:val="22"/>
          <w:szCs w:val="22"/>
        </w:rPr>
        <w:t xml:space="preserve"> </w:t>
      </w:r>
      <w:r>
        <w:rPr>
          <w:rFonts w:cs="Monaco" w:ascii="Monaco" w:hAnsi="Monaco"/>
          <w:b/>
          <w:bCs/>
          <w:color w:val="7F0055"/>
          <w:sz w:val="22"/>
          <w:szCs w:val="22"/>
        </w:rPr>
        <w:t>double</w:t>
      </w:r>
      <w:r>
        <w:rPr>
          <w:rFonts w:cs="Monaco" w:ascii="Monaco" w:hAnsi="Monaco"/>
          <w:color w:val="000000"/>
          <w:sz w:val="22"/>
          <w:szCs w:val="22"/>
        </w:rPr>
        <w:t xml:space="preserve"> estimatePricePerMonth(ProviderModel </w:t>
      </w:r>
      <w:r>
        <w:rPr>
          <w:rFonts w:cs="Monaco" w:ascii="Monaco" w:hAnsi="Monaco"/>
          <w:color w:val="6A3E3E"/>
          <w:sz w:val="22"/>
          <w:szCs w:val="22"/>
        </w:rPr>
        <w:t>pm</w:t>
      </w:r>
      <w:r>
        <w:rPr>
          <w:rFonts w:cs="Monaco" w:ascii="Monaco" w:hAnsi="Monaco"/>
          <w:color w:val="000000"/>
          <w:sz w:val="22"/>
          <w:szCs w:val="22"/>
        </w:rPr>
        <w:t xml:space="preserve">); </w:t>
      </w:r>
    </w:p>
    <w:p>
      <w:pPr>
        <w:pStyle w:val="Normal"/>
        <w:widowControl w:val="false"/>
        <w:rPr>
          <w:rFonts w:ascii="Monaco" w:hAnsi="Monaco" w:cs="Monaco"/>
          <w:sz w:val="22"/>
          <w:szCs w:val="22"/>
        </w:rPr>
      </w:pPr>
      <w:r>
        <w:rPr>
          <w:rFonts w:cs="Monaco" w:ascii="Monaco" w:hAnsi="Monaco"/>
          <w:color w:val="000000"/>
          <w:sz w:val="22"/>
          <w:szCs w:val="22"/>
        </w:rPr>
        <w:tab/>
      </w:r>
    </w:p>
    <w:p>
      <w:pPr>
        <w:pStyle w:val="Normal"/>
        <w:widowControl w:val="false"/>
        <w:rPr>
          <w:rFonts w:ascii="Monaco" w:hAnsi="Monaco" w:cs="Monaco"/>
          <w:sz w:val="22"/>
          <w:szCs w:val="22"/>
        </w:rPr>
      </w:pPr>
      <w:r>
        <w:rPr>
          <w:rFonts w:cs="Monaco" w:ascii="Monaco" w:hAnsi="Monaco"/>
          <w:color w:val="000000"/>
          <w:sz w:val="22"/>
          <w:szCs w:val="22"/>
        </w:rPr>
        <w:tab/>
      </w:r>
      <w:r>
        <w:rPr>
          <w:rFonts w:cs="Monaco" w:ascii="Monaco" w:hAnsi="Monaco"/>
          <w:b/>
          <w:bCs/>
          <w:color w:val="7F0055"/>
          <w:sz w:val="22"/>
          <w:szCs w:val="22"/>
        </w:rPr>
        <w:t>public</w:t>
      </w:r>
      <w:r>
        <w:rPr>
          <w:rFonts w:cs="Monaco" w:ascii="Monaco" w:hAnsi="Monaco"/>
          <w:color w:val="000000"/>
          <w:sz w:val="22"/>
          <w:szCs w:val="22"/>
        </w:rPr>
        <w:t xml:space="preserve"> </w:t>
      </w:r>
      <w:r>
        <w:rPr>
          <w:rFonts w:cs="Monaco" w:ascii="Monaco" w:hAnsi="Monaco"/>
          <w:b/>
          <w:bCs/>
          <w:color w:val="7F0055"/>
          <w:sz w:val="22"/>
          <w:szCs w:val="22"/>
        </w:rPr>
        <w:t>double</w:t>
      </w:r>
      <w:r>
        <w:rPr>
          <w:rFonts w:cs="Monaco" w:ascii="Monaco" w:hAnsi="Monaco"/>
          <w:color w:val="000000"/>
          <w:sz w:val="22"/>
          <w:szCs w:val="22"/>
        </w:rPr>
        <w:t xml:space="preserve"> estimatePricePerYear(ProviderModel </w:t>
      </w:r>
      <w:r>
        <w:rPr>
          <w:rFonts w:cs="Monaco" w:ascii="Monaco" w:hAnsi="Monaco"/>
          <w:color w:val="6A3E3E"/>
          <w:sz w:val="22"/>
          <w:szCs w:val="22"/>
        </w:rPr>
        <w:t>pm</w:t>
      </w:r>
      <w:r>
        <w:rPr>
          <w:rFonts w:cs="Monaco" w:ascii="Monaco" w:hAnsi="Monaco"/>
          <w:color w:val="000000"/>
          <w:sz w:val="22"/>
          <w:szCs w:val="22"/>
        </w:rPr>
        <w:t xml:space="preserve">); </w:t>
      </w:r>
    </w:p>
    <w:p>
      <w:pPr>
        <w:pStyle w:val="Normal"/>
        <w:widowControl w:val="false"/>
        <w:rPr>
          <w:rFonts w:ascii="Monaco" w:hAnsi="Monaco" w:cs="Monaco"/>
          <w:sz w:val="22"/>
          <w:szCs w:val="22"/>
        </w:rPr>
      </w:pPr>
      <w:r>
        <w:rPr>
          <w:rFonts w:cs="Monaco" w:ascii="Monaco" w:hAnsi="Monaco"/>
          <w:sz w:val="22"/>
          <w:szCs w:val="22"/>
        </w:rPr>
      </w:r>
    </w:p>
    <w:p>
      <w:pPr>
        <w:pStyle w:val="Normal"/>
        <w:rPr/>
      </w:pPr>
      <w:r>
        <w:rPr>
          <w:rFonts w:cs="Monaco" w:ascii="Monaco" w:hAnsi="Monaco"/>
          <w:color w:val="000000"/>
          <w:sz w:val="22"/>
          <w:szCs w:val="22"/>
        </w:rPr>
        <w:t>}</w:t>
      </w:r>
      <w:r>
        <w:rPr/>
        <w:t xml:space="preserve"> </w:t>
      </w:r>
    </w:p>
    <w:p>
      <w:pPr>
        <w:pStyle w:val="Normal"/>
        <w:rPr>
          <w:b/>
          <w:b/>
        </w:rPr>
      </w:pPr>
      <w:r>
        <w:rPr>
          <w:b/>
        </w:rPr>
      </w:r>
    </w:p>
    <w:p>
      <w:pPr>
        <w:pStyle w:val="Normal"/>
        <w:rPr>
          <w:b/>
          <w:b/>
        </w:rPr>
      </w:pPr>
      <w:r>
        <w:rPr>
          <w:b/>
        </w:rPr>
        <w:t>References</w:t>
      </w:r>
    </w:p>
    <w:p>
      <w:pPr>
        <w:pStyle w:val="Normal"/>
        <w:rPr>
          <w:b/>
          <w:b/>
        </w:rPr>
      </w:pPr>
      <w:r>
        <w:rPr>
          <w:b/>
        </w:rPr>
      </w:r>
    </w:p>
    <w:p>
      <w:pPr>
        <w:pStyle w:val="Normal"/>
        <w:numPr>
          <w:ilvl w:val="0"/>
          <w:numId w:val="1"/>
        </w:numPr>
        <w:rPr/>
      </w:pPr>
      <w:r>
        <w:rPr/>
        <w:t xml:space="preserve">Quinton, C., Romero, D., Duchien, L.: SALOON: a platform for selecting and configuring cloud environments. Software – Practice and Experience p. 10.1002/spe.2311 (Jan 2015), http://dx.doi.org/10.1002/spe.2311 </w:t>
      </w:r>
    </w:p>
    <w:p>
      <w:pPr>
        <w:pStyle w:val="Normal"/>
        <w:rPr>
          <w:b/>
          <w:b/>
        </w:rPr>
      </w:pPr>
      <w:r>
        <w:rPr>
          <w:b/>
        </w:rPr>
      </w:r>
    </w:p>
    <w:p>
      <w:pPr>
        <w:pStyle w:val="Normal"/>
        <w:rPr>
          <w:b/>
          <w:b/>
        </w:rPr>
      </w:pPr>
      <w:r>
        <w:rPr>
          <w:b/>
        </w:rPr>
      </w:r>
    </w:p>
    <w:p>
      <w:pPr>
        <w:pStyle w:val="Normal"/>
        <w:rPr>
          <w:b/>
          <w:b/>
        </w:rPr>
      </w:pPr>
      <w:r>
        <w:rPr>
          <w:b/>
        </w:rPr>
      </w:r>
    </w:p>
    <w:p>
      <w:pPr>
        <w:pStyle w:val="Normal"/>
        <w:rPr/>
      </w:pPr>
      <w:r>
        <w:rPr/>
      </w:r>
    </w:p>
    <w:sectPr>
      <w:type w:val="nextPage"/>
      <w:pgSz w:w="11906" w:h="16838"/>
      <w:pgMar w:left="1800" w:right="1800" w:header="0" w:top="1440" w:footer="0" w:bottom="1440"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Lucida Grande">
    <w:charset w:val="01"/>
    <w:family w:val="roman"/>
    <w:pitch w:val="variable"/>
  </w:font>
  <w:font w:name="Liberation Sans">
    <w:altName w:val="Arial"/>
    <w:charset w:val="01"/>
    <w:family w:val="swiss"/>
    <w:pitch w:val="variable"/>
  </w:font>
  <w:font w:name="Courier New">
    <w:charset w:val="01"/>
    <w:family w:val="roman"/>
    <w:pitch w:val="variable"/>
  </w:font>
  <w:font w:name="Monaco">
    <w:charset w:val="01"/>
    <w:family w:val="roman"/>
    <w:pitch w:val="variable"/>
  </w:font>
  <w:font w:name="Cambria">
    <w:charset w:val="01"/>
    <w:family w:val="roman"/>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360" w:hanging="360"/>
      </w:pPr>
    </w:lvl>
    <w:lvl w:ilvl="1">
      <w:start w:val="1"/>
      <w:numFmt w:val="none"/>
      <w:suff w:val="nothing"/>
      <w:lvlText w:val=""/>
      <w:lvlJc w:val="left"/>
      <w:pPr>
        <w:ind w:left="1080" w:hanging="360"/>
      </w:pPr>
    </w:lvl>
    <w:lvl w:ilvl="2">
      <w:start w:val="1"/>
      <w:numFmt w:val="none"/>
      <w:suff w:val="nothing"/>
      <w:lvlText w:val=""/>
      <w:lvlJc w:val="left"/>
      <w:pPr>
        <w:ind w:left="1440" w:hanging="360"/>
      </w:pPr>
    </w:lvl>
    <w:lvl w:ilvl="3">
      <w:start w:val="1"/>
      <w:numFmt w:val="none"/>
      <w:suff w:val="nothing"/>
      <w:lvlText w:val=""/>
      <w:lvlJc w:val="left"/>
      <w:pPr>
        <w:ind w:left="1800" w:hanging="360"/>
      </w:pPr>
    </w:lvl>
    <w:lvl w:ilvl="4">
      <w:start w:val="1"/>
      <w:numFmt w:val="none"/>
      <w:suff w:val="nothing"/>
      <w:lvlText w:val=""/>
      <w:lvlJc w:val="left"/>
      <w:pPr>
        <w:ind w:left="2160" w:hanging="360"/>
      </w:pPr>
    </w:lvl>
    <w:lvl w:ilvl="5">
      <w:start w:val="1"/>
      <w:numFmt w:val="none"/>
      <w:suff w:val="nothing"/>
      <w:lvlText w:val=""/>
      <w:lvlJc w:val="left"/>
      <w:pPr>
        <w:ind w:left="2520" w:hanging="360"/>
      </w:pPr>
    </w:lvl>
    <w:lvl w:ilvl="6">
      <w:start w:val="1"/>
      <w:numFmt w:val="none"/>
      <w:suff w:val="nothing"/>
      <w:lvlText w:val=""/>
      <w:lvlJc w:val="left"/>
      <w:pPr>
        <w:ind w:left="2880" w:hanging="360"/>
      </w:pPr>
    </w:lvl>
    <w:lvl w:ilvl="7">
      <w:start w:val="1"/>
      <w:numFmt w:val="none"/>
      <w:suff w:val="nothing"/>
      <w:lvlText w:val=""/>
      <w:lvlJc w:val="left"/>
      <w:pPr>
        <w:ind w:left="3240" w:hanging="360"/>
      </w:pPr>
    </w:lvl>
    <w:lvl w:ilvl="8">
      <w:start w:val="1"/>
      <w:numFmt w:val="none"/>
      <w:suff w:val="nothing"/>
      <w:lvlText w:val=""/>
      <w:lvlJc w:val="left"/>
      <w:pPr>
        <w:ind w:left="3600" w:hanging="360"/>
      </w:pPr>
    </w:lvl>
  </w:abstractNum>
  <w:abstractNum w:abstractNumId="2">
    <w:lvl w:ilvl="0">
      <w:start w:val="2"/>
      <w:numFmt w:val="bullet"/>
      <w:lvlText w:val="-"/>
      <w:lvlJc w:val="left"/>
      <w:pPr>
        <w:ind w:left="720" w:hanging="360"/>
      </w:pPr>
      <w:rPr>
        <w:rFonts w:ascii="Cambria" w:hAnsi="Cambria" w:cs="Cambria" w:hint="default"/>
        <w:rFonts w:cs=""/>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3">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0"/>
  <w:defaultTabStop w:val="72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4"/>
        <w:szCs w:val="24"/>
        <w:lang w:val="en-US" w:eastAsia="en-US" w:bidi="ar-SA"/>
      </w:rPr>
    </w:rPrDefault>
    <w:pPrDefault>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c627e7"/>
    <w:pPr>
      <w:widowControl/>
      <w:bidi w:val="0"/>
      <w:jc w:val="left"/>
    </w:pPr>
    <w:rPr>
      <w:rFonts w:ascii="Cambria" w:hAnsi="Cambria" w:eastAsia="ＭＳ 明朝" w:cs="" w:asciiTheme="minorHAnsi" w:cstheme="minorBidi" w:eastAsiaTheme="minorEastAsia" w:hAnsiTheme="minorHAnsi"/>
      <w:color w:val="auto"/>
      <w:sz w:val="24"/>
      <w:szCs w:val="24"/>
      <w:lang w:val="en-US" w:eastAsia="en-US" w:bidi="ar-SA"/>
    </w:rPr>
  </w:style>
  <w:style w:type="paragraph" w:styleId="Heading1">
    <w:name w:val="Heading 1"/>
    <w:basedOn w:val="Heading"/>
    <w:qFormat/>
    <w:pPr/>
    <w:rPr/>
  </w:style>
  <w:style w:type="paragraph" w:styleId="Heading2">
    <w:name w:val="Heading 2"/>
    <w:basedOn w:val="Heading"/>
    <w:qFormat/>
    <w:pPr/>
    <w:rPr/>
  </w:style>
  <w:style w:type="paragraph" w:styleId="Heading3">
    <w:name w:val="Heading 3"/>
    <w:basedOn w:val="Heading"/>
    <w:qFormat/>
    <w:pPr/>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085db4"/>
    <w:rPr>
      <w:color w:val="808080"/>
    </w:rPr>
  </w:style>
  <w:style w:type="character" w:styleId="BalloonTextChar" w:customStyle="1">
    <w:name w:val="Balloon Text Char"/>
    <w:basedOn w:val="DefaultParagraphFont"/>
    <w:link w:val="BalloonText"/>
    <w:uiPriority w:val="99"/>
    <w:semiHidden/>
    <w:qFormat/>
    <w:rsid w:val="00085db4"/>
    <w:rPr>
      <w:rFonts w:ascii="Lucida Grande" w:hAnsi="Lucida Grande" w:cs="Lucida Grande"/>
      <w:sz w:val="18"/>
      <w:szCs w:val="18"/>
    </w:rPr>
  </w:style>
  <w:style w:type="character" w:styleId="Annotationreference">
    <w:name w:val="annotation reference"/>
    <w:basedOn w:val="DefaultParagraphFont"/>
    <w:uiPriority w:val="99"/>
    <w:semiHidden/>
    <w:unhideWhenUsed/>
    <w:qFormat/>
    <w:rsid w:val="00b40b1b"/>
    <w:rPr>
      <w:sz w:val="18"/>
      <w:szCs w:val="18"/>
    </w:rPr>
  </w:style>
  <w:style w:type="character" w:styleId="CommentTextChar" w:customStyle="1">
    <w:name w:val="Comment Text Char"/>
    <w:basedOn w:val="DefaultParagraphFont"/>
    <w:link w:val="CommentText"/>
    <w:uiPriority w:val="99"/>
    <w:semiHidden/>
    <w:qFormat/>
    <w:rsid w:val="00b40b1b"/>
    <w:rPr/>
  </w:style>
  <w:style w:type="character" w:styleId="CommentSubjectChar" w:customStyle="1">
    <w:name w:val="Comment Subject Char"/>
    <w:basedOn w:val="CommentTextChar"/>
    <w:link w:val="CommentSubject"/>
    <w:uiPriority w:val="99"/>
    <w:semiHidden/>
    <w:qFormat/>
    <w:rsid w:val="00b40b1b"/>
    <w:rPr>
      <w:b/>
      <w:bCs/>
      <w:sz w:val="20"/>
      <w:szCs w:val="20"/>
    </w:rPr>
  </w:style>
  <w:style w:type="character" w:styleId="ListLabel1">
    <w:name w:val="ListLabel 1"/>
    <w:qFormat/>
    <w:rPr>
      <w:rFonts w:eastAsia="ＭＳ 明朝" w:cs=""/>
    </w:rPr>
  </w:style>
  <w:style w:type="paragraph" w:styleId="Heading">
    <w:name w:val="Heading"/>
    <w:basedOn w:val="Normal"/>
    <w:next w:val="TextBody"/>
    <w:qFormat/>
    <w:pPr>
      <w:keepNext/>
      <w:spacing w:before="240" w:after="120"/>
    </w:pPr>
    <w:rPr>
      <w:rFonts w:ascii="Liberation Sans" w:hAnsi="Liberation Sans" w:eastAsia="Droid Sans Fallback" w:cs="FreeSans"/>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uiPriority w:val="34"/>
    <w:qFormat/>
    <w:rsid w:val="00e92435"/>
    <w:pPr>
      <w:spacing w:before="0" w:after="0"/>
      <w:ind w:left="720" w:hanging="0"/>
      <w:contextualSpacing/>
    </w:pPr>
    <w:rPr/>
  </w:style>
  <w:style w:type="paragraph" w:styleId="BalloonText">
    <w:name w:val="Balloon Text"/>
    <w:basedOn w:val="Normal"/>
    <w:link w:val="BalloonTextChar"/>
    <w:uiPriority w:val="99"/>
    <w:semiHidden/>
    <w:unhideWhenUsed/>
    <w:qFormat/>
    <w:rsid w:val="00085db4"/>
    <w:pPr/>
    <w:rPr>
      <w:rFonts w:ascii="Lucida Grande" w:hAnsi="Lucida Grande" w:cs="Lucida Grande"/>
      <w:sz w:val="18"/>
      <w:szCs w:val="18"/>
    </w:rPr>
  </w:style>
  <w:style w:type="paragraph" w:styleId="Annotationtext">
    <w:name w:val="annotation text"/>
    <w:basedOn w:val="Normal"/>
    <w:link w:val="CommentTextChar"/>
    <w:uiPriority w:val="99"/>
    <w:semiHidden/>
    <w:unhideWhenUsed/>
    <w:qFormat/>
    <w:rsid w:val="00b40b1b"/>
    <w:pPr/>
    <w:rPr/>
  </w:style>
  <w:style w:type="paragraph" w:styleId="Annotationsubject">
    <w:name w:val="annotation subject"/>
    <w:basedOn w:val="Annotationtext"/>
    <w:link w:val="CommentSubjectChar"/>
    <w:uiPriority w:val="99"/>
    <w:semiHidden/>
    <w:unhideWhenUsed/>
    <w:qFormat/>
    <w:rsid w:val="00b40b1b"/>
    <w:pPr/>
    <w:rPr>
      <w:b/>
      <w:bCs/>
      <w:sz w:val="20"/>
      <w:szCs w:val="20"/>
    </w:rPr>
  </w:style>
  <w:style w:type="paragraph" w:styleId="Quotations">
    <w:name w:val="Quotations"/>
    <w:basedOn w:val="Normal"/>
    <w:qFormat/>
    <w:pPr/>
    <w:rPr/>
  </w:style>
  <w:style w:type="paragraph" w:styleId="Title">
    <w:name w:val="Title"/>
    <w:basedOn w:val="Heading"/>
    <w:qFormat/>
    <w:pPr/>
    <w:rPr/>
  </w:style>
  <w:style w:type="paragraph" w:styleId="Subtitle">
    <w:name w:val="Subtitle"/>
    <w:basedOn w:val="Heading"/>
    <w:qFormat/>
    <w:pPr/>
    <w:rPr/>
  </w:style>
  <w:style w:type="numbering" w:styleId="NoList" w:default="1">
    <w:name w:val="No List"/>
    <w:uiPriority w:val="99"/>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wmf"/><Relationship Id="rId7" Type="http://schemas.openxmlformats.org/officeDocument/2006/relationships/image" Target="media/image6.wmf"/><Relationship Id="rId8" Type="http://schemas.openxmlformats.org/officeDocument/2006/relationships/image" Target="media/image7.wmf"/><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667</TotalTime>
  <Application>LibreOffice/5.0.1.2.0$Linux_X86_64 LibreOffice_project/00m0$Build-2</Application>
  <Paragraphs>77</Paragraphs>
  <Company>Inria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2015-02-02T09:41:00Z</dcterms:created>
  <dc:creator>Daniel Romero</dc:creator>
  <dc:language>en-US</dc:language>
  <cp:lastModifiedBy>christian </cp:lastModifiedBy>
  <dcterms:modified xsi:type="dcterms:W3CDTF">2015-10-01T13:44:00Z</dcterms:modified>
  <cp:revision>455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Inria</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