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43B"/>
          <w:sz w:val="44"/>
        </w:rPr>
        <w:t>Proyecto Dashboard &amp; Análisis de Datos</w:t>
      </w:r>
    </w:p>
    <w:p>
      <w:pPr>
        <w:jc w:val="center"/>
      </w:pPr>
      <w:r>
        <w:rPr>
          <w:color w:val="505050"/>
          <w:sz w:val="24"/>
        </w:rPr>
        <w:t>Telco Customer Churn - Análisis de abandono de clientes</w:t>
      </w:r>
    </w:p>
    <w:p>
      <w:pPr>
        <w:spacing w:after="120"/>
      </w:pPr>
      <w:r>
        <w:t>Autora: Irene Muñoz</w:t>
      </w:r>
    </w:p>
    <w:p>
      <w:pPr>
        <w:spacing w:after="120"/>
      </w:pPr>
      <w:r>
        <w:t>Entrega preparada para repositorio público de GitHub, con datos originales, datos limpios, dashboard, informe y README.</w:t>
      </w:r>
    </w:p>
    <w:p>
      <w:pPr>
        <w:spacing w:after="120"/>
      </w:pPr>
      <w:r>
        <w:t>Fuente: IBM Cognos Analytics sample Telco Customer Churn; espejo público en Kaggle.</w:t>
      </w:r>
    </w:p>
    <w:p>
      <w:r>
        <w:drawing>
          <wp:inline xmlns:a="http://schemas.openxmlformats.org/drawingml/2006/main" xmlns:pic="http://schemas.openxmlformats.org/drawingml/2006/picture">
            <wp:extent cx="6217920" cy="3045150"/>
            <wp:docPr id="1" name="Picture 1"/>
            <wp:cNvGraphicFramePr>
              <a:graphicFrameLocks noChangeAspect="1"/>
            </wp:cNvGraphicFramePr>
            <a:graphic>
              <a:graphicData uri="http://schemas.openxmlformats.org/drawingml/2006/picture">
                <pic:pic>
                  <pic:nvPicPr>
                    <pic:cNvPr id="0" name="dashboard_preview.png"/>
                    <pic:cNvPicPr/>
                  </pic:nvPicPr>
                  <pic:blipFill>
                    <a:blip r:embed="rId9"/>
                    <a:stretch>
                      <a:fillRect/>
                    </a:stretch>
                  </pic:blipFill>
                  <pic:spPr>
                    <a:xfrm>
                      <a:off x="0" y="0"/>
                      <a:ext cx="6217920" cy="3045150"/>
                    </a:xfrm>
                    <a:prstGeom prst="rect"/>
                  </pic:spPr>
                </pic:pic>
              </a:graphicData>
            </a:graphic>
          </wp:inline>
        </w:drawing>
      </w:r>
    </w:p>
    <w:p>
      <w:r>
        <w:br w:type="page"/>
      </w:r>
    </w:p>
    <w:p>
      <w:pPr>
        <w:pStyle w:val="Heading1"/>
      </w:pPr>
      <w:r>
        <w:t>1. Resumen ejecutivo</w:t>
      </w:r>
    </w:p>
    <w:p>
      <w:pPr>
        <w:spacing w:after="120"/>
      </w:pPr>
      <w:r>
        <w:t>El proyecto analiza 7,043 clientes de una compañía telco ficticia. El objetivo es identificar patrones de abandono, cuantificar el impacto económico del churn y diseñar un dashboard que ayude a priorizar acciones de retención.</w:t>
      </w:r>
    </w:p>
    <w:p>
      <w:pPr>
        <w:spacing w:after="120"/>
      </w:pPr>
      <w:r>
        <w:t>La tasa global de churn es del 26.5%: 1,869 clientes causaron baja frente a 5,174 activos. La cartera genera €456,116.60 de ingresos mensuales, y los clientes que abandonaron representan €139,130.85 de ingreso mensual en riesgo.</w:t>
      </w:r>
    </w:p>
    <w:p>
      <w:pPr>
        <w:pStyle w:val="ListBullet"/>
      </w:pPr>
      <w:r>
        <w:t>El riesgo no está distribuido homogéneamente; se concentra en contratos month-to-month, clientes de menor antigüedad y pago Electronic check.</w:t>
      </w:r>
    </w:p>
    <w:p>
      <w:pPr>
        <w:pStyle w:val="ListBullet"/>
      </w:pPr>
      <w:r>
        <w:t>El dashboard permite priorizar por volumen, tasa de churn e impacto económico.</w:t>
      </w:r>
    </w:p>
    <w:p>
      <w:pPr>
        <w:pStyle w:val="ListBullet"/>
      </w:pPr>
      <w:r>
        <w:t>La recomendación principal es combinar onboarding temprano, incentivos de permanencia y migración a contratos anuales.</w:t>
      </w:r>
    </w:p>
    <w:p>
      <w:pPr>
        <w:pStyle w:val="Heading1"/>
      </w:pPr>
      <w:r>
        <w:t>2. Objetivos y alcance</w:t>
      </w:r>
    </w:p>
    <w:p>
      <w:pPr>
        <w:pStyle w:val="ListBullet"/>
      </w:pPr>
      <w:r>
        <w:t>Aplicar un proceso completo de EDA: carga, comprensión, limpieza, transformación, análisis y visualización.</w:t>
      </w:r>
    </w:p>
    <w:p>
      <w:pPr>
        <w:pStyle w:val="ListBullet"/>
      </w:pPr>
      <w:r>
        <w:t>Cumplir y superar los mínimos del proyecto: más de 2.000 filas y más de 10 columnas.</w:t>
      </w:r>
    </w:p>
    <w:p>
      <w:pPr>
        <w:pStyle w:val="ListBullet"/>
      </w:pPr>
      <w:r>
        <w:t>Crear variables derivadas que mejoren la capacidad de análisis y segmentación.</w:t>
      </w:r>
    </w:p>
    <w:p>
      <w:pPr>
        <w:pStyle w:val="ListBullet"/>
      </w:pPr>
      <w:r>
        <w:t>Entregar un repositorio ordenado y documentado para evaluación.</w:t>
      </w:r>
    </w:p>
    <w:p>
      <w:pPr>
        <w:pStyle w:val="Heading1"/>
      </w:pPr>
      <w:r>
        <w:t>3. Dataset y variables</w:t>
      </w:r>
    </w:p>
    <w:p>
      <w:pPr>
        <w:spacing w:after="120"/>
      </w:pPr>
      <w:r>
        <w:t>Cada fila representa un cliente. La variable objetivo es Churn, que indica si el cliente abandonó en el último periodo observado. Las columnas cubren dimensiones demográficas, servicios contratados, tipo de contrato, forma de pago y cargos económicos.</w:t>
      </w:r>
    </w:p>
    <w:tbl>
      <w:tblPr>
        <w:tblStyle w:val="TableGrid"/>
        <w:tblW w:type="auto" w:w="0"/>
        <w:jc w:val="center"/>
        <w:tblLook w:firstColumn="1" w:firstRow="1" w:lastColumn="0" w:lastRow="0" w:noHBand="0" w:noVBand="1" w:val="04A0"/>
      </w:tblPr>
      <w:tblGrid>
        <w:gridCol w:w="5040"/>
        <w:gridCol w:w="5040"/>
      </w:tblGrid>
      <w:tr>
        <w:tc>
          <w:tcPr>
            <w:tcW w:type="dxa" w:w="5040"/>
            <w:shd w:fill="12343B"/>
          </w:tcPr>
          <w:p>
            <w:r>
              <w:rPr>
                <w:b/>
                <w:color w:val="FFFFFF"/>
                <w:sz w:val="16"/>
              </w:rPr>
              <w:t>Indicador</w:t>
            </w:r>
          </w:p>
        </w:tc>
        <w:tc>
          <w:tcPr>
            <w:tcW w:type="dxa" w:w="5040"/>
            <w:shd w:fill="12343B"/>
          </w:tcPr>
          <w:p>
            <w:r>
              <w:rPr>
                <w:b/>
                <w:color w:val="FFFFFF"/>
                <w:sz w:val="16"/>
              </w:rPr>
              <w:t>Valor</w:t>
            </w:r>
          </w:p>
        </w:tc>
      </w:tr>
      <w:tr>
        <w:tc>
          <w:tcPr>
            <w:tcW w:type="dxa" w:w="5040"/>
          </w:tcPr>
          <w:p>
            <w:r>
              <w:rPr>
                <w:sz w:val="16"/>
              </w:rPr>
              <w:t>Filas</w:t>
            </w:r>
          </w:p>
        </w:tc>
        <w:tc>
          <w:tcPr>
            <w:tcW w:type="dxa" w:w="5040"/>
          </w:tcPr>
          <w:p>
            <w:r>
              <w:rPr>
                <w:sz w:val="16"/>
              </w:rPr>
              <w:t>7043</w:t>
            </w:r>
          </w:p>
        </w:tc>
      </w:tr>
      <w:tr>
        <w:tc>
          <w:tcPr>
            <w:tcW w:type="dxa" w:w="5040"/>
          </w:tcPr>
          <w:p>
            <w:r>
              <w:rPr>
                <w:sz w:val="16"/>
              </w:rPr>
              <w:t>Columnas originales</w:t>
            </w:r>
          </w:p>
        </w:tc>
        <w:tc>
          <w:tcPr>
            <w:tcW w:type="dxa" w:w="5040"/>
          </w:tcPr>
          <w:p>
            <w:r>
              <w:rPr>
                <w:sz w:val="16"/>
              </w:rPr>
              <w:t>21</w:t>
            </w:r>
          </w:p>
        </w:tc>
      </w:tr>
      <w:tr>
        <w:tc>
          <w:tcPr>
            <w:tcW w:type="dxa" w:w="5040"/>
          </w:tcPr>
          <w:p>
            <w:r>
              <w:rPr>
                <w:sz w:val="16"/>
              </w:rPr>
              <w:t>Columnas finales</w:t>
            </w:r>
          </w:p>
        </w:tc>
        <w:tc>
          <w:tcPr>
            <w:tcW w:type="dxa" w:w="5040"/>
          </w:tcPr>
          <w:p>
            <w:r>
              <w:rPr>
                <w:sz w:val="16"/>
              </w:rPr>
              <w:t>38</w:t>
            </w:r>
          </w:p>
        </w:tc>
      </w:tr>
      <w:tr>
        <w:tc>
          <w:tcPr>
            <w:tcW w:type="dxa" w:w="5040"/>
          </w:tcPr>
          <w:p>
            <w:r>
              <w:rPr>
                <w:sz w:val="16"/>
              </w:rPr>
              <w:t>Duplicados exactos</w:t>
            </w:r>
          </w:p>
        </w:tc>
        <w:tc>
          <w:tcPr>
            <w:tcW w:type="dxa" w:w="5040"/>
          </w:tcPr>
          <w:p>
            <w:r>
              <w:rPr>
                <w:sz w:val="16"/>
              </w:rPr>
              <w:t>0</w:t>
            </w:r>
          </w:p>
        </w:tc>
      </w:tr>
      <w:tr>
        <w:tc>
          <w:tcPr>
            <w:tcW w:type="dxa" w:w="5040"/>
          </w:tcPr>
          <w:p>
            <w:r>
              <w:rPr>
                <w:sz w:val="16"/>
              </w:rPr>
              <w:t>Valores TotalCharges imputados</w:t>
            </w:r>
          </w:p>
        </w:tc>
        <w:tc>
          <w:tcPr>
            <w:tcW w:type="dxa" w:w="5040"/>
          </w:tcPr>
          <w:p>
            <w:r>
              <w:rPr>
                <w:sz w:val="16"/>
              </w:rPr>
              <w:t>11</w:t>
            </w:r>
          </w:p>
        </w:tc>
      </w:tr>
    </w:tbl>
    <w:p>
      <w:r>
        <w:br w:type="page"/>
      </w:r>
    </w:p>
    <w:p>
      <w:pPr>
        <w:pStyle w:val="Heading1"/>
      </w:pPr>
      <w:r>
        <w:t>4. Metodología de limpieza</w:t>
      </w:r>
    </w:p>
    <w:p>
      <w:pPr>
        <w:spacing w:after="120"/>
      </w:pPr>
      <w:r>
        <w:t>Se aplicó una limpieza orientada a preservar información y facilitar análisis en Excel/Google Sheets. No se eliminaron registros por outliers porque los extremos de cargos o antigüedad son informativos en un contexto de negocio.</w:t>
      </w:r>
    </w:p>
    <w:p>
      <w:pPr>
        <w:pStyle w:val="ListBullet"/>
      </w:pPr>
      <w:r>
        <w:t>Se verificaron duplicados exactos: 0.</w:t>
      </w:r>
    </w:p>
    <w:p>
      <w:pPr>
        <w:pStyle w:val="ListBullet"/>
      </w:pPr>
      <w:r>
        <w:t>TotalCharges se convirtió a numérico. Los valores vacíos se imputaron a 0 porque se corresponden con clientes de tenure 0.</w:t>
      </w:r>
    </w:p>
    <w:p>
      <w:pPr>
        <w:pStyle w:val="ListBullet"/>
      </w:pPr>
      <w:r>
        <w:t>Se estandarizaron textos categóricos eliminando espacios.</w:t>
      </w:r>
    </w:p>
    <w:p>
      <w:pPr>
        <w:pStyle w:val="ListBullet"/>
      </w:pPr>
      <w:r>
        <w:t>Se convirtió SeniorCitizen en una categoría legible Sí/No.</w:t>
      </w:r>
    </w:p>
    <w:p>
      <w:pPr>
        <w:pStyle w:val="Heading2"/>
      </w:pPr>
      <w:r>
        <w:t>4.1. Variables derivadas</w:t>
      </w:r>
    </w:p>
    <w:p>
      <w:pPr>
        <w:pStyle w:val="ListBullet"/>
      </w:pPr>
      <w:r>
        <w:t>ChurnFlag: 1 si el cliente causó baja, 0 si continúa activo.</w:t>
      </w:r>
    </w:p>
    <w:p>
      <w:pPr>
        <w:pStyle w:val="ListBullet"/>
      </w:pPr>
      <w:r>
        <w:t>TenureGroup: tramos de antigüedad (0-12, 13-24, 25-48 y 49-72 meses).</w:t>
      </w:r>
    </w:p>
    <w:p>
      <w:pPr>
        <w:pStyle w:val="ListBullet"/>
      </w:pPr>
      <w:r>
        <w:t>MonthlyChargeGroup: segmentación de cargo mensual.</w:t>
      </w:r>
    </w:p>
    <w:p>
      <w:pPr>
        <w:pStyle w:val="ListBullet"/>
      </w:pPr>
      <w:r>
        <w:t>RevenueRisk: ingresos mensuales asociados a clientes que abandonaron.</w:t>
      </w:r>
    </w:p>
    <w:p>
      <w:pPr>
        <w:pStyle w:val="ListBullet"/>
      </w:pPr>
      <w:r>
        <w:t>NumServices: número de servicios contratados.</w:t>
      </w:r>
    </w:p>
    <w:p>
      <w:pPr>
        <w:pStyle w:val="ListBullet"/>
      </w:pPr>
      <w:r>
        <w:t>ChurnRiskProfile: perfil de riesgo creado con reglas de negocio para lectura ejecutiva.</w:t>
      </w:r>
    </w:p>
    <w:p>
      <w:pPr>
        <w:pStyle w:val="Heading2"/>
      </w:pPr>
      <w:r>
        <w:t>4.2. Outliers</w:t>
      </w:r>
    </w:p>
    <w:p>
      <w:pPr>
        <w:spacing w:after="120"/>
      </w:pPr>
      <w:r>
        <w:t>Se usó el criterio IQR para auditar valores extremos. El resultado no exige eliminación automática; se documenta para transparencia.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2343B"/>
          </w:tcPr>
          <w:p>
            <w:r>
              <w:rPr>
                <w:b/>
                <w:color w:val="FFFFFF"/>
                <w:sz w:val="16"/>
              </w:rPr>
              <w:t>Variable</w:t>
            </w:r>
          </w:p>
        </w:tc>
        <w:tc>
          <w:tcPr>
            <w:tcW w:type="dxa" w:w="1440"/>
            <w:shd w:fill="12343B"/>
          </w:tcPr>
          <w:p>
            <w:r>
              <w:rPr>
                <w:b/>
                <w:color w:val="FFFFFF"/>
                <w:sz w:val="16"/>
              </w:rPr>
              <w:t>Q1</w:t>
            </w:r>
          </w:p>
        </w:tc>
        <w:tc>
          <w:tcPr>
            <w:tcW w:type="dxa" w:w="1440"/>
            <w:shd w:fill="12343B"/>
          </w:tcPr>
          <w:p>
            <w:r>
              <w:rPr>
                <w:b/>
                <w:color w:val="FFFFFF"/>
                <w:sz w:val="16"/>
              </w:rPr>
              <w:t>Q3</w:t>
            </w:r>
          </w:p>
        </w:tc>
        <w:tc>
          <w:tcPr>
            <w:tcW w:type="dxa" w:w="1440"/>
            <w:shd w:fill="12343B"/>
          </w:tcPr>
          <w:p>
            <w:r>
              <w:rPr>
                <w:b/>
                <w:color w:val="FFFFFF"/>
                <w:sz w:val="16"/>
              </w:rPr>
              <w:t>IQR</w:t>
            </w:r>
          </w:p>
        </w:tc>
        <w:tc>
          <w:tcPr>
            <w:tcW w:type="dxa" w:w="1440"/>
            <w:shd w:fill="12343B"/>
          </w:tcPr>
          <w:p>
            <w:r>
              <w:rPr>
                <w:b/>
                <w:color w:val="FFFFFF"/>
                <w:sz w:val="16"/>
              </w:rPr>
              <w:t>Límite inferior</w:t>
            </w:r>
          </w:p>
        </w:tc>
        <w:tc>
          <w:tcPr>
            <w:tcW w:type="dxa" w:w="1440"/>
            <w:shd w:fill="12343B"/>
          </w:tcPr>
          <w:p>
            <w:r>
              <w:rPr>
                <w:b/>
                <w:color w:val="FFFFFF"/>
                <w:sz w:val="16"/>
              </w:rPr>
              <w:t>Límite superior</w:t>
            </w:r>
          </w:p>
        </w:tc>
        <w:tc>
          <w:tcPr>
            <w:tcW w:type="dxa" w:w="1440"/>
            <w:shd w:fill="12343B"/>
          </w:tcPr>
          <w:p>
            <w:r>
              <w:rPr>
                <w:b/>
                <w:color w:val="FFFFFF"/>
                <w:sz w:val="16"/>
              </w:rPr>
              <w:t>Outliers</w:t>
            </w:r>
          </w:p>
        </w:tc>
      </w:tr>
      <w:tr>
        <w:tc>
          <w:tcPr>
            <w:tcW w:type="dxa" w:w="1440"/>
          </w:tcPr>
          <w:p>
            <w:r>
              <w:rPr>
                <w:sz w:val="16"/>
              </w:rPr>
              <w:t>tenure</w:t>
            </w:r>
          </w:p>
        </w:tc>
        <w:tc>
          <w:tcPr>
            <w:tcW w:type="dxa" w:w="1440"/>
          </w:tcPr>
          <w:p>
            <w:r>
              <w:rPr>
                <w:sz w:val="16"/>
              </w:rPr>
              <w:t>9.00</w:t>
            </w:r>
          </w:p>
        </w:tc>
        <w:tc>
          <w:tcPr>
            <w:tcW w:type="dxa" w:w="1440"/>
          </w:tcPr>
          <w:p>
            <w:r>
              <w:rPr>
                <w:sz w:val="16"/>
              </w:rPr>
              <w:t>55.00</w:t>
            </w:r>
          </w:p>
        </w:tc>
        <w:tc>
          <w:tcPr>
            <w:tcW w:type="dxa" w:w="1440"/>
          </w:tcPr>
          <w:p>
            <w:r>
              <w:rPr>
                <w:sz w:val="16"/>
              </w:rPr>
              <w:t>46.00</w:t>
            </w:r>
          </w:p>
        </w:tc>
        <w:tc>
          <w:tcPr>
            <w:tcW w:type="dxa" w:w="1440"/>
          </w:tcPr>
          <w:p>
            <w:r>
              <w:rPr>
                <w:sz w:val="16"/>
              </w:rPr>
              <w:t>-60.00</w:t>
            </w:r>
          </w:p>
        </w:tc>
        <w:tc>
          <w:tcPr>
            <w:tcW w:type="dxa" w:w="1440"/>
          </w:tcPr>
          <w:p>
            <w:r>
              <w:rPr>
                <w:sz w:val="16"/>
              </w:rPr>
              <w:t>124.00</w:t>
            </w:r>
          </w:p>
        </w:tc>
        <w:tc>
          <w:tcPr>
            <w:tcW w:type="dxa" w:w="1440"/>
          </w:tcPr>
          <w:p>
            <w:r>
              <w:rPr>
                <w:sz w:val="16"/>
              </w:rPr>
              <w:t>0</w:t>
            </w:r>
          </w:p>
        </w:tc>
      </w:tr>
      <w:tr>
        <w:tc>
          <w:tcPr>
            <w:tcW w:type="dxa" w:w="1440"/>
          </w:tcPr>
          <w:p>
            <w:r>
              <w:rPr>
                <w:sz w:val="16"/>
              </w:rPr>
              <w:t>MonthlyCharges</w:t>
            </w:r>
          </w:p>
        </w:tc>
        <w:tc>
          <w:tcPr>
            <w:tcW w:type="dxa" w:w="1440"/>
          </w:tcPr>
          <w:p>
            <w:r>
              <w:rPr>
                <w:sz w:val="16"/>
              </w:rPr>
              <w:t>35.50</w:t>
            </w:r>
          </w:p>
        </w:tc>
        <w:tc>
          <w:tcPr>
            <w:tcW w:type="dxa" w:w="1440"/>
          </w:tcPr>
          <w:p>
            <w:r>
              <w:rPr>
                <w:sz w:val="16"/>
              </w:rPr>
              <w:t>89.85</w:t>
            </w:r>
          </w:p>
        </w:tc>
        <w:tc>
          <w:tcPr>
            <w:tcW w:type="dxa" w:w="1440"/>
          </w:tcPr>
          <w:p>
            <w:r>
              <w:rPr>
                <w:sz w:val="16"/>
              </w:rPr>
              <w:t>54.35</w:t>
            </w:r>
          </w:p>
        </w:tc>
        <w:tc>
          <w:tcPr>
            <w:tcW w:type="dxa" w:w="1440"/>
          </w:tcPr>
          <w:p>
            <w:r>
              <w:rPr>
                <w:sz w:val="16"/>
              </w:rPr>
              <w:t>-46.02</w:t>
            </w:r>
          </w:p>
        </w:tc>
        <w:tc>
          <w:tcPr>
            <w:tcW w:type="dxa" w:w="1440"/>
          </w:tcPr>
          <w:p>
            <w:r>
              <w:rPr>
                <w:sz w:val="16"/>
              </w:rPr>
              <w:t>171.38</w:t>
            </w:r>
          </w:p>
        </w:tc>
        <w:tc>
          <w:tcPr>
            <w:tcW w:type="dxa" w:w="1440"/>
          </w:tcPr>
          <w:p>
            <w:r>
              <w:rPr>
                <w:sz w:val="16"/>
              </w:rPr>
              <w:t>0</w:t>
            </w:r>
          </w:p>
        </w:tc>
      </w:tr>
      <w:tr>
        <w:tc>
          <w:tcPr>
            <w:tcW w:type="dxa" w:w="1440"/>
          </w:tcPr>
          <w:p>
            <w:r>
              <w:rPr>
                <w:sz w:val="16"/>
              </w:rPr>
              <w:t>TotalCharges</w:t>
            </w:r>
          </w:p>
        </w:tc>
        <w:tc>
          <w:tcPr>
            <w:tcW w:type="dxa" w:w="1440"/>
          </w:tcPr>
          <w:p>
            <w:r>
              <w:rPr>
                <w:sz w:val="16"/>
              </w:rPr>
              <w:t>398.55</w:t>
            </w:r>
          </w:p>
        </w:tc>
        <w:tc>
          <w:tcPr>
            <w:tcW w:type="dxa" w:w="1440"/>
          </w:tcPr>
          <w:p>
            <w:r>
              <w:rPr>
                <w:sz w:val="16"/>
              </w:rPr>
              <w:t>3,786.60</w:t>
            </w:r>
          </w:p>
        </w:tc>
        <w:tc>
          <w:tcPr>
            <w:tcW w:type="dxa" w:w="1440"/>
          </w:tcPr>
          <w:p>
            <w:r>
              <w:rPr>
                <w:sz w:val="16"/>
              </w:rPr>
              <w:t>3,388.05</w:t>
            </w:r>
          </w:p>
        </w:tc>
        <w:tc>
          <w:tcPr>
            <w:tcW w:type="dxa" w:w="1440"/>
          </w:tcPr>
          <w:p>
            <w:r>
              <w:rPr>
                <w:sz w:val="16"/>
              </w:rPr>
              <w:t>-4,683.52</w:t>
            </w:r>
          </w:p>
        </w:tc>
        <w:tc>
          <w:tcPr>
            <w:tcW w:type="dxa" w:w="1440"/>
          </w:tcPr>
          <w:p>
            <w:r>
              <w:rPr>
                <w:sz w:val="16"/>
              </w:rPr>
              <w:t>8,868.67</w:t>
            </w:r>
          </w:p>
        </w:tc>
        <w:tc>
          <w:tcPr>
            <w:tcW w:type="dxa" w:w="1440"/>
          </w:tcPr>
          <w:p>
            <w:r>
              <w:rPr>
                <w:sz w:val="16"/>
              </w:rPr>
              <w:t>0</w:t>
            </w:r>
          </w:p>
        </w:tc>
      </w:tr>
      <w:tr>
        <w:tc>
          <w:tcPr>
            <w:tcW w:type="dxa" w:w="1440"/>
          </w:tcPr>
          <w:p>
            <w:r>
              <w:rPr>
                <w:sz w:val="16"/>
              </w:rPr>
              <w:t>NumServices</w:t>
            </w:r>
          </w:p>
        </w:tc>
        <w:tc>
          <w:tcPr>
            <w:tcW w:type="dxa" w:w="1440"/>
          </w:tcPr>
          <w:p>
            <w:r>
              <w:rPr>
                <w:sz w:val="16"/>
              </w:rPr>
              <w:t>1.00</w:t>
            </w:r>
          </w:p>
        </w:tc>
        <w:tc>
          <w:tcPr>
            <w:tcW w:type="dxa" w:w="1440"/>
          </w:tcPr>
          <w:p>
            <w:r>
              <w:rPr>
                <w:sz w:val="16"/>
              </w:rPr>
              <w:t>5.00</w:t>
            </w:r>
          </w:p>
        </w:tc>
        <w:tc>
          <w:tcPr>
            <w:tcW w:type="dxa" w:w="1440"/>
          </w:tcPr>
          <w:p>
            <w:r>
              <w:rPr>
                <w:sz w:val="16"/>
              </w:rPr>
              <w:t>4.00</w:t>
            </w:r>
          </w:p>
        </w:tc>
        <w:tc>
          <w:tcPr>
            <w:tcW w:type="dxa" w:w="1440"/>
          </w:tcPr>
          <w:p>
            <w:r>
              <w:rPr>
                <w:sz w:val="16"/>
              </w:rPr>
              <w:t>-5.00</w:t>
            </w:r>
          </w:p>
        </w:tc>
        <w:tc>
          <w:tcPr>
            <w:tcW w:type="dxa" w:w="1440"/>
          </w:tcPr>
          <w:p>
            <w:r>
              <w:rPr>
                <w:sz w:val="16"/>
              </w:rPr>
              <w:t>11.00</w:t>
            </w:r>
          </w:p>
        </w:tc>
        <w:tc>
          <w:tcPr>
            <w:tcW w:type="dxa" w:w="1440"/>
          </w:tcPr>
          <w:p>
            <w:r>
              <w:rPr>
                <w:sz w:val="16"/>
              </w:rPr>
              <w:t>0</w:t>
            </w:r>
          </w:p>
        </w:tc>
      </w:tr>
    </w:tbl>
    <w:p>
      <w:r>
        <w:br w:type="page"/>
      </w:r>
    </w:p>
    <w:p>
      <w:pPr>
        <w:pStyle w:val="Heading1"/>
      </w:pPr>
      <w:r>
        <w:t>5. Análisis descriptivo</w:t>
      </w:r>
    </w:p>
    <w:p>
      <w:pPr>
        <w:pStyle w:val="Heading2"/>
      </w:pPr>
      <w:r>
        <w:t>5.1. Churn por tipo de contrato</w:t>
      </w:r>
    </w:p>
    <w:p>
      <w:pPr>
        <w:spacing w:after="120"/>
      </w:pPr>
      <w:r>
        <w:t>El contrato mensual es el segmento crítico: combina mucho volumen de clientes y mayor tasa de abandono.</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2343B"/>
          </w:tcPr>
          <w:p>
            <w:r>
              <w:rPr>
                <w:b/>
                <w:color w:val="FFFFFF"/>
                <w:sz w:val="16"/>
              </w:rPr>
              <w:t>Contract</w:t>
            </w:r>
          </w:p>
        </w:tc>
        <w:tc>
          <w:tcPr>
            <w:tcW w:type="dxa" w:w="2016"/>
            <w:shd w:fill="12343B"/>
          </w:tcPr>
          <w:p>
            <w:r>
              <w:rPr>
                <w:b/>
                <w:color w:val="FFFFFF"/>
                <w:sz w:val="16"/>
              </w:rPr>
              <w:t>Clientes</w:t>
            </w:r>
          </w:p>
        </w:tc>
        <w:tc>
          <w:tcPr>
            <w:tcW w:type="dxa" w:w="2016"/>
            <w:shd w:fill="12343B"/>
          </w:tcPr>
          <w:p>
            <w:r>
              <w:rPr>
                <w:b/>
                <w:color w:val="FFFFFF"/>
                <w:sz w:val="16"/>
              </w:rPr>
              <w:t>Bajas</w:t>
            </w:r>
          </w:p>
        </w:tc>
        <w:tc>
          <w:tcPr>
            <w:tcW w:type="dxa" w:w="2016"/>
            <w:shd w:fill="12343B"/>
          </w:tcPr>
          <w:p>
            <w:r>
              <w:rPr>
                <w:b/>
                <w:color w:val="FFFFFF"/>
                <w:sz w:val="16"/>
              </w:rPr>
              <w:t>Tasa_Churn</w:t>
            </w:r>
          </w:p>
        </w:tc>
        <w:tc>
          <w:tcPr>
            <w:tcW w:type="dxa" w:w="2016"/>
            <w:shd w:fill="12343B"/>
          </w:tcPr>
          <w:p>
            <w:r>
              <w:rPr>
                <w:b/>
                <w:color w:val="FFFFFF"/>
                <w:sz w:val="16"/>
              </w:rPr>
              <w:t>Ingreso_Mensual</w:t>
            </w:r>
          </w:p>
        </w:tc>
      </w:tr>
      <w:tr>
        <w:tc>
          <w:tcPr>
            <w:tcW w:type="dxa" w:w="2016"/>
          </w:tcPr>
          <w:p>
            <w:r>
              <w:rPr>
                <w:sz w:val="16"/>
              </w:rPr>
              <w:t>Month-to-month</w:t>
            </w:r>
          </w:p>
        </w:tc>
        <w:tc>
          <w:tcPr>
            <w:tcW w:type="dxa" w:w="2016"/>
          </w:tcPr>
          <w:p>
            <w:r>
              <w:rPr>
                <w:sz w:val="16"/>
              </w:rPr>
              <w:t>3875</w:t>
            </w:r>
          </w:p>
        </w:tc>
        <w:tc>
          <w:tcPr>
            <w:tcW w:type="dxa" w:w="2016"/>
          </w:tcPr>
          <w:p>
            <w:r>
              <w:rPr>
                <w:sz w:val="16"/>
              </w:rPr>
              <w:t>1655</w:t>
            </w:r>
          </w:p>
        </w:tc>
        <w:tc>
          <w:tcPr>
            <w:tcW w:type="dxa" w:w="2016"/>
          </w:tcPr>
          <w:p>
            <w:r>
              <w:rPr>
                <w:sz w:val="16"/>
              </w:rPr>
              <w:t>42.7%</w:t>
            </w:r>
          </w:p>
        </w:tc>
        <w:tc>
          <w:tcPr>
            <w:tcW w:type="dxa" w:w="2016"/>
          </w:tcPr>
          <w:p>
            <w:r>
              <w:rPr>
                <w:sz w:val="16"/>
              </w:rPr>
              <w:t>€257,294.15</w:t>
            </w:r>
          </w:p>
        </w:tc>
      </w:tr>
      <w:tr>
        <w:tc>
          <w:tcPr>
            <w:tcW w:type="dxa" w:w="2016"/>
          </w:tcPr>
          <w:p>
            <w:r>
              <w:rPr>
                <w:sz w:val="16"/>
              </w:rPr>
              <w:t>One year</w:t>
            </w:r>
          </w:p>
        </w:tc>
        <w:tc>
          <w:tcPr>
            <w:tcW w:type="dxa" w:w="2016"/>
          </w:tcPr>
          <w:p>
            <w:r>
              <w:rPr>
                <w:sz w:val="16"/>
              </w:rPr>
              <w:t>1473</w:t>
            </w:r>
          </w:p>
        </w:tc>
        <w:tc>
          <w:tcPr>
            <w:tcW w:type="dxa" w:w="2016"/>
          </w:tcPr>
          <w:p>
            <w:r>
              <w:rPr>
                <w:sz w:val="16"/>
              </w:rPr>
              <w:t>166</w:t>
            </w:r>
          </w:p>
        </w:tc>
        <w:tc>
          <w:tcPr>
            <w:tcW w:type="dxa" w:w="2016"/>
          </w:tcPr>
          <w:p>
            <w:r>
              <w:rPr>
                <w:sz w:val="16"/>
              </w:rPr>
              <w:t>11.3%</w:t>
            </w:r>
          </w:p>
        </w:tc>
        <w:tc>
          <w:tcPr>
            <w:tcW w:type="dxa" w:w="2016"/>
          </w:tcPr>
          <w:p>
            <w:r>
              <w:rPr>
                <w:sz w:val="16"/>
              </w:rPr>
              <w:t>€95,816.60</w:t>
            </w:r>
          </w:p>
        </w:tc>
      </w:tr>
      <w:tr>
        <w:tc>
          <w:tcPr>
            <w:tcW w:type="dxa" w:w="2016"/>
          </w:tcPr>
          <w:p>
            <w:r>
              <w:rPr>
                <w:sz w:val="16"/>
              </w:rPr>
              <w:t>Two year</w:t>
            </w:r>
          </w:p>
        </w:tc>
        <w:tc>
          <w:tcPr>
            <w:tcW w:type="dxa" w:w="2016"/>
          </w:tcPr>
          <w:p>
            <w:r>
              <w:rPr>
                <w:sz w:val="16"/>
              </w:rPr>
              <w:t>1695</w:t>
            </w:r>
          </w:p>
        </w:tc>
        <w:tc>
          <w:tcPr>
            <w:tcW w:type="dxa" w:w="2016"/>
          </w:tcPr>
          <w:p>
            <w:r>
              <w:rPr>
                <w:sz w:val="16"/>
              </w:rPr>
              <w:t>48</w:t>
            </w:r>
          </w:p>
        </w:tc>
        <w:tc>
          <w:tcPr>
            <w:tcW w:type="dxa" w:w="2016"/>
          </w:tcPr>
          <w:p>
            <w:r>
              <w:rPr>
                <w:sz w:val="16"/>
              </w:rPr>
              <w:t>2.8%</w:t>
            </w:r>
          </w:p>
        </w:tc>
        <w:tc>
          <w:tcPr>
            <w:tcW w:type="dxa" w:w="2016"/>
          </w:tcPr>
          <w:p>
            <w:r>
              <w:rPr>
                <w:sz w:val="16"/>
              </w:rPr>
              <w:t>€103,005.85</w:t>
            </w:r>
          </w:p>
        </w:tc>
      </w:tr>
    </w:tbl>
    <w:p>
      <w:pPr>
        <w:pStyle w:val="Heading2"/>
      </w:pPr>
      <w:r>
        <w:t>5.2. Churn por método de pago</w:t>
      </w:r>
    </w:p>
    <w:p>
      <w:pPr>
        <w:spacing w:after="120"/>
      </w:pPr>
      <w:r>
        <w:t>Electronic check es el método con mayor churn. Esto puede señalar fricción operativa, menor vinculación o características del perfil de cliente.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2343B"/>
          </w:tcPr>
          <w:p>
            <w:r>
              <w:rPr>
                <w:b/>
                <w:color w:val="FFFFFF"/>
                <w:sz w:val="16"/>
              </w:rPr>
              <w:t>PaymentMethod</w:t>
            </w:r>
          </w:p>
        </w:tc>
        <w:tc>
          <w:tcPr>
            <w:tcW w:type="dxa" w:w="2520"/>
            <w:shd w:fill="12343B"/>
          </w:tcPr>
          <w:p>
            <w:r>
              <w:rPr>
                <w:b/>
                <w:color w:val="FFFFFF"/>
                <w:sz w:val="16"/>
              </w:rPr>
              <w:t>Clientes</w:t>
            </w:r>
          </w:p>
        </w:tc>
        <w:tc>
          <w:tcPr>
            <w:tcW w:type="dxa" w:w="2520"/>
            <w:shd w:fill="12343B"/>
          </w:tcPr>
          <w:p>
            <w:r>
              <w:rPr>
                <w:b/>
                <w:color w:val="FFFFFF"/>
                <w:sz w:val="16"/>
              </w:rPr>
              <w:t>Bajas</w:t>
            </w:r>
          </w:p>
        </w:tc>
        <w:tc>
          <w:tcPr>
            <w:tcW w:type="dxa" w:w="2520"/>
            <w:shd w:fill="12343B"/>
          </w:tcPr>
          <w:p>
            <w:r>
              <w:rPr>
                <w:b/>
                <w:color w:val="FFFFFF"/>
                <w:sz w:val="16"/>
              </w:rPr>
              <w:t>Tasa_Churn</w:t>
            </w:r>
          </w:p>
        </w:tc>
      </w:tr>
      <w:tr>
        <w:tc>
          <w:tcPr>
            <w:tcW w:type="dxa" w:w="2520"/>
          </w:tcPr>
          <w:p>
            <w:r>
              <w:rPr>
                <w:sz w:val="16"/>
              </w:rPr>
              <w:t>Electronic check</w:t>
            </w:r>
          </w:p>
        </w:tc>
        <w:tc>
          <w:tcPr>
            <w:tcW w:type="dxa" w:w="2520"/>
          </w:tcPr>
          <w:p>
            <w:r>
              <w:rPr>
                <w:sz w:val="16"/>
              </w:rPr>
              <w:t>2365</w:t>
            </w:r>
          </w:p>
        </w:tc>
        <w:tc>
          <w:tcPr>
            <w:tcW w:type="dxa" w:w="2520"/>
          </w:tcPr>
          <w:p>
            <w:r>
              <w:rPr>
                <w:sz w:val="16"/>
              </w:rPr>
              <w:t>1071</w:t>
            </w:r>
          </w:p>
        </w:tc>
        <w:tc>
          <w:tcPr>
            <w:tcW w:type="dxa" w:w="2520"/>
          </w:tcPr>
          <w:p>
            <w:r>
              <w:rPr>
                <w:sz w:val="16"/>
              </w:rPr>
              <w:t>45.3%</w:t>
            </w:r>
          </w:p>
        </w:tc>
      </w:tr>
      <w:tr>
        <w:tc>
          <w:tcPr>
            <w:tcW w:type="dxa" w:w="2520"/>
          </w:tcPr>
          <w:p>
            <w:r>
              <w:rPr>
                <w:sz w:val="16"/>
              </w:rPr>
              <w:t>Mailed check</w:t>
            </w:r>
          </w:p>
        </w:tc>
        <w:tc>
          <w:tcPr>
            <w:tcW w:type="dxa" w:w="2520"/>
          </w:tcPr>
          <w:p>
            <w:r>
              <w:rPr>
                <w:sz w:val="16"/>
              </w:rPr>
              <w:t>1612</w:t>
            </w:r>
          </w:p>
        </w:tc>
        <w:tc>
          <w:tcPr>
            <w:tcW w:type="dxa" w:w="2520"/>
          </w:tcPr>
          <w:p>
            <w:r>
              <w:rPr>
                <w:sz w:val="16"/>
              </w:rPr>
              <w:t>308</w:t>
            </w:r>
          </w:p>
        </w:tc>
        <w:tc>
          <w:tcPr>
            <w:tcW w:type="dxa" w:w="2520"/>
          </w:tcPr>
          <w:p>
            <w:r>
              <w:rPr>
                <w:sz w:val="16"/>
              </w:rPr>
              <w:t>19.1%</w:t>
            </w:r>
          </w:p>
        </w:tc>
      </w:tr>
      <w:tr>
        <w:tc>
          <w:tcPr>
            <w:tcW w:type="dxa" w:w="2520"/>
          </w:tcPr>
          <w:p>
            <w:r>
              <w:rPr>
                <w:sz w:val="16"/>
              </w:rPr>
              <w:t>Bank transfer (automatic)</w:t>
            </w:r>
          </w:p>
        </w:tc>
        <w:tc>
          <w:tcPr>
            <w:tcW w:type="dxa" w:w="2520"/>
          </w:tcPr>
          <w:p>
            <w:r>
              <w:rPr>
                <w:sz w:val="16"/>
              </w:rPr>
              <w:t>1544</w:t>
            </w:r>
          </w:p>
        </w:tc>
        <w:tc>
          <w:tcPr>
            <w:tcW w:type="dxa" w:w="2520"/>
          </w:tcPr>
          <w:p>
            <w:r>
              <w:rPr>
                <w:sz w:val="16"/>
              </w:rPr>
              <w:t>258</w:t>
            </w:r>
          </w:p>
        </w:tc>
        <w:tc>
          <w:tcPr>
            <w:tcW w:type="dxa" w:w="2520"/>
          </w:tcPr>
          <w:p>
            <w:r>
              <w:rPr>
                <w:sz w:val="16"/>
              </w:rPr>
              <w:t>16.7%</w:t>
            </w:r>
          </w:p>
        </w:tc>
      </w:tr>
      <w:tr>
        <w:tc>
          <w:tcPr>
            <w:tcW w:type="dxa" w:w="2520"/>
          </w:tcPr>
          <w:p>
            <w:r>
              <w:rPr>
                <w:sz w:val="16"/>
              </w:rPr>
              <w:t>Credit card (automatic)</w:t>
            </w:r>
          </w:p>
        </w:tc>
        <w:tc>
          <w:tcPr>
            <w:tcW w:type="dxa" w:w="2520"/>
          </w:tcPr>
          <w:p>
            <w:r>
              <w:rPr>
                <w:sz w:val="16"/>
              </w:rPr>
              <w:t>1522</w:t>
            </w:r>
          </w:p>
        </w:tc>
        <w:tc>
          <w:tcPr>
            <w:tcW w:type="dxa" w:w="2520"/>
          </w:tcPr>
          <w:p>
            <w:r>
              <w:rPr>
                <w:sz w:val="16"/>
              </w:rPr>
              <w:t>232</w:t>
            </w:r>
          </w:p>
        </w:tc>
        <w:tc>
          <w:tcPr>
            <w:tcW w:type="dxa" w:w="2520"/>
          </w:tcPr>
          <w:p>
            <w:r>
              <w:rPr>
                <w:sz w:val="16"/>
              </w:rPr>
              <w:t>15.2%</w:t>
            </w:r>
          </w:p>
        </w:tc>
      </w:tr>
    </w:tbl>
    <w:p>
      <w:r>
        <w:br w:type="page"/>
      </w:r>
    </w:p>
    <w:p>
      <w:pPr>
        <w:pStyle w:val="Heading2"/>
      </w:pPr>
      <w:r>
        <w:t>5.3. Churn por antigüedad</w:t>
      </w:r>
    </w:p>
    <w:p>
      <w:pPr>
        <w:spacing w:after="120"/>
      </w:pPr>
      <w:r>
        <w:t>La permanencia es un indicador clave de fidelización: el churn cae a medida que aumenta la antigüedad.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2343B"/>
          </w:tcPr>
          <w:p>
            <w:r>
              <w:rPr>
                <w:b/>
                <w:color w:val="FFFFFF"/>
                <w:sz w:val="16"/>
              </w:rPr>
              <w:t>TenureGroup</w:t>
            </w:r>
          </w:p>
        </w:tc>
        <w:tc>
          <w:tcPr>
            <w:tcW w:type="dxa" w:w="2520"/>
            <w:shd w:fill="12343B"/>
          </w:tcPr>
          <w:p>
            <w:r>
              <w:rPr>
                <w:b/>
                <w:color w:val="FFFFFF"/>
                <w:sz w:val="16"/>
              </w:rPr>
              <w:t>Clientes</w:t>
            </w:r>
          </w:p>
        </w:tc>
        <w:tc>
          <w:tcPr>
            <w:tcW w:type="dxa" w:w="2520"/>
            <w:shd w:fill="12343B"/>
          </w:tcPr>
          <w:p>
            <w:r>
              <w:rPr>
                <w:b/>
                <w:color w:val="FFFFFF"/>
                <w:sz w:val="16"/>
              </w:rPr>
              <w:t>Bajas</w:t>
            </w:r>
          </w:p>
        </w:tc>
        <w:tc>
          <w:tcPr>
            <w:tcW w:type="dxa" w:w="2520"/>
            <w:shd w:fill="12343B"/>
          </w:tcPr>
          <w:p>
            <w:r>
              <w:rPr>
                <w:b/>
                <w:color w:val="FFFFFF"/>
                <w:sz w:val="16"/>
              </w:rPr>
              <w:t>Tasa_Churn</w:t>
            </w:r>
          </w:p>
        </w:tc>
      </w:tr>
      <w:tr>
        <w:tc>
          <w:tcPr>
            <w:tcW w:type="dxa" w:w="2520"/>
          </w:tcPr>
          <w:p>
            <w:r>
              <w:rPr>
                <w:sz w:val="16"/>
              </w:rPr>
              <w:t>0-12 meses</w:t>
            </w:r>
          </w:p>
        </w:tc>
        <w:tc>
          <w:tcPr>
            <w:tcW w:type="dxa" w:w="2520"/>
          </w:tcPr>
          <w:p>
            <w:r>
              <w:rPr>
                <w:sz w:val="16"/>
              </w:rPr>
              <w:t>2186</w:t>
            </w:r>
          </w:p>
        </w:tc>
        <w:tc>
          <w:tcPr>
            <w:tcW w:type="dxa" w:w="2520"/>
          </w:tcPr>
          <w:p>
            <w:r>
              <w:rPr>
                <w:sz w:val="16"/>
              </w:rPr>
              <w:t>1037</w:t>
            </w:r>
          </w:p>
        </w:tc>
        <w:tc>
          <w:tcPr>
            <w:tcW w:type="dxa" w:w="2520"/>
          </w:tcPr>
          <w:p>
            <w:r>
              <w:rPr>
                <w:sz w:val="16"/>
              </w:rPr>
              <w:t>47.4%</w:t>
            </w:r>
          </w:p>
        </w:tc>
      </w:tr>
      <w:tr>
        <w:tc>
          <w:tcPr>
            <w:tcW w:type="dxa" w:w="2520"/>
          </w:tcPr>
          <w:p>
            <w:r>
              <w:rPr>
                <w:sz w:val="16"/>
              </w:rPr>
              <w:t>13-24 meses</w:t>
            </w:r>
          </w:p>
        </w:tc>
        <w:tc>
          <w:tcPr>
            <w:tcW w:type="dxa" w:w="2520"/>
          </w:tcPr>
          <w:p>
            <w:r>
              <w:rPr>
                <w:sz w:val="16"/>
              </w:rPr>
              <w:t>1024</w:t>
            </w:r>
          </w:p>
        </w:tc>
        <w:tc>
          <w:tcPr>
            <w:tcW w:type="dxa" w:w="2520"/>
          </w:tcPr>
          <w:p>
            <w:r>
              <w:rPr>
                <w:sz w:val="16"/>
              </w:rPr>
              <w:t>294</w:t>
            </w:r>
          </w:p>
        </w:tc>
        <w:tc>
          <w:tcPr>
            <w:tcW w:type="dxa" w:w="2520"/>
          </w:tcPr>
          <w:p>
            <w:r>
              <w:rPr>
                <w:sz w:val="16"/>
              </w:rPr>
              <w:t>28.7%</w:t>
            </w:r>
          </w:p>
        </w:tc>
      </w:tr>
      <w:tr>
        <w:tc>
          <w:tcPr>
            <w:tcW w:type="dxa" w:w="2520"/>
          </w:tcPr>
          <w:p>
            <w:r>
              <w:rPr>
                <w:sz w:val="16"/>
              </w:rPr>
              <w:t>25-48 meses</w:t>
            </w:r>
          </w:p>
        </w:tc>
        <w:tc>
          <w:tcPr>
            <w:tcW w:type="dxa" w:w="2520"/>
          </w:tcPr>
          <w:p>
            <w:r>
              <w:rPr>
                <w:sz w:val="16"/>
              </w:rPr>
              <w:t>1594</w:t>
            </w:r>
          </w:p>
        </w:tc>
        <w:tc>
          <w:tcPr>
            <w:tcW w:type="dxa" w:w="2520"/>
          </w:tcPr>
          <w:p>
            <w:r>
              <w:rPr>
                <w:sz w:val="16"/>
              </w:rPr>
              <w:t>325</w:t>
            </w:r>
          </w:p>
        </w:tc>
        <w:tc>
          <w:tcPr>
            <w:tcW w:type="dxa" w:w="2520"/>
          </w:tcPr>
          <w:p>
            <w:r>
              <w:rPr>
                <w:sz w:val="16"/>
              </w:rPr>
              <w:t>20.4%</w:t>
            </w:r>
          </w:p>
        </w:tc>
      </w:tr>
      <w:tr>
        <w:tc>
          <w:tcPr>
            <w:tcW w:type="dxa" w:w="2520"/>
          </w:tcPr>
          <w:p>
            <w:r>
              <w:rPr>
                <w:sz w:val="16"/>
              </w:rPr>
              <w:t>49-72 meses</w:t>
            </w:r>
          </w:p>
        </w:tc>
        <w:tc>
          <w:tcPr>
            <w:tcW w:type="dxa" w:w="2520"/>
          </w:tcPr>
          <w:p>
            <w:r>
              <w:rPr>
                <w:sz w:val="16"/>
              </w:rPr>
              <w:t>2239</w:t>
            </w:r>
          </w:p>
        </w:tc>
        <w:tc>
          <w:tcPr>
            <w:tcW w:type="dxa" w:w="2520"/>
          </w:tcPr>
          <w:p>
            <w:r>
              <w:rPr>
                <w:sz w:val="16"/>
              </w:rPr>
              <w:t>213</w:t>
            </w:r>
          </w:p>
        </w:tc>
        <w:tc>
          <w:tcPr>
            <w:tcW w:type="dxa" w:w="2520"/>
          </w:tcPr>
          <w:p>
            <w:r>
              <w:rPr>
                <w:sz w:val="16"/>
              </w:rPr>
              <w:t>9.5%</w:t>
            </w:r>
          </w:p>
        </w:tc>
      </w:tr>
    </w:tbl>
    <w:p>
      <w:pPr>
        <w:pStyle w:val="Heading2"/>
      </w:pPr>
      <w:r>
        <w:t>5.4. Churn por servicio de internet</w:t>
      </w:r>
    </w:p>
    <w:p>
      <w:pPr>
        <w:spacing w:after="120"/>
      </w:pPr>
      <w:r>
        <w:t>La dimensión de internet permite evaluar si determinados servicios se asocian a mayor abandono.</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2343B"/>
          </w:tcPr>
          <w:p>
            <w:r>
              <w:rPr>
                <w:b/>
                <w:color w:val="FFFFFF"/>
                <w:sz w:val="16"/>
              </w:rPr>
              <w:t>InternetService</w:t>
            </w:r>
          </w:p>
        </w:tc>
        <w:tc>
          <w:tcPr>
            <w:tcW w:type="dxa" w:w="2016"/>
            <w:shd w:fill="12343B"/>
          </w:tcPr>
          <w:p>
            <w:r>
              <w:rPr>
                <w:b/>
                <w:color w:val="FFFFFF"/>
                <w:sz w:val="16"/>
              </w:rPr>
              <w:t>Clientes</w:t>
            </w:r>
          </w:p>
        </w:tc>
        <w:tc>
          <w:tcPr>
            <w:tcW w:type="dxa" w:w="2016"/>
            <w:shd w:fill="12343B"/>
          </w:tcPr>
          <w:p>
            <w:r>
              <w:rPr>
                <w:b/>
                <w:color w:val="FFFFFF"/>
                <w:sz w:val="16"/>
              </w:rPr>
              <w:t>Bajas</w:t>
            </w:r>
          </w:p>
        </w:tc>
        <w:tc>
          <w:tcPr>
            <w:tcW w:type="dxa" w:w="2016"/>
            <w:shd w:fill="12343B"/>
          </w:tcPr>
          <w:p>
            <w:r>
              <w:rPr>
                <w:b/>
                <w:color w:val="FFFFFF"/>
                <w:sz w:val="16"/>
              </w:rPr>
              <w:t>Tasa_Churn</w:t>
            </w:r>
          </w:p>
        </w:tc>
        <w:tc>
          <w:tcPr>
            <w:tcW w:type="dxa" w:w="2016"/>
            <w:shd w:fill="12343B"/>
          </w:tcPr>
          <w:p>
            <w:r>
              <w:rPr>
                <w:b/>
                <w:color w:val="FFFFFF"/>
                <w:sz w:val="16"/>
              </w:rPr>
              <w:t>Ingreso_Mensual</w:t>
            </w:r>
          </w:p>
        </w:tc>
      </w:tr>
      <w:tr>
        <w:tc>
          <w:tcPr>
            <w:tcW w:type="dxa" w:w="2016"/>
          </w:tcPr>
          <w:p>
            <w:r>
              <w:rPr>
                <w:sz w:val="16"/>
              </w:rPr>
              <w:t>Fiber optic</w:t>
            </w:r>
          </w:p>
        </w:tc>
        <w:tc>
          <w:tcPr>
            <w:tcW w:type="dxa" w:w="2016"/>
          </w:tcPr>
          <w:p>
            <w:r>
              <w:rPr>
                <w:sz w:val="16"/>
              </w:rPr>
              <w:t>3096</w:t>
            </w:r>
          </w:p>
        </w:tc>
        <w:tc>
          <w:tcPr>
            <w:tcW w:type="dxa" w:w="2016"/>
          </w:tcPr>
          <w:p>
            <w:r>
              <w:rPr>
                <w:sz w:val="16"/>
              </w:rPr>
              <w:t>1297</w:t>
            </w:r>
          </w:p>
        </w:tc>
        <w:tc>
          <w:tcPr>
            <w:tcW w:type="dxa" w:w="2016"/>
          </w:tcPr>
          <w:p>
            <w:r>
              <w:rPr>
                <w:sz w:val="16"/>
              </w:rPr>
              <w:t>41.9%</w:t>
            </w:r>
          </w:p>
        </w:tc>
        <w:tc>
          <w:tcPr>
            <w:tcW w:type="dxa" w:w="2016"/>
          </w:tcPr>
          <w:p>
            <w:r>
              <w:rPr>
                <w:sz w:val="16"/>
              </w:rPr>
              <w:t>€283,284.40</w:t>
            </w:r>
          </w:p>
        </w:tc>
      </w:tr>
      <w:tr>
        <w:tc>
          <w:tcPr>
            <w:tcW w:type="dxa" w:w="2016"/>
          </w:tcPr>
          <w:p>
            <w:r>
              <w:rPr>
                <w:sz w:val="16"/>
              </w:rPr>
              <w:t>DSL</w:t>
            </w:r>
          </w:p>
        </w:tc>
        <w:tc>
          <w:tcPr>
            <w:tcW w:type="dxa" w:w="2016"/>
          </w:tcPr>
          <w:p>
            <w:r>
              <w:rPr>
                <w:sz w:val="16"/>
              </w:rPr>
              <w:t>2421</w:t>
            </w:r>
          </w:p>
        </w:tc>
        <w:tc>
          <w:tcPr>
            <w:tcW w:type="dxa" w:w="2016"/>
          </w:tcPr>
          <w:p>
            <w:r>
              <w:rPr>
                <w:sz w:val="16"/>
              </w:rPr>
              <w:t>459</w:t>
            </w:r>
          </w:p>
        </w:tc>
        <w:tc>
          <w:tcPr>
            <w:tcW w:type="dxa" w:w="2016"/>
          </w:tcPr>
          <w:p>
            <w:r>
              <w:rPr>
                <w:sz w:val="16"/>
              </w:rPr>
              <w:t>19.0%</w:t>
            </w:r>
          </w:p>
        </w:tc>
        <w:tc>
          <w:tcPr>
            <w:tcW w:type="dxa" w:w="2016"/>
          </w:tcPr>
          <w:p>
            <w:r>
              <w:rPr>
                <w:sz w:val="16"/>
              </w:rPr>
              <w:t>€140,665.35</w:t>
            </w:r>
          </w:p>
        </w:tc>
      </w:tr>
      <w:tr>
        <w:tc>
          <w:tcPr>
            <w:tcW w:type="dxa" w:w="2016"/>
          </w:tcPr>
          <w:p>
            <w:r>
              <w:rPr>
                <w:sz w:val="16"/>
              </w:rPr>
              <w:t>No</w:t>
            </w:r>
          </w:p>
        </w:tc>
        <w:tc>
          <w:tcPr>
            <w:tcW w:type="dxa" w:w="2016"/>
          </w:tcPr>
          <w:p>
            <w:r>
              <w:rPr>
                <w:sz w:val="16"/>
              </w:rPr>
              <w:t>1526</w:t>
            </w:r>
          </w:p>
        </w:tc>
        <w:tc>
          <w:tcPr>
            <w:tcW w:type="dxa" w:w="2016"/>
          </w:tcPr>
          <w:p>
            <w:r>
              <w:rPr>
                <w:sz w:val="16"/>
              </w:rPr>
              <w:t>113</w:t>
            </w:r>
          </w:p>
        </w:tc>
        <w:tc>
          <w:tcPr>
            <w:tcW w:type="dxa" w:w="2016"/>
          </w:tcPr>
          <w:p>
            <w:r>
              <w:rPr>
                <w:sz w:val="16"/>
              </w:rPr>
              <w:t>7.4%</w:t>
            </w:r>
          </w:p>
        </w:tc>
        <w:tc>
          <w:tcPr>
            <w:tcW w:type="dxa" w:w="2016"/>
          </w:tcPr>
          <w:p>
            <w:r>
              <w:rPr>
                <w:sz w:val="16"/>
              </w:rPr>
              <w:t>€32,166.85</w:t>
            </w:r>
          </w:p>
        </w:tc>
      </w:tr>
    </w:tbl>
    <w:p>
      <w:pPr>
        <w:pStyle w:val="Heading2"/>
      </w:pPr>
      <w:r>
        <w:t>5.5. Perfil de riesgo</w:t>
      </w:r>
    </w:p>
    <w:p>
      <w:pPr>
        <w:spacing w:after="120"/>
      </w:pPr>
      <w:r>
        <w:t>El perfil de riesgo sintetiza condiciones de negocio para convertir el EDA en una herramienta accionable.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2343B"/>
          </w:tcPr>
          <w:p>
            <w:r>
              <w:rPr>
                <w:b/>
                <w:color w:val="FFFFFF"/>
                <w:sz w:val="16"/>
              </w:rPr>
              <w:t>ChurnRiskProfile</w:t>
            </w:r>
          </w:p>
        </w:tc>
        <w:tc>
          <w:tcPr>
            <w:tcW w:type="dxa" w:w="2016"/>
            <w:shd w:fill="12343B"/>
          </w:tcPr>
          <w:p>
            <w:r>
              <w:rPr>
                <w:b/>
                <w:color w:val="FFFFFF"/>
                <w:sz w:val="16"/>
              </w:rPr>
              <w:t>Clientes</w:t>
            </w:r>
          </w:p>
        </w:tc>
        <w:tc>
          <w:tcPr>
            <w:tcW w:type="dxa" w:w="2016"/>
            <w:shd w:fill="12343B"/>
          </w:tcPr>
          <w:p>
            <w:r>
              <w:rPr>
                <w:b/>
                <w:color w:val="FFFFFF"/>
                <w:sz w:val="16"/>
              </w:rPr>
              <w:t>Bajas</w:t>
            </w:r>
          </w:p>
        </w:tc>
        <w:tc>
          <w:tcPr>
            <w:tcW w:type="dxa" w:w="2016"/>
            <w:shd w:fill="12343B"/>
          </w:tcPr>
          <w:p>
            <w:r>
              <w:rPr>
                <w:b/>
                <w:color w:val="FFFFFF"/>
                <w:sz w:val="16"/>
              </w:rPr>
              <w:t>Tasa_Churn</w:t>
            </w:r>
          </w:p>
        </w:tc>
        <w:tc>
          <w:tcPr>
            <w:tcW w:type="dxa" w:w="2016"/>
            <w:shd w:fill="12343B"/>
          </w:tcPr>
          <w:p>
            <w:r>
              <w:rPr>
                <w:b/>
                <w:color w:val="FFFFFF"/>
                <w:sz w:val="16"/>
              </w:rPr>
              <w:t>Ingreso_Mensual</w:t>
            </w:r>
          </w:p>
        </w:tc>
      </w:tr>
      <w:tr>
        <w:tc>
          <w:tcPr>
            <w:tcW w:type="dxa" w:w="2016"/>
          </w:tcPr>
          <w:p>
            <w:r>
              <w:rPr>
                <w:sz w:val="16"/>
              </w:rPr>
              <w:t>Riesgo alto</w:t>
            </w:r>
          </w:p>
        </w:tc>
        <w:tc>
          <w:tcPr>
            <w:tcW w:type="dxa" w:w="2016"/>
          </w:tcPr>
          <w:p>
            <w:r>
              <w:rPr>
                <w:sz w:val="16"/>
              </w:rPr>
              <w:t>954</w:t>
            </w:r>
          </w:p>
        </w:tc>
        <w:tc>
          <w:tcPr>
            <w:tcW w:type="dxa" w:w="2016"/>
          </w:tcPr>
          <w:p>
            <w:r>
              <w:rPr>
                <w:sz w:val="16"/>
              </w:rPr>
              <w:t>602</w:t>
            </w:r>
          </w:p>
        </w:tc>
        <w:tc>
          <w:tcPr>
            <w:tcW w:type="dxa" w:w="2016"/>
          </w:tcPr>
          <w:p>
            <w:r>
              <w:rPr>
                <w:sz w:val="16"/>
              </w:rPr>
              <w:t>63.1%</w:t>
            </w:r>
          </w:p>
        </w:tc>
        <w:tc>
          <w:tcPr>
            <w:tcW w:type="dxa" w:w="2016"/>
          </w:tcPr>
          <w:p>
            <w:r>
              <w:rPr>
                <w:sz w:val="16"/>
              </w:rPr>
              <w:t>€66,071.55</w:t>
            </w:r>
          </w:p>
        </w:tc>
      </w:tr>
      <w:tr>
        <w:tc>
          <w:tcPr>
            <w:tcW w:type="dxa" w:w="2016"/>
          </w:tcPr>
          <w:p>
            <w:r>
              <w:rPr>
                <w:sz w:val="16"/>
              </w:rPr>
              <w:t>Riesgo medio</w:t>
            </w:r>
          </w:p>
        </w:tc>
        <w:tc>
          <w:tcPr>
            <w:tcW w:type="dxa" w:w="2016"/>
          </w:tcPr>
          <w:p>
            <w:r>
              <w:rPr>
                <w:sz w:val="16"/>
              </w:rPr>
              <w:t>1777</w:t>
            </w:r>
          </w:p>
        </w:tc>
        <w:tc>
          <w:tcPr>
            <w:tcW w:type="dxa" w:w="2016"/>
          </w:tcPr>
          <w:p>
            <w:r>
              <w:rPr>
                <w:sz w:val="16"/>
              </w:rPr>
              <w:t>700</w:t>
            </w:r>
          </w:p>
        </w:tc>
        <w:tc>
          <w:tcPr>
            <w:tcW w:type="dxa" w:w="2016"/>
          </w:tcPr>
          <w:p>
            <w:r>
              <w:rPr>
                <w:sz w:val="16"/>
              </w:rPr>
              <w:t>39.4%</w:t>
            </w:r>
          </w:p>
        </w:tc>
        <w:tc>
          <w:tcPr>
            <w:tcW w:type="dxa" w:w="2016"/>
          </w:tcPr>
          <w:p>
            <w:r>
              <w:rPr>
                <w:sz w:val="16"/>
              </w:rPr>
              <w:t>€101,096.10</w:t>
            </w:r>
          </w:p>
        </w:tc>
      </w:tr>
      <w:tr>
        <w:tc>
          <w:tcPr>
            <w:tcW w:type="dxa" w:w="2016"/>
          </w:tcPr>
          <w:p>
            <w:r>
              <w:rPr>
                <w:sz w:val="16"/>
              </w:rPr>
              <w:t>Riesgo medio-bajo</w:t>
            </w:r>
          </w:p>
        </w:tc>
        <w:tc>
          <w:tcPr>
            <w:tcW w:type="dxa" w:w="2016"/>
          </w:tcPr>
          <w:p>
            <w:r>
              <w:rPr>
                <w:sz w:val="16"/>
              </w:rPr>
              <w:t>1623</w:t>
            </w:r>
          </w:p>
        </w:tc>
        <w:tc>
          <w:tcPr>
            <w:tcW w:type="dxa" w:w="2016"/>
          </w:tcPr>
          <w:p>
            <w:r>
              <w:rPr>
                <w:sz w:val="16"/>
              </w:rPr>
              <w:t>382</w:t>
            </w:r>
          </w:p>
        </w:tc>
        <w:tc>
          <w:tcPr>
            <w:tcW w:type="dxa" w:w="2016"/>
          </w:tcPr>
          <w:p>
            <w:r>
              <w:rPr>
                <w:sz w:val="16"/>
              </w:rPr>
              <w:t>23.5%</w:t>
            </w:r>
          </w:p>
        </w:tc>
        <w:tc>
          <w:tcPr>
            <w:tcW w:type="dxa" w:w="2016"/>
          </w:tcPr>
          <w:p>
            <w:r>
              <w:rPr>
                <w:sz w:val="16"/>
              </w:rPr>
              <w:t>€108,418.45</w:t>
            </w:r>
          </w:p>
        </w:tc>
      </w:tr>
      <w:tr>
        <w:tc>
          <w:tcPr>
            <w:tcW w:type="dxa" w:w="2016"/>
          </w:tcPr>
          <w:p>
            <w:r>
              <w:rPr>
                <w:sz w:val="16"/>
              </w:rPr>
              <w:t>Riesgo bajo</w:t>
            </w:r>
          </w:p>
        </w:tc>
        <w:tc>
          <w:tcPr>
            <w:tcW w:type="dxa" w:w="2016"/>
          </w:tcPr>
          <w:p>
            <w:r>
              <w:rPr>
                <w:sz w:val="16"/>
              </w:rPr>
              <w:t>2689</w:t>
            </w:r>
          </w:p>
        </w:tc>
        <w:tc>
          <w:tcPr>
            <w:tcW w:type="dxa" w:w="2016"/>
          </w:tcPr>
          <w:p>
            <w:r>
              <w:rPr>
                <w:sz w:val="16"/>
              </w:rPr>
              <w:t>185</w:t>
            </w:r>
          </w:p>
        </w:tc>
        <w:tc>
          <w:tcPr>
            <w:tcW w:type="dxa" w:w="2016"/>
          </w:tcPr>
          <w:p>
            <w:r>
              <w:rPr>
                <w:sz w:val="16"/>
              </w:rPr>
              <w:t>6.9%</w:t>
            </w:r>
          </w:p>
        </w:tc>
        <w:tc>
          <w:tcPr>
            <w:tcW w:type="dxa" w:w="2016"/>
          </w:tcPr>
          <w:p>
            <w:r>
              <w:rPr>
                <w:sz w:val="16"/>
              </w:rPr>
              <w:t>€180,530.50</w:t>
            </w:r>
          </w:p>
        </w:tc>
      </w:tr>
    </w:tbl>
    <w:p>
      <w:r>
        <w:br w:type="page"/>
      </w:r>
    </w:p>
    <w:p>
      <w:pPr>
        <w:pStyle w:val="Heading1"/>
      </w:pPr>
      <w:r>
        <w:t>6. Dashboard</w:t>
      </w:r>
    </w:p>
    <w:p>
      <w:pPr>
        <w:spacing w:after="120"/>
      </w:pPr>
      <w:r>
        <w:t>El dashboard se diseñó con enfoque ejecutivo: KPIs superiores, visualizaciones centrales e interpretación de negocio. Está pensado para que una persona no técnica pueda entender los patrones principales sin revisar todas las tablas.</w:t>
      </w:r>
    </w:p>
    <w:p>
      <w:r>
        <w:drawing>
          <wp:inline xmlns:a="http://schemas.openxmlformats.org/drawingml/2006/main" xmlns:pic="http://schemas.openxmlformats.org/drawingml/2006/picture">
            <wp:extent cx="6217920" cy="3045150"/>
            <wp:docPr id="2" name="Picture 2"/>
            <wp:cNvGraphicFramePr>
              <a:graphicFrameLocks noChangeAspect="1"/>
            </wp:cNvGraphicFramePr>
            <a:graphic>
              <a:graphicData uri="http://schemas.openxmlformats.org/drawingml/2006/picture">
                <pic:pic>
                  <pic:nvPicPr>
                    <pic:cNvPr id="0" name="dashboard_preview.png"/>
                    <pic:cNvPicPr/>
                  </pic:nvPicPr>
                  <pic:blipFill>
                    <a:blip r:embed="rId9"/>
                    <a:stretch>
                      <a:fillRect/>
                    </a:stretch>
                  </pic:blipFill>
                  <pic:spPr>
                    <a:xfrm>
                      <a:off x="0" y="0"/>
                      <a:ext cx="6217920" cy="3045150"/>
                    </a:xfrm>
                    <a:prstGeom prst="rect"/>
                  </pic:spPr>
                </pic:pic>
              </a:graphicData>
            </a:graphic>
          </wp:inline>
        </w:drawing>
      </w:r>
    </w:p>
    <w:p>
      <w:pPr>
        <w:pStyle w:val="ListBullet"/>
      </w:pPr>
      <w:r>
        <w:t>KPIs: clientes, tasa de churn, bajas, ingresos mensuales e ingreso en riesgo.</w:t>
      </w:r>
    </w:p>
    <w:p>
      <w:pPr>
        <w:pStyle w:val="ListBullet"/>
      </w:pPr>
      <w:r>
        <w:t>Gráficos: churn por contrato, método de pago, antigüedad y perfil de riesgo.</w:t>
      </w:r>
    </w:p>
    <w:p>
      <w:pPr>
        <w:pStyle w:val="ListBullet"/>
      </w:pPr>
      <w:r>
        <w:t>Tablas de soporte: permiten auditar cálculos y replicarlos en Google Sheets.</w:t>
      </w:r>
    </w:p>
    <w:p>
      <w:r>
        <w:br w:type="page"/>
      </w:r>
    </w:p>
    <w:p>
      <w:pPr>
        <w:pStyle w:val="Heading1"/>
      </w:pPr>
      <w:r>
        <w:t>7. Interpretación y conclusiones</w:t>
      </w:r>
    </w:p>
    <w:p>
      <w:pPr>
        <w:pStyle w:val="ListBullet"/>
      </w:pPr>
      <w:r>
        <w:t>El abandono se concentra en segmentos concretos; no debe gestionarse con campañas genéricas.</w:t>
      </w:r>
    </w:p>
    <w:p>
      <w:pPr>
        <w:pStyle w:val="ListBullet"/>
      </w:pPr>
      <w:r>
        <w:t>Los contratos month-to-month son el principal foco de intervención.</w:t>
      </w:r>
    </w:p>
    <w:p>
      <w:pPr>
        <w:pStyle w:val="ListBullet"/>
      </w:pPr>
      <w:r>
        <w:t>Los clientes nuevos tienen mayor probabilidad de baja, por lo que el onboarding es crítico.</w:t>
      </w:r>
    </w:p>
    <w:p>
      <w:pPr>
        <w:pStyle w:val="ListBullet"/>
      </w:pPr>
      <w:r>
        <w:t>El método Electronic check requiere revisión operativa y comercial.</w:t>
      </w:r>
    </w:p>
    <w:p>
      <w:pPr>
        <w:pStyle w:val="ListBullet"/>
      </w:pPr>
      <w:r>
        <w:t>La métrica RevenueRisk ayuda a priorizar clientes por impacto económico, no solo por tasa de churn.</w:t>
      </w:r>
    </w:p>
    <w:p>
      <w:pPr>
        <w:pStyle w:val="Heading1"/>
      </w:pPr>
      <w:r>
        <w:t>8. Recomendaciones</w:t>
      </w:r>
    </w:p>
    <w:p>
      <w:pPr>
        <w:pStyle w:val="ListBullet"/>
      </w:pPr>
      <w:r>
        <w:t>Ofrecer incentivos para migrar de contrato mensual a anual.</w:t>
      </w:r>
    </w:p>
    <w:p>
      <w:pPr>
        <w:pStyle w:val="ListBullet"/>
      </w:pPr>
      <w:r>
        <w:t>Implementar seguimiento proactivo en los primeros 90 días de cliente.</w:t>
      </w:r>
    </w:p>
    <w:p>
      <w:pPr>
        <w:pStyle w:val="ListBullet"/>
      </w:pPr>
      <w:r>
        <w:t>Revisar la experiencia de pago y promover métodos automáticos.</w:t>
      </w:r>
    </w:p>
    <w:p>
      <w:pPr>
        <w:pStyle w:val="ListBullet"/>
      </w:pPr>
      <w:r>
        <w:t>Activar alertas para clientes con riesgo alto y cargo mensual elevado.</w:t>
      </w:r>
    </w:p>
    <w:p>
      <w:pPr>
        <w:pStyle w:val="ListBullet"/>
      </w:pPr>
      <w:r>
        <w:t>Complementar el dashboard con seguimiento mensual para evaluar impacto de acciones.</w:t>
      </w:r>
    </w:p>
    <w:p>
      <w:r>
        <w:br w:type="page"/>
      </w:r>
    </w:p>
    <w:p>
      <w:pPr>
        <w:pStyle w:val="Heading1"/>
      </w:pPr>
      <w:r>
        <w:t>9. Limitaciones y próximos pasos</w:t>
      </w:r>
    </w:p>
    <w:p>
      <w:pPr>
        <w:pStyle w:val="ListBullet"/>
      </w:pPr>
      <w:r>
        <w:t>El dataset es ficticio y no representa una empresa real concreta.</w:t>
      </w:r>
    </w:p>
    <w:p>
      <w:pPr>
        <w:pStyle w:val="ListBullet"/>
      </w:pPr>
      <w:r>
        <w:t>El análisis es descriptivo, no predictivo, porque el objetivo del módulo es dashboard y EDA.</w:t>
      </w:r>
    </w:p>
    <w:p>
      <w:pPr>
        <w:pStyle w:val="ListBullet"/>
      </w:pPr>
      <w:r>
        <w:t>No se dispone de información sobre campañas, incidencias o satisfacción del cliente.</w:t>
      </w:r>
    </w:p>
    <w:p>
      <w:pPr>
        <w:pStyle w:val="ListBullet"/>
      </w:pPr>
      <w:r>
        <w:t>Como evolución, se podría construir un modelo de scoring de churn y validar acciones con pruebas A/B.</w:t>
      </w:r>
    </w:p>
    <w:p>
      <w:pPr>
        <w:pStyle w:val="Heading1"/>
      </w:pPr>
      <w:r>
        <w:t>10. Fuentes</w:t>
      </w:r>
    </w:p>
    <w:p>
      <w:pPr>
        <w:pStyle w:val="ListBullet"/>
      </w:pPr>
      <w:r>
        <w:t>IBM Cognos Analytics sample: https://www.ibm.com/docs/en/cognos-analytics/12.0.x?topic=samples-telco-customer-churn</w:t>
      </w:r>
    </w:p>
    <w:p>
      <w:pPr>
        <w:pStyle w:val="ListBullet"/>
      </w:pPr>
      <w:r>
        <w:t>Kaggle dataset mirror: https://www.kaggle.com/datasets/blastchar/telco-customer-churn</w:t>
      </w:r>
    </w:p>
    <w:p>
      <w:pPr>
        <w:pStyle w:val="ListBullet"/>
      </w:pPr>
      <w:r>
        <w:t>Material del módulo: Dashboard &amp; Análisis de Datos y guía README proporcionados en la plataforma.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4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34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234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