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jn2x91fnj5x9"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-408622</wp:posOffset>
                </wp:positionH>
                <wp:positionV relativeFrom="paragraph">
                  <wp:posOffset>192846</wp:posOffset>
                </wp:positionV>
                <wp:extent cx="6192202" cy="1666875"/>
                <wp:effectExtent b="0" l="0" r="0" t="0"/>
                <wp:wrapNone/>
                <wp:docPr id="28" name=""/>
                <a:graphic>
                  <a:graphicData uri="http://schemas.microsoft.com/office/word/2010/wordprocessingGroup">
                    <wpg:wgp>
                      <wpg:cNvGrpSpPr/>
                      <wpg:grpSpPr>
                        <a:xfrm>
                          <a:off x="2226550" y="2998950"/>
                          <a:ext cx="6192202" cy="1666875"/>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-408622</wp:posOffset>
                </wp:positionH>
                <wp:positionV relativeFrom="paragraph">
                  <wp:posOffset>192846</wp:posOffset>
                </wp:positionV>
                <wp:extent cx="6192202" cy="1666875"/>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92202" cy="1666875"/>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b w:val="1"/>
                <w:bCs w:val="1"/>
                <w:sz w:val="20"/>
                <w:szCs w:val="20"/>
              </w:rPr>
            </w:pPr>
            <w:r w:rsidDel="00000000" w:rsidR="00000000" w:rsidRPr="00000000">
              <w:rPr>
                <w:b w:val="1"/>
                <w:bCs w:val="1"/>
                <w:sz w:val="20"/>
                <w:szCs w:val="20"/>
                <w:rtl w:val="0"/>
              </w:rPr>
              <w:t xml:space="preserve">Scum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7">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2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2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32">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34">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3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bl>
    <w:p w:rsidR="00000000" w:rsidDel="00000000" w:rsidP="00000000" w:rsidRDefault="00000000" w:rsidRPr="00000000" w14:paraId="0000003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3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C">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5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70"/>
        <w:tblGridChange w:id="0">
          <w:tblGrid>
            <w:gridCol w:w="9570"/>
          </w:tblGrid>
        </w:tblGridChange>
      </w:tblGrid>
      <w:tr>
        <w:trPr>
          <w:cantSplit w:val="0"/>
          <w:trHeight w:val="1936" w:hRule="atLeast"/>
          <w:tblHeader w:val="0"/>
        </w:trPr>
        <w:tc>
          <w:tcPr>
            <w:vAlign w:val="center"/>
          </w:tcPr>
          <w:p w:rsidR="00000000" w:rsidDel="00000000" w:rsidP="00000000" w:rsidRDefault="00000000" w:rsidRPr="00000000" w14:paraId="00000041">
            <w:pPr>
              <w:jc w:val="both"/>
              <w:rPr>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En la planificación inicial del proyecto, el modelo de negocio contempla cobrar a las farmacias por participar en la plataforma. Al avanzar el proyecto, el equipo detectó que este modelo resultaba confuso, porque no dejaba claro a quién estaba dirigido el proyecto. Por esta razón, se reformuló el plan: el cobro paso a dirigirse a los usuarios finales, quienes pagaran por utilizar la cámara de la aplicación para identificar los medicamentos que aparecen en sus recetas médicas, cuya letra muchas veces resulta ilegible. Con este ajuste se define con claridad el público objetivo y se asocia el pago a una función que entrega un beneficio concreto al usuario.</w:t>
            </w: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e/GpFLHv7KFXsy5ToELieVYcQ==">CgMxLjAyDmguam4yeDkxZm5qNXg5OAByITF1a3R3ck1VTTczTHBkZl9odUY4ZXdKS1ItTXl4TWNOTw==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