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</w:t>
      </w:r>
      <w:proofErr w:type="gramStart"/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proofErr w:type="gramEnd"/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117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ммзи</w:t>
            </w:r>
            <w:proofErr w:type="spellEnd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</w:t>
            </w:r>
            <w:proofErr w:type="spellStart"/>
            <w:r w:rsidRPr="00946BFF">
              <w:rPr>
                <w:rFonts w:eastAsia="Times New Roman" w:cs="Times New Roman"/>
                <w:lang w:eastAsia="ru-RU"/>
              </w:rPr>
              <w:t>И.О.Фамилия</w:t>
            </w:r>
            <w:proofErr w:type="spellEnd"/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</w:t>
            </w:r>
            <w:proofErr w:type="gramEnd"/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(</w:t>
            </w:r>
            <w:proofErr w:type="spellStart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и.о.ф</w:t>
            </w:r>
            <w:proofErr w:type="spellEnd"/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517000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14:paraId="7E685E8A" w14:textId="77777777" w:rsidR="007A01C4" w:rsidRPr="00655F8C" w:rsidRDefault="007A01C4" w:rsidP="00FD0275">
          <w:pPr>
            <w:pStyle w:val="a5"/>
            <w:spacing w:before="120" w:after="120" w:line="240" w:lineRule="auto"/>
            <w:contextualSpacing/>
            <w:jc w:val="center"/>
            <w:rPr>
              <w:rFonts w:cs="Times New Roman"/>
              <w:b w:val="0"/>
              <w:bCs/>
              <w:color w:val="auto"/>
              <w:lang w:val="ru-RU"/>
            </w:rPr>
          </w:pPr>
          <w:r w:rsidRPr="00655F8C">
            <w:rPr>
              <w:rFonts w:cs="Times New Roman"/>
              <w:bCs/>
              <w:color w:val="auto"/>
              <w:lang w:val="ru-RU"/>
            </w:rPr>
            <w:t>Оглавление</w:t>
          </w:r>
        </w:p>
        <w:p w14:paraId="04FFD2FE" w14:textId="77777777" w:rsidR="007A01C4" w:rsidRPr="002D4213" w:rsidRDefault="007A01C4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r w:rsidRPr="002D4213">
            <w:rPr>
              <w:rFonts w:cs="Times New Roman"/>
              <w:sz w:val="24"/>
              <w:szCs w:val="24"/>
            </w:rPr>
            <w:fldChar w:fldCharType="begin"/>
          </w:r>
          <w:r w:rsidRPr="002D421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2D4213">
            <w:rPr>
              <w:rFonts w:cs="Times New Roman"/>
              <w:sz w:val="24"/>
              <w:szCs w:val="24"/>
            </w:rPr>
            <w:fldChar w:fldCharType="separate"/>
          </w:r>
          <w:hyperlink w:anchor="_Toc12324468" w:history="1">
            <w:r w:rsidRPr="002D4213">
              <w:rPr>
                <w:rStyle w:val="a4"/>
                <w:rFonts w:cs="Times New Roman"/>
                <w:noProof/>
              </w:rPr>
              <w:t>Введение</w:t>
            </w:r>
            <w:r w:rsidRPr="002D4213">
              <w:rPr>
                <w:noProof/>
                <w:webHidden/>
              </w:rPr>
              <w:tab/>
            </w:r>
            <w:r w:rsidRPr="002D4213">
              <w:rPr>
                <w:noProof/>
                <w:webHidden/>
              </w:rPr>
              <w:fldChar w:fldCharType="begin"/>
            </w:r>
            <w:r w:rsidRPr="002D4213">
              <w:rPr>
                <w:noProof/>
                <w:webHidden/>
              </w:rPr>
              <w:instrText xml:space="preserve"> PAGEREF _Toc12324468 \h </w:instrText>
            </w:r>
            <w:r w:rsidRPr="002D4213">
              <w:rPr>
                <w:noProof/>
                <w:webHidden/>
              </w:rPr>
            </w:r>
            <w:r w:rsidRPr="002D4213">
              <w:rPr>
                <w:noProof/>
                <w:webHidden/>
              </w:rPr>
              <w:fldChar w:fldCharType="separate"/>
            </w:r>
            <w:r w:rsidRPr="002D4213">
              <w:rPr>
                <w:noProof/>
                <w:webHidden/>
              </w:rPr>
              <w:t>3</w:t>
            </w:r>
            <w:r w:rsidRPr="002D4213">
              <w:rPr>
                <w:noProof/>
                <w:webHidden/>
              </w:rPr>
              <w:fldChar w:fldCharType="end"/>
            </w:r>
          </w:hyperlink>
        </w:p>
        <w:p w14:paraId="654DFB51" w14:textId="77777777" w:rsidR="007A01C4" w:rsidRPr="002D4213" w:rsidRDefault="00AC525F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69" w:history="1">
            <w:r w:rsidR="007A01C4" w:rsidRPr="002D4213">
              <w:rPr>
                <w:rStyle w:val="a4"/>
                <w:rFonts w:cs="Times New Roman"/>
                <w:noProof/>
              </w:rPr>
              <w:t>1 Обзор литературы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_Toc12324469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5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BAF303C" w14:textId="77777777" w:rsidR="007A01C4" w:rsidRPr="002D4213" w:rsidRDefault="00AC525F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0" w:history="1">
            <w:r w:rsidR="007A01C4" w:rsidRPr="002D4213">
              <w:rPr>
                <w:rStyle w:val="a4"/>
                <w:rFonts w:cs="Times New Roman"/>
                <w:noProof/>
              </w:rPr>
              <w:t>1.1 Общие сведения о музейных культурах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_Toc12324470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5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0ADA5786" w14:textId="77777777" w:rsidR="007A01C4" w:rsidRPr="002D4213" w:rsidRDefault="00AC525F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1" w:history="1">
            <w:r w:rsidR="007A01C4" w:rsidRPr="002D4213">
              <w:rPr>
                <w:rStyle w:val="a4"/>
                <w:rFonts w:cs="Times New Roman"/>
                <w:noProof/>
              </w:rPr>
              <w:t>1.2 Основные методы хранения культур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_Toc12324471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55C6E8B" w14:textId="77777777" w:rsidR="007A01C4" w:rsidRPr="002D4213" w:rsidRDefault="00AC525F" w:rsidP="00FD0275">
          <w:pPr>
            <w:pStyle w:val="3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2" w:history="1">
            <w:r w:rsidR="007A01C4" w:rsidRPr="002D4213">
              <w:rPr>
                <w:rStyle w:val="a4"/>
                <w:rFonts w:cs="Times New Roman"/>
                <w:noProof/>
              </w:rPr>
              <w:t>1.2.1 Методы непродолжительного хранения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_Toc12324472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9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609B38B" w14:textId="77777777" w:rsidR="007A01C4" w:rsidRPr="002D4213" w:rsidRDefault="00AC525F" w:rsidP="00FD0275">
          <w:pPr>
            <w:pStyle w:val="3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3" w:history="1">
            <w:r w:rsidR="007A01C4" w:rsidRPr="002D4213">
              <w:rPr>
                <w:rStyle w:val="a4"/>
                <w:rFonts w:cs="Times New Roman"/>
                <w:noProof/>
              </w:rPr>
              <w:t>1.2.2 Методы продолжительного хранения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_Toc12324473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13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6D39CECF" w14:textId="77777777" w:rsidR="007A01C4" w:rsidRPr="002D4213" w:rsidRDefault="00AC525F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4" w:history="1">
            <w:r w:rsidR="007A01C4" w:rsidRPr="002D4213">
              <w:rPr>
                <w:rStyle w:val="a4"/>
                <w:rFonts w:cs="Times New Roman"/>
                <w:noProof/>
              </w:rPr>
              <w:t>1.3 Хранение морских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_Toc12324474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16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5DBFCA04" w14:textId="77777777" w:rsidR="007A01C4" w:rsidRPr="002D4213" w:rsidRDefault="00AC525F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5" w:history="1">
            <w:r w:rsidR="007A01C4" w:rsidRPr="002D4213">
              <w:rPr>
                <w:rStyle w:val="a4"/>
                <w:rFonts w:cs="Times New Roman"/>
                <w:noProof/>
              </w:rPr>
              <w:t>2 Материалы и методы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_Toc12324475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1B5EE2C" w14:textId="77777777" w:rsidR="007A01C4" w:rsidRPr="002D4213" w:rsidRDefault="00AC525F" w:rsidP="00FD0275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6" w:history="1">
            <w:r w:rsidR="007A01C4" w:rsidRPr="002D4213">
              <w:rPr>
                <w:rStyle w:val="a4"/>
                <w:rFonts w:cs="Times New Roman"/>
                <w:noProof/>
              </w:rPr>
              <w:t>2.1</w:t>
            </w:r>
            <w:r w:rsidR="007A01C4">
              <w:rPr>
                <w:rStyle w:val="a4"/>
                <w:rFonts w:cs="Times New Roman"/>
                <w:noProof/>
              </w:rPr>
              <w:t xml:space="preserve"> </w:t>
            </w:r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Состав сред, используемых в работе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_Toc12324476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5B7EC4FB" w14:textId="77777777" w:rsidR="007A01C4" w:rsidRPr="002D4213" w:rsidRDefault="00AC525F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7" w:history="1"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2.2 Методы хранения культур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_Toc12324477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957B776" w14:textId="77777777" w:rsidR="007A01C4" w:rsidRPr="002D4213" w:rsidRDefault="00AC525F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8" w:history="1"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3 Результаты и обсуждение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_Toc12324478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20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5260163" w14:textId="77777777" w:rsidR="007A01C4" w:rsidRPr="002D4213" w:rsidRDefault="00AC525F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9" w:history="1">
            <w:r w:rsidR="007A01C4" w:rsidRPr="002D4213">
              <w:rPr>
                <w:rStyle w:val="a4"/>
                <w:rFonts w:cs="Times New Roman"/>
                <w:noProof/>
              </w:rPr>
              <w:t>Заключение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_Toc12324479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3E0FEC6F" w14:textId="77777777" w:rsidR="007A01C4" w:rsidRPr="002D4213" w:rsidRDefault="00AC525F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80" w:history="1">
            <w:r w:rsidR="007A01C4" w:rsidRPr="002D4213">
              <w:rPr>
                <w:rStyle w:val="a4"/>
                <w:rFonts w:cs="Times New Roman"/>
                <w:noProof/>
              </w:rPr>
              <w:t>Список литературы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_Toc12324480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03EE4461" w14:textId="77777777" w:rsidR="007A01C4" w:rsidRPr="00655F8C" w:rsidRDefault="007A01C4" w:rsidP="00FD0275">
          <w:pPr>
            <w:spacing w:before="120" w:after="120" w:line="240" w:lineRule="auto"/>
            <w:contextualSpacing/>
            <w:rPr>
              <w:rFonts w:cs="Times New Roman"/>
              <w:sz w:val="24"/>
              <w:szCs w:val="24"/>
            </w:rPr>
          </w:pPr>
          <w:r w:rsidRPr="002D4213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66C1FFD9" w14:textId="77777777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12324468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A6528F7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294F6B">
        <w:rPr>
          <w:rFonts w:cs="Times New Roman"/>
          <w:szCs w:val="28"/>
        </w:rPr>
        <w:t xml:space="preserve">, так как существует множество способов, позволяющих </w:t>
      </w:r>
      <w:r w:rsidR="006E637C">
        <w:rPr>
          <w:rFonts w:cs="Times New Roman"/>
          <w:szCs w:val="28"/>
        </w:rPr>
        <w:t>об</w:t>
      </w:r>
      <w:r w:rsidR="00B348BC">
        <w:rPr>
          <w:rFonts w:cs="Times New Roman"/>
          <w:szCs w:val="28"/>
        </w:rPr>
        <w:t>ходить</w:t>
      </w:r>
      <w:r w:rsidR="00294F6B">
        <w:rPr>
          <w:rFonts w:cs="Times New Roman"/>
          <w:szCs w:val="28"/>
        </w:rPr>
        <w:t xml:space="preserve"> защитные механизмы антивирусов, отключать их, или же вовсе быть «невидимыми» для их алгоритмов </w:t>
      </w:r>
      <w:r w:rsidR="001815E6">
        <w:rPr>
          <w:rFonts w:cs="Times New Roman"/>
          <w:szCs w:val="28"/>
        </w:rPr>
        <w:t>сканирования</w:t>
      </w:r>
      <w:r w:rsidR="00294F6B">
        <w:rPr>
          <w:rFonts w:cs="Times New Roman"/>
          <w:szCs w:val="28"/>
        </w:rPr>
        <w:t xml:space="preserve">. </w:t>
      </w:r>
    </w:p>
    <w:p w14:paraId="16D85074" w14:textId="47797169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все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7F610A19" w14:textId="1C636104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7D32EE99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Подготовить системные окружения для ПО, используемого при анализе экземпляров;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5457AA72" w:rsidR="00A4319A" w:rsidRDefault="00A4319A" w:rsidP="00A4319A">
      <w:pPr>
        <w:pStyle w:val="1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Методы анализа файлов</w:t>
      </w:r>
    </w:p>
    <w:p w14:paraId="4BA09459" w14:textId="784CE8AD" w:rsidR="00910C14" w:rsidRDefault="00FD0275" w:rsidP="00910C14">
      <w:pPr>
        <w:ind w:left="360" w:firstLine="348"/>
      </w:pPr>
      <w:r>
        <w:t xml:space="preserve">Анализ вредоносных файлов </w:t>
      </w:r>
      <w:r w:rsidR="00910C14">
        <w:t>делится</w:t>
      </w:r>
      <w:r>
        <w:t xml:space="preserve"> на два этапа – статический и динамический. </w:t>
      </w:r>
    </w:p>
    <w:p w14:paraId="1D8CFBF7" w14:textId="69D68917" w:rsidR="00910C14" w:rsidRPr="00910C14" w:rsidRDefault="00910C14" w:rsidP="00910C14">
      <w:pPr>
        <w:pStyle w:val="a3"/>
        <w:numPr>
          <w:ilvl w:val="1"/>
          <w:numId w:val="12"/>
        </w:numPr>
        <w:rPr>
          <w:b/>
          <w:bCs/>
        </w:rPr>
      </w:pPr>
      <w:r w:rsidRPr="00910C14">
        <w:rPr>
          <w:b/>
          <w:bCs/>
        </w:rPr>
        <w:t>Статический анализ</w:t>
      </w:r>
    </w:p>
    <w:p w14:paraId="4232CA48" w14:textId="2771244E" w:rsidR="00A4319A" w:rsidRPr="00AC525F" w:rsidRDefault="00FD0275" w:rsidP="00910C14">
      <w:pPr>
        <w:ind w:left="360" w:firstLine="348"/>
        <w:rPr>
          <w:lang w:val="en-US"/>
        </w:rPr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строк, </w:t>
      </w:r>
      <w:r w:rsidR="00F252CF">
        <w:t xml:space="preserve">чтение дизассемблированного кода программы, проверка хеш-сумм по базам данных, а также эвристический анализ, выполняемый в основном антивирусами. </w:t>
      </w:r>
    </w:p>
    <w:p w14:paraId="27C065BE" w14:textId="1B88E44C" w:rsidR="00316BFF" w:rsidRDefault="00316BF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910C14">
        <w:rPr>
          <w:rFonts w:cs="Times New Roman"/>
          <w:szCs w:val="28"/>
        </w:rPr>
        <w:lastRenderedPageBreak/>
        <w:tab/>
      </w:r>
    </w:p>
    <w:p w14:paraId="3203A040" w14:textId="77777777" w:rsidR="00316BFF" w:rsidRPr="00316BFF" w:rsidRDefault="00316BFF" w:rsidP="00316BFF">
      <w:pPr>
        <w:spacing w:before="120" w:after="120"/>
        <w:rPr>
          <w:rFonts w:cs="Times New Roman"/>
          <w:szCs w:val="28"/>
        </w:rPr>
      </w:pPr>
    </w:p>
    <w:p w14:paraId="0E44F8C9" w14:textId="77777777" w:rsidR="009F2EB1" w:rsidRPr="001B7A8C" w:rsidRDefault="009F2EB1" w:rsidP="007A01C4"/>
    <w:p w14:paraId="3FBAC2C3" w14:textId="306362E2" w:rsidR="00057573" w:rsidRPr="00005FC5" w:rsidRDefault="00057573">
      <w:r>
        <w:t xml:space="preserve">Для удобства работы создаем </w:t>
      </w:r>
      <w:proofErr w:type="spellStart"/>
      <w:r>
        <w:t>расшаренную</w:t>
      </w:r>
      <w:proofErr w:type="spellEnd"/>
      <w:r>
        <w:t xml:space="preserve"> папку и запрещаем в ней выполнение любых файлов (будет использоваться для хранения семплов и их сканирования без пересылки на </w:t>
      </w:r>
      <w:proofErr w:type="spellStart"/>
      <w:r>
        <w:t>виртуалку</w:t>
      </w:r>
      <w:proofErr w:type="spellEnd"/>
      <w:r>
        <w:t>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</w:t>
      </w:r>
      <w:proofErr w:type="gramStart"/>
      <w:r w:rsidRPr="00D82EB0">
        <w:rPr>
          <w:lang w:val="en-US"/>
        </w:rPr>
        <w:t>RA:brokendick.txt</w:t>
      </w:r>
      <w:proofErr w:type="gramEnd"/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proofErr w:type="spellStart"/>
      <w:r>
        <w:rPr>
          <w:lang w:val="en-US"/>
        </w:rPr>
        <w:t>ecls</w:t>
      </w:r>
      <w:proofErr w:type="spellEnd"/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proofErr w:type="spellStart"/>
      <w:r>
        <w:t>имя_файла</w:t>
      </w:r>
      <w:proofErr w:type="spellEnd"/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proofErr w:type="gramStart"/>
      <w:r>
        <w:rPr>
          <w:lang w:val="en-US"/>
        </w:rPr>
        <w:t>LOGPATH</w:t>
      </w:r>
      <w:r>
        <w:t>(</w:t>
      </w:r>
      <w:proofErr w:type="gramEnd"/>
      <w:r>
        <w:t>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t>/</w:t>
      </w:r>
      <w:r>
        <w:rPr>
          <w:lang w:val="en-US"/>
        </w:rPr>
        <w:t>adv</w:t>
      </w:r>
      <w:r w:rsidRPr="0040763D">
        <w:t>-</w:t>
      </w:r>
      <w:proofErr w:type="spellStart"/>
      <w:r>
        <w:rPr>
          <w:lang w:val="en-US"/>
        </w:rPr>
        <w:t>heur</w:t>
      </w:r>
      <w:proofErr w:type="spellEnd"/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395153B0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proofErr w:type="spellStart"/>
      <w:r>
        <w:rPr>
          <w:lang w:val="en-US"/>
        </w:rPr>
        <w:t>ProgramFiles</w:t>
      </w:r>
      <w:proofErr w:type="spellEnd"/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</w:t>
      </w:r>
      <w:proofErr w:type="spellStart"/>
      <w:r w:rsidR="00451920">
        <w:rPr>
          <w:lang w:val="en-US"/>
        </w:rPr>
        <w:t>ScanType</w:t>
      </w:r>
      <w:proofErr w:type="spellEnd"/>
      <w:r w:rsidR="00451920">
        <w:rPr>
          <w:lang w:val="en-US"/>
        </w:rPr>
        <w:t xml:space="preserve"> 3</w:t>
      </w:r>
      <w:r w:rsidR="00005FC5">
        <w:rPr>
          <w:lang w:val="en-US"/>
        </w:rPr>
        <w:t xml:space="preserve"> -</w:t>
      </w:r>
      <w:proofErr w:type="spellStart"/>
      <w:r w:rsidR="00005FC5">
        <w:rPr>
          <w:lang w:val="en-US"/>
        </w:rPr>
        <w:t>DisableRemediation</w:t>
      </w:r>
      <w:proofErr w:type="spellEnd"/>
      <w:r w:rsidR="00451920">
        <w:rPr>
          <w:lang w:val="en-US"/>
        </w:rPr>
        <w:t xml:space="preserve">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348B765F" w:rsidR="0040763D" w:rsidRDefault="0040763D" w:rsidP="0040763D">
      <w:r>
        <w:t xml:space="preserve">По всей видимости, придется файл из шары копировать. Антивирусы не горят желанием сканировать </w:t>
      </w:r>
      <w:proofErr w:type="spellStart"/>
      <w:r>
        <w:t>проги</w:t>
      </w:r>
      <w:proofErr w:type="spellEnd"/>
      <w:r>
        <w:t xml:space="preserve"> из нее. Более того, надо запускать все команды от имени администратора.</w:t>
      </w:r>
    </w:p>
    <w:p w14:paraId="5A49A76B" w14:textId="786F6871" w:rsidR="0024147D" w:rsidRDefault="0024147D" w:rsidP="00CA030E">
      <w:r>
        <w:t>Как мы запускаем кукушку:</w:t>
      </w:r>
    </w:p>
    <w:p w14:paraId="65069F0D" w14:textId="07E5F317" w:rsidR="00CA030E" w:rsidRPr="00A26AB1" w:rsidRDefault="00CA030E" w:rsidP="00CA030E">
      <w:r w:rsidRPr="00CA030E">
        <w:t xml:space="preserve">- </w:t>
      </w:r>
      <w:r>
        <w:t>Из</w:t>
      </w:r>
      <w:r w:rsidRPr="00CA030E">
        <w:t>-</w:t>
      </w:r>
      <w:r>
        <w:t>под</w:t>
      </w:r>
      <w:r w:rsidRPr="00CA030E">
        <w:t xml:space="preserve"> </w:t>
      </w:r>
      <w:r>
        <w:t>рута</w:t>
      </w:r>
      <w:r w:rsidRPr="00CA030E">
        <w:t xml:space="preserve"> </w:t>
      </w:r>
      <w:r>
        <w:t>пишем</w:t>
      </w:r>
      <w:r w:rsidRPr="00CA030E">
        <w:t>: /</w:t>
      </w:r>
      <w:r>
        <w:rPr>
          <w:lang w:val="en-US"/>
        </w:rPr>
        <w:t>home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bin</w:t>
      </w:r>
      <w:r w:rsidRPr="00CA030E">
        <w:t>/</w:t>
      </w:r>
      <w:r>
        <w:rPr>
          <w:lang w:val="en-US"/>
        </w:rPr>
        <w:t>cuckoo</w:t>
      </w:r>
      <w:r w:rsidRPr="00CA030E">
        <w:t xml:space="preserve"> </w:t>
      </w:r>
      <w:r>
        <w:rPr>
          <w:lang w:val="en-US"/>
        </w:rPr>
        <w:t>rooter</w:t>
      </w:r>
      <w:r w:rsidRPr="00CA030E">
        <w:t xml:space="preserve"> </w:t>
      </w:r>
      <w:r>
        <w:t>–</w:t>
      </w:r>
      <w:proofErr w:type="spellStart"/>
      <w:r>
        <w:rPr>
          <w:lang w:val="en-US"/>
        </w:rPr>
        <w:t>sudo</w:t>
      </w:r>
      <w:proofErr w:type="spellEnd"/>
      <w:r w:rsidRPr="00CA030E">
        <w:t xml:space="preserve"> </w:t>
      </w:r>
      <w:r>
        <w:t>–</w:t>
      </w:r>
      <w:r>
        <w:rPr>
          <w:lang w:val="en-US"/>
        </w:rPr>
        <w:t>group</w:t>
      </w:r>
      <w:r w:rsidRPr="00CA030E">
        <w:t xml:space="preserve"> </w:t>
      </w:r>
      <w:r>
        <w:rPr>
          <w:lang w:val="en-US"/>
        </w:rPr>
        <w:t>cuckoo</w:t>
      </w:r>
    </w:p>
    <w:p w14:paraId="1BAB6065" w14:textId="3CFD609F" w:rsidR="00CA030E" w:rsidRDefault="00CA030E" w:rsidP="00CA030E">
      <w:pPr>
        <w:rPr>
          <w:lang w:val="en-US"/>
        </w:rPr>
      </w:pPr>
      <w:r w:rsidRPr="00CA030E">
        <w:t>-</w:t>
      </w:r>
      <w:r>
        <w:t xml:space="preserve"> Из-под куку-пользователя пишем</w:t>
      </w:r>
      <w:proofErr w:type="gramStart"/>
      <w:r>
        <w:t xml:space="preserve">: </w:t>
      </w:r>
      <w:r w:rsidRPr="00CA030E">
        <w:t>.</w:t>
      </w:r>
      <w:proofErr w:type="gramEnd"/>
      <w:r w:rsidRPr="00CA030E">
        <w:t xml:space="preserve"> </w:t>
      </w:r>
      <w:r>
        <w:rPr>
          <w:lang w:val="en-US"/>
        </w:rPr>
        <w:t xml:space="preserve">~/cuckoo/bin/activate </w:t>
      </w:r>
      <w:r>
        <w:t>и</w:t>
      </w:r>
      <w:r w:rsidRPr="00CA030E">
        <w:rPr>
          <w:lang w:val="en-US"/>
        </w:rPr>
        <w:t xml:space="preserve"> </w:t>
      </w:r>
      <w:r>
        <w:rPr>
          <w:lang w:val="en-US"/>
        </w:rPr>
        <w:t xml:space="preserve">cuckoo </w:t>
      </w:r>
      <w:r w:rsidR="00386130">
        <w:rPr>
          <w:lang w:val="en-US"/>
        </w:rPr>
        <w:t>–</w:t>
      </w:r>
      <w:r>
        <w:rPr>
          <w:lang w:val="en-US"/>
        </w:rPr>
        <w:t>debug</w:t>
      </w:r>
    </w:p>
    <w:p w14:paraId="120219CC" w14:textId="1FBF7843" w:rsidR="00386130" w:rsidRPr="009F2EB1" w:rsidRDefault="00A26AB1" w:rsidP="00CA030E">
      <w:pPr>
        <w:rPr>
          <w:lang w:val="en-US"/>
        </w:rPr>
      </w:pPr>
      <w:proofErr w:type="spellStart"/>
      <w:r>
        <w:rPr>
          <w:lang w:val="en-US"/>
        </w:rPr>
        <w:t>VMCloak</w:t>
      </w:r>
      <w:proofErr w:type="spellEnd"/>
      <w:r w:rsidRPr="009F2EB1">
        <w:rPr>
          <w:lang w:val="en-US"/>
        </w:rPr>
        <w:t xml:space="preserve">. </w:t>
      </w:r>
    </w:p>
    <w:p w14:paraId="6BB2E8F1" w14:textId="635299AC" w:rsidR="007A31A2" w:rsidRPr="009F2EB1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Чистый</w:t>
      </w:r>
      <w:r w:rsidRPr="009F2EB1">
        <w:rPr>
          <w:lang w:val="en-US"/>
        </w:rPr>
        <w:t xml:space="preserve"> </w:t>
      </w:r>
      <w:r>
        <w:t>образ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clean</w:t>
      </w:r>
    </w:p>
    <w:p w14:paraId="26EC2C51" w14:textId="11C8A01A" w:rsidR="000D1C88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Клон</w:t>
      </w:r>
      <w:r w:rsidRPr="009F2EB1">
        <w:rPr>
          <w:lang w:val="en-US"/>
        </w:rPr>
        <w:t xml:space="preserve"> </w:t>
      </w:r>
      <w:r>
        <w:t>с</w:t>
      </w:r>
      <w:r w:rsidRPr="009F2EB1">
        <w:rPr>
          <w:lang w:val="en-US"/>
        </w:rPr>
        <w:t xml:space="preserve"> </w:t>
      </w:r>
      <w:r>
        <w:t>надстройками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snap</w:t>
      </w:r>
    </w:p>
    <w:p w14:paraId="58B2B0FA" w14:textId="77777777" w:rsidR="000D1C88" w:rsidRDefault="000D1C88">
      <w:pPr>
        <w:rPr>
          <w:lang w:val="en-US"/>
        </w:rPr>
      </w:pPr>
      <w:r>
        <w:rPr>
          <w:lang w:val="en-US"/>
        </w:rPr>
        <w:br w:type="page"/>
      </w: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11" w:name="_Toc12324480"/>
      <w:r w:rsidRPr="007143F3">
        <w:rPr>
          <w:rFonts w:cs="Times New Roman"/>
          <w:bCs/>
          <w:color w:val="auto"/>
          <w:szCs w:val="28"/>
        </w:rPr>
        <w:lastRenderedPageBreak/>
        <w:t>Список литературы</w:t>
      </w:r>
      <w:bookmarkEnd w:id="11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0D1C88">
      <w:pPr>
        <w:spacing w:after="0"/>
        <w:jc w:val="center"/>
        <w:rPr>
          <w:rFonts w:eastAsia="Times New Roman" w:cs="Times New Roman"/>
          <w:szCs w:val="28"/>
        </w:rPr>
      </w:pPr>
    </w:p>
    <w:p w14:paraId="4B5B89F7" w14:textId="59F1669C" w:rsidR="007A31A2" w:rsidRPr="000D1C88" w:rsidRDefault="000D1C88" w:rsidP="000D1C88">
      <w:r w:rsidRPr="000D1C88">
        <w:rPr>
          <w:lang w:val="en-US"/>
        </w:rPr>
        <w:t>https</w:t>
      </w:r>
      <w:r w:rsidRPr="000D1C88">
        <w:t>://</w:t>
      </w:r>
      <w:r w:rsidRPr="000D1C88">
        <w:rPr>
          <w:lang w:val="en-US"/>
        </w:rPr>
        <w:t>math</w:t>
      </w:r>
      <w:r w:rsidRPr="000D1C88">
        <w:t>-</w:t>
      </w:r>
      <w:r w:rsidRPr="000D1C88">
        <w:rPr>
          <w:lang w:val="en-US"/>
        </w:rPr>
        <w:t>it</w:t>
      </w:r>
      <w:r w:rsidRPr="000D1C88">
        <w:t>.</w:t>
      </w:r>
      <w:proofErr w:type="spellStart"/>
      <w:r w:rsidRPr="000D1C88">
        <w:rPr>
          <w:lang w:val="en-US"/>
        </w:rPr>
        <w:t>petrsu</w:t>
      </w:r>
      <w:proofErr w:type="spellEnd"/>
      <w:r w:rsidRPr="000D1C88">
        <w:t>.</w:t>
      </w:r>
      <w:proofErr w:type="spellStart"/>
      <w:r w:rsidRPr="000D1C88">
        <w:rPr>
          <w:lang w:val="en-US"/>
        </w:rPr>
        <w:t>ru</w:t>
      </w:r>
      <w:proofErr w:type="spellEnd"/>
      <w:r w:rsidRPr="000D1C88">
        <w:t>/</w:t>
      </w:r>
      <w:r w:rsidRPr="000D1C88">
        <w:rPr>
          <w:lang w:val="en-US"/>
        </w:rPr>
        <w:t>users</w:t>
      </w:r>
      <w:r w:rsidRPr="000D1C88">
        <w:t>/</w:t>
      </w:r>
      <w:proofErr w:type="spellStart"/>
      <w:r w:rsidRPr="000D1C88">
        <w:rPr>
          <w:lang w:val="en-US"/>
        </w:rPr>
        <w:t>semenova</w:t>
      </w:r>
      <w:proofErr w:type="spellEnd"/>
      <w:r w:rsidRPr="000D1C88">
        <w:t>/</w:t>
      </w:r>
      <w:proofErr w:type="spellStart"/>
      <w:r w:rsidRPr="000D1C88">
        <w:rPr>
          <w:lang w:val="en-US"/>
        </w:rPr>
        <w:t>Informatika</w:t>
      </w:r>
      <w:proofErr w:type="spellEnd"/>
      <w:r w:rsidRPr="000D1C88">
        <w:t>/</w:t>
      </w:r>
      <w:r w:rsidRPr="000D1C88">
        <w:rPr>
          <w:lang w:val="en-US"/>
        </w:rPr>
        <w:t>DOC</w:t>
      </w:r>
      <w:r w:rsidRPr="000D1C88">
        <w:t>/</w:t>
      </w:r>
      <w:r w:rsidRPr="000D1C88">
        <w:rPr>
          <w:lang w:val="en-US"/>
        </w:rPr>
        <w:t>MUM</w:t>
      </w:r>
      <w:r w:rsidRPr="000D1C88">
        <w:t>_65/</w:t>
      </w:r>
      <w:r w:rsidRPr="000D1C88">
        <w:rPr>
          <w:lang w:val="en-US"/>
        </w:rPr>
        <w:t>Lections</w:t>
      </w:r>
      <w:r w:rsidRPr="000D1C88">
        <w:t>/</w:t>
      </w:r>
      <w:r w:rsidRPr="000D1C88">
        <w:rPr>
          <w:lang w:val="en-US"/>
        </w:rPr>
        <w:t>Comp</w:t>
      </w:r>
      <w:r w:rsidRPr="000D1C88">
        <w:t>_</w:t>
      </w:r>
      <w:r w:rsidRPr="000D1C88">
        <w:rPr>
          <w:lang w:val="en-US"/>
        </w:rPr>
        <w:t>bez</w:t>
      </w:r>
      <w:r w:rsidRPr="000D1C88">
        <w:t>_</w:t>
      </w:r>
      <w:proofErr w:type="spellStart"/>
      <w:r w:rsidRPr="000D1C88">
        <w:rPr>
          <w:lang w:val="en-US"/>
        </w:rPr>
        <w:t>Lec</w:t>
      </w:r>
      <w:proofErr w:type="spellEnd"/>
      <w:r w:rsidRPr="000D1C88">
        <w:t>.</w:t>
      </w:r>
      <w:r w:rsidRPr="000D1C88">
        <w:rPr>
          <w:lang w:val="en-US"/>
        </w:rPr>
        <w:t>pdf</w:t>
      </w:r>
    </w:p>
    <w:p w14:paraId="71436198" w14:textId="77777777" w:rsidR="00A26AB1" w:rsidRPr="000D1C88" w:rsidRDefault="00A26AB1" w:rsidP="00CA030E"/>
    <w:sectPr w:rsidR="00A26AB1" w:rsidRPr="000D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A66AADC8">
      <w:numFmt w:val="bullet"/>
      <w:lvlText w:val="-"/>
      <w:lvlJc w:val="left"/>
      <w:pPr>
        <w:ind w:left="2685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5FC5"/>
    <w:rsid w:val="00057573"/>
    <w:rsid w:val="000A44B2"/>
    <w:rsid w:val="000D1C88"/>
    <w:rsid w:val="00141BE5"/>
    <w:rsid w:val="001815E6"/>
    <w:rsid w:val="001B7A8C"/>
    <w:rsid w:val="00225AB4"/>
    <w:rsid w:val="0024147D"/>
    <w:rsid w:val="00294F6B"/>
    <w:rsid w:val="00316BFF"/>
    <w:rsid w:val="00386130"/>
    <w:rsid w:val="0040763D"/>
    <w:rsid w:val="00451920"/>
    <w:rsid w:val="004D605A"/>
    <w:rsid w:val="00524C34"/>
    <w:rsid w:val="005350EA"/>
    <w:rsid w:val="00540E85"/>
    <w:rsid w:val="0057499A"/>
    <w:rsid w:val="005D4ADB"/>
    <w:rsid w:val="006E637C"/>
    <w:rsid w:val="007A01C4"/>
    <w:rsid w:val="007A31A2"/>
    <w:rsid w:val="007E277E"/>
    <w:rsid w:val="00910C14"/>
    <w:rsid w:val="009F2EB1"/>
    <w:rsid w:val="00A26AB1"/>
    <w:rsid w:val="00A34B89"/>
    <w:rsid w:val="00A4319A"/>
    <w:rsid w:val="00AC525F"/>
    <w:rsid w:val="00B14086"/>
    <w:rsid w:val="00B348BC"/>
    <w:rsid w:val="00CA030E"/>
    <w:rsid w:val="00CF12D0"/>
    <w:rsid w:val="00D17A1A"/>
    <w:rsid w:val="00D82EB0"/>
    <w:rsid w:val="00DB7F70"/>
    <w:rsid w:val="00DF194D"/>
    <w:rsid w:val="00E33C70"/>
    <w:rsid w:val="00E95696"/>
    <w:rsid w:val="00F252CF"/>
    <w:rsid w:val="00F97515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EA"/>
    <w:pPr>
      <w:keepNext/>
      <w:keepLines/>
      <w:spacing w:before="40" w:after="0" w:line="240" w:lineRule="auto"/>
      <w:ind w:left="708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0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19</cp:revision>
  <dcterms:created xsi:type="dcterms:W3CDTF">2021-05-17T10:49:00Z</dcterms:created>
  <dcterms:modified xsi:type="dcterms:W3CDTF">2021-06-11T03:56:00Z</dcterms:modified>
</cp:coreProperties>
</file>