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12"/>
              <w:left w:val="single" w:color="C00000" w:sz="12"/>
              <w:bottom w:val="single" w:color="C00000" w:sz="12"/>
              <w:right w:val="single" w:color="C00000" w:sz="12"/>
            </w:tcBorders>
            <w:shd w:fill="FFF5F5" w:color="auto" w:val="clear"/>
            <w:tcMar>
              <w:top w:type="dxa" w:w="160"/>
              <w:left w:type="dxa" w:w="200"/>
              <w:bottom w:type="dxa" w:w="160"/>
              <w:right w:type="dxa" w:w="200"/>
            </w:tcMar>
          </w:tcPr>
          <w:p>
            <w:pPr>
              <w:spacing w:after="140"/>
            </w:pPr>
            <w:r>
              <w:rPr>
                <w:rFonts w:ascii="Calibri" w:cs="Calibri" w:eastAsia="Calibri" w:hAnsi="Calibri"/>
                <w:b/>
                <w:bCs/>
                <w:color w:val="C00000"/>
                <w:sz w:val="24"/>
                <w:szCs w:val="24"/>
              </w:rPr>
              <w:t xml:space="preserve">NOTAS AO DENUNCIANTE — REMOVER ESTA PÁGINA ANTES DO PROTOCOLO</w:t>
            </w:r>
          </w:p>
          <w:p>
            <w:pPr>
              <w:pStyle w:val="ListParagraph"/>
              <w:numPr>
                <w:ilvl w:val="0"/>
                <w:numId w:val="2"/>
              </w:numPr>
              <w:spacing w:after="80"/>
            </w:pPr>
            <w:r>
              <w:t xml:space="preserve">Esta é uma minuta preparada a partir de documentos públicos. Recomenda-se revisão por advogado(a). Não é obrigatório, mas é prudente.</w:t>
            </w:r>
          </w:p>
          <w:p>
            <w:pPr>
              <w:pStyle w:val="ListParagraph"/>
              <w:numPr>
                <w:ilvl w:val="0"/>
                <w:numId w:val="2"/>
              </w:numPr>
              <w:spacing w:after="80"/>
            </w:pPr>
            <w:r>
              <w:rPr>
                <w:b/>
                <w:bCs/>
              </w:rPr>
              <w:t xml:space="preserve">Campos em amarelo </w:t>
            </w:r>
            <w:r>
              <w:t xml:space="preserve">devem ser preenchidos com seus dados ou conferidos no documento oficial antes da assinatura.</w:t>
            </w:r>
          </w:p>
          <w:p>
            <w:pPr>
              <w:pStyle w:val="ListParagraph"/>
              <w:numPr>
                <w:ilvl w:val="0"/>
                <w:numId w:val="2"/>
              </w:numPr>
              <w:spacing w:after="80"/>
            </w:pPr>
            <w:r>
              <w:rPr>
                <w:b/>
                <w:bCs/>
              </w:rPr>
              <w:t xml:space="preserve">Firma reconhecida </w:t>
            </w:r>
            <w:r>
              <w:t xml:space="preserve">em cartório é obrigatória (Lei 1.079/1950, art. 16). Anexe RG, título de eleitor e certidão de quitação eleitoral, que comprova a cidadania (art. 14).</w:t>
            </w:r>
          </w:p>
          <w:p>
            <w:pPr>
              <w:pStyle w:val="ListParagraph"/>
              <w:numPr>
                <w:ilvl w:val="0"/>
                <w:numId w:val="2"/>
              </w:numPr>
              <w:spacing w:after="80"/>
            </w:pPr>
            <w:r>
              <w:rPr>
                <w:b/>
                <w:bCs/>
              </w:rPr>
              <w:t xml:space="preserve">Anexe os documentos do item VIII. </w:t>
            </w:r>
            <w:r>
              <w:t xml:space="preserve">Baixe cada um da fonte oficial (TCU, DOU, Câmara). Onde a minuta diz "conforme noticiado", confira o dado no documento oficial e ajuste o texto se houver diferença.</w:t>
            </w:r>
          </w:p>
          <w:p>
            <w:pPr>
              <w:pStyle w:val="ListParagraph"/>
              <w:numPr>
                <w:ilvl w:val="0"/>
                <w:numId w:val="2"/>
              </w:numPr>
              <w:spacing w:after="80"/>
            </w:pPr>
            <w:r>
              <w:rPr>
                <w:b/>
                <w:bCs/>
              </w:rPr>
              <w:t xml:space="preserve">Prazo. </w:t>
            </w:r>
            <w:r>
              <w:t xml:space="preserve">A denúncia só pode ser recebida enquanto o denunciado estiver no cargo (art. 15). O mandato em curso termina em 5 de janeiro de 2027 (CF, art. 82, na redação da EC 111/2021). Se houver recondução, há controvérsia sobre responsabilização por atos de mandato anterior.</w:t>
            </w:r>
          </w:p>
          <w:p>
            <w:pPr>
              <w:pStyle w:val="ListParagraph"/>
              <w:numPr>
                <w:ilvl w:val="0"/>
                <w:numId w:val="2"/>
              </w:numPr>
              <w:spacing w:after="80"/>
            </w:pPr>
            <w:r>
              <w:rPr>
                <w:b/>
                <w:bCs/>
              </w:rPr>
              <w:t xml:space="preserve">Protocolo: </w:t>
            </w:r>
            <w:r>
              <w:t xml:space="preserve">Secretaria-Geral da Mesa da Câmara dos Deputados, em Brasília. Confirme com a Câmara se há forma de protocolo à distância.</w:t>
            </w:r>
          </w:p>
          <w:p>
            <w:pPr>
              <w:pStyle w:val="ListParagraph"/>
              <w:numPr>
                <w:ilvl w:val="0"/>
                <w:numId w:val="2"/>
              </w:numPr>
              <w:spacing w:after="80"/>
            </w:pPr>
            <w:r>
              <w:rPr>
                <w:b/>
                <w:bCs/>
              </w:rPr>
              <w:t xml:space="preserve">Avaliação franca: </w:t>
            </w:r>
            <w:r>
              <w:t xml:space="preserve">o TCU recomendou a aprovação, com ressalvas, das contas de 2023, 2024 e 2025, e pedidos anteriores sobre o Pé-de-Meia não prosperaram. A chance de recebimento é baixa. A denúncia continua sendo um exercício legítimo de cidadania, desde que se mantenha fiel aos documentos.</w:t>
            </w:r>
          </w:p>
          <w:p>
            <w:pPr>
              <w:pStyle w:val="ListParagraph"/>
              <w:numPr>
                <w:ilvl w:val="0"/>
                <w:numId w:val="2"/>
              </w:numPr>
              <w:spacing w:after="80"/>
            </w:pPr>
            <w:r>
              <w:rPr>
                <w:b/>
                <w:bCs/>
              </w:rPr>
              <w:t xml:space="preserve">Boa-fé: </w:t>
            </w:r>
            <w:r>
              <w:t xml:space="preserve">não acrescente fatos sem prova nem amplie o que os documentos dizem. Imputar crime a alguém sabendo que é inocente é crime de denunciação caluniosa (CP, art. 339). Por isso a minuta traz, no item IV, os elementos favoráveis ao denunciado.</w:t>
            </w:r>
          </w:p>
          <w:p>
            <w:pPr>
              <w:pStyle w:val="ListParagraph"/>
              <w:numPr>
                <w:ilvl w:val="0"/>
                <w:numId w:val="2"/>
              </w:numPr>
              <w:spacing w:after="80"/>
            </w:pPr>
            <w:r>
              <w:rPr>
                <w:b/>
                <w:bCs/>
              </w:rPr>
              <w:t xml:space="preserve">Fato excluído: </w:t>
            </w:r>
            <w:r>
              <w:t xml:space="preserve">a garantia da União ao empréstimo de R$ 12 bilhões aos Correios (TCU, Acórdão 1.359/2026) ficou de fora. O próprio relator registrou que a decisão não tem caráter punitivo e não há ato pessoal do Presidente identificado.</w:t>
            </w:r>
          </w:p>
        </w:tc>
      </w:tr>
    </w:tbl>
    <w:p>
      <w:r>
        <w:br w:type="page"/>
      </w:r>
    </w:p>
    <w:p>
      <w:pPr>
        <w:spacing w:after="600"/>
        <w:jc w:val="center"/>
      </w:pPr>
      <w:r>
        <w:rPr>
          <w:b/>
          <w:bCs/>
        </w:rPr>
        <w:t xml:space="preserve">EXCELENTÍSSIMO SENHOR PRESIDENTE DA CÂMARA DOS DEPUTADOS</w:t>
      </w:r>
    </w:p>
    <w:p>
      <w:pPr>
        <w:spacing w:after="160" w:line="360"/>
        <w:jc w:val="both"/>
      </w:pPr>
      <w:r>
        <w:rPr>
          <w:shd w:fill="FFF2A8" w:color="auto" w:val="clear"/>
        </w:rPr>
        <w:t xml:space="preserve">[NOME COMPLETO]</w:t>
      </w:r>
      <w:r>
        <w:t xml:space="preserve">, brasileiro(a), </w:t>
      </w:r>
      <w:r>
        <w:rPr>
          <w:shd w:fill="FFF2A8" w:color="auto" w:val="clear"/>
        </w:rPr>
        <w:t xml:space="preserve">[estado civil]</w:t>
      </w:r>
      <w:r>
        <w:t xml:space="preserve">, </w:t>
      </w:r>
      <w:r>
        <w:rPr>
          <w:shd w:fill="FFF2A8" w:color="auto" w:val="clear"/>
        </w:rPr>
        <w:t xml:space="preserve">[profissão]</w:t>
      </w:r>
      <w:r>
        <w:t xml:space="preserve">, portador(a) da cédula de identidade RG nº </w:t>
      </w:r>
      <w:r>
        <w:rPr>
          <w:shd w:fill="FFF2A8" w:color="auto" w:val="clear"/>
        </w:rPr>
        <w:t xml:space="preserve">[____]</w:t>
      </w:r>
      <w:r>
        <w:t xml:space="preserve">, inscrito(a) no CPF sob o nº </w:t>
      </w:r>
      <w:r>
        <w:rPr>
          <w:shd w:fill="FFF2A8" w:color="auto" w:val="clear"/>
        </w:rPr>
        <w:t xml:space="preserve">[____]</w:t>
      </w:r>
      <w:r>
        <w:t xml:space="preserve">, eleitor(a) inscrito(a) sob o título nº </w:t>
      </w:r>
      <w:r>
        <w:rPr>
          <w:shd w:fill="FFF2A8" w:color="auto" w:val="clear"/>
        </w:rPr>
        <w:t xml:space="preserve">[____]</w:t>
      </w:r>
      <w:r>
        <w:t xml:space="preserve">, Zona </w:t>
      </w:r>
      <w:r>
        <w:rPr>
          <w:shd w:fill="FFF2A8" w:color="auto" w:val="clear"/>
        </w:rPr>
        <w:t xml:space="preserve">[__]</w:t>
      </w:r>
      <w:r>
        <w:t xml:space="preserve">, Seção </w:t>
      </w:r>
      <w:r>
        <w:rPr>
          <w:shd w:fill="FFF2A8" w:color="auto" w:val="clear"/>
        </w:rPr>
        <w:t xml:space="preserve">[__]</w:t>
      </w:r>
      <w:r>
        <w:t xml:space="preserve">, residente e domiciliado(a) em </w:t>
      </w:r>
      <w:r>
        <w:rPr>
          <w:shd w:fill="FFF2A8" w:color="auto" w:val="clear"/>
        </w:rPr>
        <w:t xml:space="preserve">[endereço completo, CEP]</w:t>
      </w:r>
      <w:r>
        <w:t xml:space="preserve">, endereço eletrônico </w:t>
      </w:r>
      <w:r>
        <w:rPr>
          <w:shd w:fill="FFF2A8" w:color="auto" w:val="clear"/>
        </w:rPr>
        <w:t xml:space="preserve">[e-mail]</w:t>
      </w:r>
      <w:r>
        <w:t xml:space="preserve">, no pleno gozo de seus direitos políticos, vem respeitosamente, com fundamento nos arts. 85, VI e VII, e 86 da Constituição Federal e nos arts. 14 a 16 da Lei nº 1.079, de 10 de abril de 1950, apresentar</w:t>
      </w:r>
    </w:p>
    <w:p>
      <w:pPr>
        <w:spacing w:after="200"/>
        <w:jc w:val="center"/>
      </w:pPr>
      <w:r>
        <w:rPr>
          <w:b/>
          <w:bCs/>
          <w:sz w:val="28"/>
          <w:szCs w:val="28"/>
        </w:rPr>
        <w:t xml:space="preserve">DENÚNCIA POR CRIME DE RESPONSABILIDADE</w:t>
      </w:r>
    </w:p>
    <w:p>
      <w:pPr>
        <w:spacing w:after="160" w:line="360"/>
        <w:jc w:val="both"/>
      </w:pPr>
      <w:r>
        <w:t xml:space="preserve">contra o Presidente da República, </w:t>
      </w:r>
      <w:r>
        <w:rPr>
          <w:b/>
          <w:bCs/>
        </w:rPr>
        <w:t xml:space="preserve">LUIZ INÁCIO LULA DA SILVA</w:t>
      </w:r>
      <w:r>
        <w:t xml:space="preserve">, pelos fatos e fundamentos a seguir expostos.</w:t>
      </w:r>
    </w:p>
    <w:p>
      <w:pPr>
        <w:pStyle w:val="Heading1"/>
      </w:pPr>
      <w:r>
        <w:t xml:space="preserve">I. DA LEGITIMIDADE E DA ADMISSIBILIDADE</w:t>
      </w:r>
    </w:p>
    <w:p>
      <w:pPr>
        <w:spacing w:after="160" w:line="360"/>
        <w:ind w:firstLine="709"/>
        <w:jc w:val="both"/>
      </w:pPr>
      <w:r>
        <w:t xml:space="preserve">1. Qualquer cidadão pode denunciar o Presidente da República perante a Câmara dos Deputados por crime de responsabilidade (Lei nº 1.079/1950, art. 14). A condição de cidadão do denunciante está comprovada pelos documentos anexos (Doc. 1).</w:t>
      </w:r>
    </w:p>
    <w:p>
      <w:pPr>
        <w:spacing w:after="160" w:line="360"/>
        <w:ind w:firstLine="709"/>
        <w:jc w:val="both"/>
      </w:pPr>
      <w:r>
        <w:t xml:space="preserve">2. O denunciado está no exercício do cargo, o que permite o recebimento da denúncia (art. 15).</w:t>
      </w:r>
    </w:p>
    <w:p>
      <w:pPr>
        <w:spacing w:after="160" w:line="360"/>
        <w:ind w:firstLine="709"/>
        <w:jc w:val="both"/>
      </w:pPr>
      <w:r>
        <w:t xml:space="preserve">3. A prova é essencialmente documental: atos oficiais do Tribunal de Contas da União e leis publicadas no Diário Oficial da União, relacionados no item VIII. Cumpre-se, assim, o art. 16 da Lei nº 1.079/1950.</w:t>
      </w:r>
    </w:p>
    <w:p>
      <w:pPr>
        <w:spacing w:after="160" w:line="360"/>
        <w:ind w:firstLine="709"/>
        <w:jc w:val="both"/>
      </w:pPr>
      <w:r>
        <w:t xml:space="preserve">4. O rito observará a Lei nº 1.079/1950, o Regimento Interno da Câmara dos Deputados (art. 218) e as balizas fixadas pelo Supremo Tribunal Federal na ADPF 378/DF.</w:t>
      </w:r>
    </w:p>
    <w:p>
      <w:pPr>
        <w:pStyle w:val="Heading1"/>
      </w:pPr>
      <w:r>
        <w:t xml:space="preserve">II. DOS FATOS</w:t>
      </w:r>
    </w:p>
    <w:p>
      <w:pPr>
        <w:pStyle w:val="Heading2"/>
      </w:pPr>
      <w:r>
        <w:t xml:space="preserve">Fato 1: execução do Programa Pé-de-Meia à margem da Lei Orçamentária Anual</w:t>
      </w:r>
    </w:p>
    <w:p>
      <w:pPr>
        <w:spacing w:after="160" w:line="360"/>
        <w:ind w:firstLine="709"/>
        <w:jc w:val="both"/>
      </w:pPr>
      <w:r>
        <w:t xml:space="preserve">5. O Programa Pé-de-Meia, incentivo financeiro-educacional a estudantes do ensino médio, foi instituído pela Lei nº 14.818, de 16 de janeiro de 2024 (Doc. 4). Ele é operado por meio do Fundo de Custeio da Poupança de Incentivo à Permanência e Conclusão Escolar para Estudantes do Ensino Médio (Fipem), fundo de natureza privada.</w:t>
      </w:r>
    </w:p>
    <w:p>
      <w:pPr>
        <w:spacing w:after="160" w:line="360"/>
        <w:ind w:firstLine="709"/>
        <w:jc w:val="both"/>
      </w:pPr>
      <w:r>
        <w:t xml:space="preserve">6. Conforme noticiado, as Leis nº 14.995/2024 e nº 15.076/2024 autorizaram a transferência ao Fipem de recursos não utilizados do Fundo de Garantia de Operações de Crédito Educativo (Fgeduc) e do Fundo de Garantia de Operações (FGO) (Doc. 5). </w:t>
      </w:r>
      <w:r>
        <w:rPr>
          <w:shd w:fill="FFF2A8" w:color="auto" w:val="clear"/>
        </w:rPr>
        <w:t xml:space="preserve">[Conferir no DOU o teor exato dessas leis.]</w:t>
      </w:r>
    </w:p>
    <w:p>
      <w:pPr>
        <w:spacing w:after="160" w:line="360"/>
        <w:ind w:firstLine="709"/>
        <w:jc w:val="both"/>
      </w:pPr>
      <w:r>
        <w:t xml:space="preserve">7. Em 22 de janeiro de 2025, o Plenário do Tribunal de Contas da União referendou, por unanimidade, medida cautelar do Ministro Augusto Nardes (Acórdão nº 61/2025-TCU-Plenário, TC 024.312/2024-0, Doc. 2). A medida suspendeu o uso de cerca de R$ 6 bilhões transferidos ao Fipem. O fundamento foi que os pagamentos aos estudantes estavam sendo feitos com recursos não previstos no Orçamento Geral da União. Segundo o relator, a lei permite que a União transfira recursos ao fundo, mas não permite que o pagamento dos incentivos aos estudantes se dê à margem do orçamento.</w:t>
      </w:r>
    </w:p>
    <w:p>
      <w:pPr>
        <w:spacing w:after="160" w:line="360"/>
        <w:ind w:firstLine="709"/>
        <w:jc w:val="both"/>
      </w:pPr>
      <w:r>
        <w:t xml:space="preserve">8. Em 12 de fevereiro de 2025, o TCU revogou a cautelar e fixou prazo de 120 dias para que o Poder Executivo adequasse o programa ao regime orçamentário constitucional, por crédito suplementar com cancelamento de despesas equivalentes ou por outro expediente legal (Doc. 3). O Executivo enviou então ao Congresso o PLN nº 5/2025, que propõe crédito suplementar de R$ 686 milhões ao Ministério da Educação para o programa (Doc. 8). Segundo a imprensa, o programa movimenta cerca de R$ 12 bilhões, dos quais cerca de R$ 1 bilhão estava na Lei Orçamentária de 2025.</w:t>
      </w:r>
    </w:p>
    <w:p>
      <w:pPr>
        <w:pStyle w:val="Heading2"/>
      </w:pPr>
      <w:r>
        <w:t xml:space="preserve">Fato 2: sanção de leis que concederam benefícios tributários sem os requisitos legais</w:t>
      </w:r>
    </w:p>
    <w:p>
      <w:pPr>
        <w:spacing w:after="160" w:line="360"/>
        <w:ind w:firstLine="709"/>
        <w:jc w:val="both"/>
      </w:pPr>
      <w:r>
        <w:t xml:space="preserve">9. No parecer prévio sobre as Contas do Presidente da República do exercício de 2024, aprovado em 11 de junho de 2025 (relator: Ministro Jhonatan de Jesus, Doc. 6 e 7), o TCU apontou como </w:t>
      </w:r>
      <w:r>
        <w:rPr>
          <w:i/>
          <w:iCs/>
        </w:rPr>
        <w:t xml:space="preserve">irregularidade</w:t>
      </w:r>
      <w:r>
        <w:t xml:space="preserve"> a concessão ou ampliação de benefícios tributários, por meio de renúncia de receita, sem observância das exigências legais. Segundo o Tribunal, das 23 desonerações instituídas por 19 atos normativos em 2024, parte não atendeu aos requisitos da Lei de Responsabilidade Fiscal (art. 14), da Lei de Diretrizes Orçamentárias e da Constituição. </w:t>
      </w:r>
      <w:r>
        <w:rPr>
          <w:shd w:fill="FFF2A8" w:color="auto" w:val="clear"/>
        </w:rPr>
        <w:t xml:space="preserve">[Identificar no relatório do TCU, capítulo sobre renúncias, quais leis foram apontadas e qual dispositivo constitucional foi citado, provavelmente o art. 113 do ADCT.]</w:t>
      </w:r>
    </w:p>
    <w:p>
      <w:pPr>
        <w:spacing w:after="160" w:line="360"/>
        <w:ind w:firstLine="709"/>
        <w:jc w:val="both"/>
      </w:pPr>
      <w:r>
        <w:t xml:space="preserve">10. O TCU também alertou o Poder Executivo de que, na elaboração e na sanção de leis de concessão ou ampliação de benefícios tributários, regras da LDO e da LRF deixaram de ser cumpridas. A sanção é ato privativo e pessoal do Presidente da República (CF, art. 84, IV). Isso estabelece o vínculo direto entre o fato apontado pelo TCU e a conduta do denunciado.</w:t>
      </w:r>
    </w:p>
    <w:p>
      <w:pPr>
        <w:pStyle w:val="Heading1"/>
      </w:pPr>
      <w:r>
        <w:t xml:space="preserve">III. DO DIREITO</w:t>
      </w:r>
    </w:p>
    <w:p>
      <w:pPr>
        <w:pStyle w:val="Heading2"/>
      </w:pPr>
      <w:r>
        <w:t xml:space="preserve">III.1 Do crime de responsabilidade contra a lei orçamentária</w:t>
      </w:r>
    </w:p>
    <w:p>
      <w:pPr>
        <w:spacing w:after="160" w:line="360"/>
        <w:ind w:firstLine="709"/>
        <w:jc w:val="both"/>
      </w:pPr>
      <w:r>
        <w:t xml:space="preserve">11. São crimes de responsabilidade os atos do Presidente da República que atentem contra a lei orçamentária e o cumprimento das leis (CF, art. 85, VI e VII). A Lei nº 1.079/1950 tipifica, entre outros, os de "infringir, patentemente, e de qualquer modo, dispositivo da lei orçamentária" (art. 10, item 4) e "ordenar despesas não autorizadas por lei ou sem observância das prescrições legais relativas às mesmas" (art. 11, item 1).</w:t>
      </w:r>
    </w:p>
    <w:p>
      <w:pPr>
        <w:pStyle w:val="Heading2"/>
      </w:pPr>
      <w:r>
        <w:t xml:space="preserve">III.2 Do enquadramento do Fato 1</w:t>
      </w:r>
    </w:p>
    <w:p>
      <w:pPr>
        <w:spacing w:after="160" w:line="360"/>
        <w:ind w:firstLine="709"/>
        <w:jc w:val="both"/>
      </w:pPr>
      <w:r>
        <w:t xml:space="preserve">12. A Constituição exige que a lei orçamentária anual compreenda as despesas da União (art. 165, § 5º). Ela também proíbe o início de programas ou projetos não incluídos na lei orçamentária anual e a realização de despesas que excedam os créditos orçamentários (art. 167, I e II). A Lei nº 4.320/1964 consagra o princípio da universalidade (art. 2º). A execução de um programa federal de transferência de renda com recursos que circularam fora do Orçamento Geral da União, como constatado pelo TCU em juízo cautelar, pode configurar, em tese, as condutas do art. 10, item 4, e do art. 11, item 1, da Lei nº 1.079/1950. Cabe à Câmara dos Deputados, após a instrução, avaliar a autoria e a responsabilidade pessoal do denunciado.</w:t>
      </w:r>
    </w:p>
    <w:p>
      <w:pPr>
        <w:pStyle w:val="Heading2"/>
      </w:pPr>
      <w:r>
        <w:t xml:space="preserve">III.3 Do enquadramento do Fato 2</w:t>
      </w:r>
    </w:p>
    <w:p>
      <w:pPr>
        <w:spacing w:after="160" w:line="360"/>
        <w:ind w:firstLine="709"/>
        <w:jc w:val="both"/>
      </w:pPr>
      <w:r>
        <w:t xml:space="preserve">13. A Lei de Diretrizes Orçamentárias integra o sistema constitucional das leis orçamentárias (CF, art. 165, II). Concessão ou ampliação de benefício tributário que resulte em renúncia de receita exige estimativa de impacto orçamentário-financeiro e medidas de compensação (LRF, art. 14). Proposição legislativa que crie renúncia de receita deve vir acompanhada da estimativa de impacto (ADCT, art. 113). Sancionar leis que, segundo o TCU, descumpriram esses requisitos pode configurar, em tese, a conduta do art. 10, item 4, da Lei nº 1.079/1950.</w:t>
      </w:r>
    </w:p>
    <w:p>
      <w:pPr>
        <w:pStyle w:val="Heading2"/>
      </w:pPr>
      <w:r>
        <w:t xml:space="preserve">III.4 Da autonomia desta instância em relação ao parecer do TCU</w:t>
      </w:r>
    </w:p>
    <w:p>
      <w:pPr>
        <w:spacing w:after="160" w:line="360"/>
        <w:ind w:firstLine="709"/>
        <w:jc w:val="both"/>
      </w:pPr>
      <w:r>
        <w:t xml:space="preserve">14. O parecer prévio do TCU sobre as contas presidenciais é opinativo (CF, art. 71, I). O julgamento dessas contas cabe ao Congresso Nacional (CF, art. 49, IX). A responsabilização por crime de responsabilidade é instância político-jurídica autônoma, regida pela Lei nº 1.079/1950. A aprovação das contas com ressalvas não impede, por si só, a apuração de condutas específicas nesta sede. Do mesmo modo, a existência de ressalvas não demonstra, por si só, a prática de crime.</w:t>
      </w:r>
    </w:p>
    <w:p>
      <w:pPr>
        <w:pStyle w:val="Heading1"/>
      </w:pPr>
      <w:r>
        <w:t xml:space="preserve">IV. DA LEALDADE PROCESSUAL: ELEMENTOS FAVORÁVEIS AO DENUNCIADO</w:t>
      </w:r>
    </w:p>
    <w:p>
      <w:pPr>
        <w:spacing w:after="160" w:line="360"/>
        <w:ind w:firstLine="709"/>
        <w:jc w:val="both"/>
      </w:pPr>
      <w:r>
        <w:t xml:space="preserve">15. Em respeito à boa-fé e para que esta Casa decida com informação completa, o denunciante registra os seguintes elementos favoráveis ao denunciado, todos extraídos das mesmas fontes oficiais:</w:t>
      </w:r>
    </w:p>
    <w:p>
      <w:pPr>
        <w:pStyle w:val="ListParagraph"/>
        <w:numPr>
          <w:ilvl w:val="0"/>
          <w:numId w:val="3"/>
        </w:numPr>
        <w:spacing w:after="100" w:line="340"/>
        <w:jc w:val="both"/>
      </w:pPr>
      <w:r>
        <w:t xml:space="preserve">O TCU recomendou, por unanimidade, a aprovação com ressalvas das Contas do Presidente da República dos exercícios de 2023, 2024 e 2025 (este último pelo Acórdão nº 1.442/2026-TCU-Plenário, TC 005.405/2026-2), sem recomendar a rejeição de nenhuma delas (Doc. 9).</w:t>
      </w:r>
    </w:p>
    <w:p>
      <w:pPr>
        <w:pStyle w:val="ListParagraph"/>
        <w:numPr>
          <w:ilvl w:val="0"/>
          <w:numId w:val="3"/>
        </w:numPr>
        <w:spacing w:after="100" w:line="340"/>
        <w:jc w:val="both"/>
      </w:pPr>
      <w:r>
        <w:t xml:space="preserve">No Fato 1, as transferências ao Fipem tiveram amparo em leis aprovadas pelo Congresso Nacional. A decisão do TCU foi cautelar, sem julgamento de mérito, e foi revogada em 12/02/2025. O Executivo apresentou proposta de regularização (PLN nº 5/2025), e a Advocacia-Geral da União sustenta a legalidade das transferências.</w:t>
      </w:r>
    </w:p>
    <w:p>
      <w:pPr>
        <w:pStyle w:val="ListParagraph"/>
        <w:numPr>
          <w:ilvl w:val="0"/>
          <w:numId w:val="3"/>
        </w:numPr>
        <w:spacing w:after="100" w:line="340"/>
        <w:jc w:val="both"/>
      </w:pPr>
      <w:r>
        <w:t xml:space="preserve">No Fato 2, o próprio TCU registrou que todas as renúncias de receita que entraram em vigor em 2024 foram acompanhadas de medidas compensatórias. Parte das leis pode ter origem em iniciativa parlamentar.</w:t>
      </w:r>
    </w:p>
    <w:p>
      <w:pPr>
        <w:pStyle w:val="ListParagraph"/>
        <w:numPr>
          <w:ilvl w:val="0"/>
          <w:numId w:val="3"/>
        </w:numPr>
        <w:spacing w:after="100" w:line="340"/>
        <w:jc w:val="both"/>
      </w:pPr>
      <w:r>
        <w:t xml:space="preserve">Os documentos oficiais não demonstram, por si sós, intenção deliberada do denunciado de violar a lei orçamentária. Por isso o denunciante pede a instrução descrita no item V.</w:t>
      </w:r>
    </w:p>
    <w:p>
      <w:pPr>
        <w:pStyle w:val="Heading1"/>
      </w:pPr>
      <w:r>
        <w:t xml:space="preserve">V. DOS PEDIDOS DE DILIGÊNCIA E INVESTIGAÇÃO</w:t>
      </w:r>
    </w:p>
    <w:p>
      <w:pPr>
        <w:spacing w:after="160" w:line="360"/>
        <w:ind w:firstLine="709"/>
        <w:jc w:val="both"/>
      </w:pPr>
      <w:r>
        <w:t xml:space="preserve">16. Com fundamento no art. 20 da Lei nº 1.079/1950, que autoriza a Comissão Especial a realizar as diligências necessárias ao esclarecimento da denúncia, requer-se:</w:t>
      </w:r>
    </w:p>
    <w:p>
      <w:pPr>
        <w:pStyle w:val="ListParagraph"/>
        <w:numPr>
          <w:ilvl w:val="0"/>
          <w:numId w:val="3"/>
        </w:numPr>
        <w:spacing w:after="100" w:line="340"/>
        <w:jc w:val="both"/>
      </w:pPr>
      <w:r>
        <w:t xml:space="preserve">a requisição ao Tribunal de Contas da União de cópia integral do processo TC 024.312/2024-0 (Pé-de-Meia), inclusive da decisão de 12/02/2025 e do acompanhamento do cumprimento do prazo de 120 dias, e do processo de apreciação das Contas do Presidente da República do exercício de 2024, em especial o capítulo sobre renúncias de receita;</w:t>
      </w:r>
    </w:p>
    <w:p>
      <w:pPr>
        <w:pStyle w:val="ListParagraph"/>
        <w:numPr>
          <w:ilvl w:val="0"/>
          <w:numId w:val="3"/>
        </w:numPr>
        <w:spacing w:after="100" w:line="340"/>
        <w:jc w:val="both"/>
      </w:pPr>
      <w:r>
        <w:t xml:space="preserve">a requisição ao Ministério da Educação, ao Ministério da Fazenda e ao agente operador do Fipem dos demonstrativos dos pagamentos do Programa Pé-de-Meia em 2024 e 2025, com a origem dos recursos (orçamentária ou extraorçamentária);</w:t>
      </w:r>
    </w:p>
    <w:p>
      <w:pPr>
        <w:pStyle w:val="ListParagraph"/>
        <w:numPr>
          <w:ilvl w:val="0"/>
          <w:numId w:val="3"/>
        </w:numPr>
        <w:spacing w:after="100" w:line="340"/>
        <w:jc w:val="both"/>
      </w:pPr>
      <w:r>
        <w:t xml:space="preserve">a requisição à Casa Civil da Presidência da República dos processos de sanção das leis apontadas pelo TCU, com as estimativas de impacto orçamentário-financeiro e as manifestações dos órgãos técnicos;</w:t>
      </w:r>
    </w:p>
    <w:p>
      <w:pPr>
        <w:pStyle w:val="ListParagraph"/>
        <w:numPr>
          <w:ilvl w:val="0"/>
          <w:numId w:val="3"/>
        </w:numPr>
        <w:spacing w:after="100" w:line="340"/>
        <w:jc w:val="both"/>
      </w:pPr>
      <w:r>
        <w:t xml:space="preserve">a informação, pelo Congresso Nacional, sobre a tramitação e o resultado do PLN nº 5/2025 e o julgamento das contas presidenciais de 2023 a 2025;</w:t>
      </w:r>
    </w:p>
    <w:p>
      <w:pPr>
        <w:pStyle w:val="ListParagraph"/>
        <w:numPr>
          <w:ilvl w:val="0"/>
          <w:numId w:val="3"/>
        </w:numPr>
        <w:spacing w:after="100" w:line="340"/>
        <w:jc w:val="both"/>
      </w:pPr>
      <w:r>
        <w:t xml:space="preserve">a oitiva das testemunhas arroladas no item IX, se houver.</w:t>
      </w:r>
    </w:p>
    <w:p>
      <w:pPr>
        <w:pStyle w:val="Heading1"/>
      </w:pPr>
      <w:r>
        <w:t xml:space="preserve">VI. DOS PEDIDOS</w:t>
      </w:r>
    </w:p>
    <w:p>
      <w:pPr>
        <w:spacing w:after="160" w:line="360"/>
        <w:ind w:firstLine="709"/>
        <w:jc w:val="both"/>
      </w:pPr>
      <w:r>
        <w:t xml:space="preserve">17. Diante do exposto, requer-se:</w:t>
      </w:r>
    </w:p>
    <w:p>
      <w:pPr>
        <w:pStyle w:val="ListParagraph"/>
        <w:numPr>
          <w:ilvl w:val="0"/>
          <w:numId w:val="3"/>
        </w:numPr>
        <w:spacing w:after="100" w:line="340"/>
        <w:jc w:val="both"/>
      </w:pPr>
      <w:r>
        <w:t xml:space="preserve">o recebimento desta denúncia, sua leitura no expediente da sessão seguinte e o envio a Comissão Especial (Lei nº 1.079/1950, art. 19);</w:t>
      </w:r>
    </w:p>
    <w:p>
      <w:pPr>
        <w:pStyle w:val="ListParagraph"/>
        <w:numPr>
          <w:ilvl w:val="0"/>
          <w:numId w:val="3"/>
        </w:numPr>
        <w:spacing w:after="100" w:line="340"/>
        <w:jc w:val="both"/>
      </w:pPr>
      <w:r>
        <w:t xml:space="preserve">a realização das diligências do item V e a notificação do denunciado para se manifestar;</w:t>
      </w:r>
    </w:p>
    <w:p>
      <w:pPr>
        <w:pStyle w:val="ListParagraph"/>
        <w:numPr>
          <w:ilvl w:val="0"/>
          <w:numId w:val="3"/>
        </w:numPr>
        <w:spacing w:after="100" w:line="340"/>
        <w:jc w:val="both"/>
      </w:pPr>
      <w:r>
        <w:t xml:space="preserve">caso a instrução confirme a responsabilidade pessoal do denunciado, a autorização para instauração do processo pelo Senado Federal (CF, arts. 51, I, e 86), para aplicação das sanções do art. 52, parágrafo único, da Constituição.</w:t>
      </w:r>
    </w:p>
    <w:p>
      <w:pPr>
        <w:pStyle w:val="Heading1"/>
      </w:pPr>
      <w:r>
        <w:t xml:space="preserve">VII. DECLARAÇÃO DE BOA-FÉ</w:t>
      </w:r>
    </w:p>
    <w:p>
      <w:pPr>
        <w:spacing w:after="160" w:line="360"/>
        <w:ind w:firstLine="709"/>
        <w:jc w:val="both"/>
      </w:pPr>
      <w:r>
        <w:t xml:space="preserve">18. O denunciante declara que os fatos narrados foram extraídos exclusivamente de documentos públicos oficiais e de notícias de fontes identificadas, todos relacionados no item VIII e no Anexo. Declara que reproduziu também os elementos favoráveis ao denunciado e que não lhe imputa fato que saiba ser falso. A presente denúncia busca a apuração dos fatos pelo órgão constitucionalmente competente, sem prejuízo do direito de defesa.</w:t>
      </w:r>
    </w:p>
    <w:p>
      <w:pPr>
        <w:pStyle w:val="Heading1"/>
      </w:pPr>
      <w:r>
        <w:t xml:space="preserve">VIII. DOS DOCUMENTOS</w:t>
      </w:r>
    </w:p>
    <w:p>
      <w:pPr>
        <w:pStyle w:val="ListParagraph"/>
        <w:numPr>
          <w:ilvl w:val="0"/>
          <w:numId w:val="4"/>
        </w:numPr>
        <w:spacing w:after="100" w:line="340"/>
        <w:jc w:val="both"/>
      </w:pPr>
      <w:r>
        <w:t xml:space="preserve">Doc. 1: documento de identidade, título de eleitor e certidão de quitação eleitoral do denunciante.</w:t>
      </w:r>
    </w:p>
    <w:p>
      <w:pPr>
        <w:pStyle w:val="ListParagraph"/>
        <w:numPr>
          <w:ilvl w:val="0"/>
          <w:numId w:val="4"/>
        </w:numPr>
        <w:spacing w:after="100" w:line="340"/>
        <w:jc w:val="both"/>
      </w:pPr>
      <w:r>
        <w:t xml:space="preserve">Doc. 2: Acórdão nº 61/2025-TCU-Plenário (TC 024.312/2024-0), referendo de medida cautelar, Pé-de-Meia.</w:t>
      </w:r>
    </w:p>
    <w:p>
      <w:pPr>
        <w:pStyle w:val="ListParagraph"/>
        <w:numPr>
          <w:ilvl w:val="0"/>
          <w:numId w:val="4"/>
        </w:numPr>
        <w:spacing w:after="100" w:line="340"/>
        <w:jc w:val="both"/>
      </w:pPr>
      <w:r>
        <w:t xml:space="preserve">Doc. 3: decisão do TCU de 12/02/2025 que revogou a cautelar e fixou prazo de 120 dias (</w:t>
      </w:r>
      <w:r>
        <w:rPr>
          <w:shd w:fill="FFF2A8" w:color="auto" w:val="clear"/>
        </w:rPr>
        <w:t xml:space="preserve">nº do acórdão a obter</w:t>
      </w:r>
      <w:r>
        <w:t xml:space="preserve">).</w:t>
      </w:r>
    </w:p>
    <w:p>
      <w:pPr>
        <w:pStyle w:val="ListParagraph"/>
        <w:numPr>
          <w:ilvl w:val="0"/>
          <w:numId w:val="4"/>
        </w:numPr>
        <w:spacing w:after="100" w:line="340"/>
        <w:jc w:val="both"/>
      </w:pPr>
      <w:r>
        <w:t xml:space="preserve">Doc. 4: Lei nº 14.818, de 16 de janeiro de 2024 (DOU).</w:t>
      </w:r>
    </w:p>
    <w:p>
      <w:pPr>
        <w:pStyle w:val="ListParagraph"/>
        <w:numPr>
          <w:ilvl w:val="0"/>
          <w:numId w:val="4"/>
        </w:numPr>
        <w:spacing w:after="100" w:line="340"/>
        <w:jc w:val="both"/>
      </w:pPr>
      <w:r>
        <w:t xml:space="preserve">Doc. 5: Leis nº 14.995/2024 e nº 15.076/2024 (DOU).</w:t>
      </w:r>
    </w:p>
    <w:p>
      <w:pPr>
        <w:pStyle w:val="ListParagraph"/>
        <w:numPr>
          <w:ilvl w:val="0"/>
          <w:numId w:val="4"/>
        </w:numPr>
        <w:spacing w:after="100" w:line="340"/>
        <w:jc w:val="both"/>
      </w:pPr>
      <w:r>
        <w:t xml:space="preserve">Doc. 6: relatório e parecer prévio sobre as Contas do Presidente da República, exercício de 2024 (</w:t>
      </w:r>
      <w:r>
        <w:rPr>
          <w:shd w:fill="FFF2A8" w:color="auto" w:val="clear"/>
        </w:rPr>
        <w:t xml:space="preserve">nº do acórdão a obter</w:t>
      </w:r>
      <w:r>
        <w:t xml:space="preserve">).</w:t>
      </w:r>
    </w:p>
    <w:p>
      <w:pPr>
        <w:pStyle w:val="ListParagraph"/>
        <w:numPr>
          <w:ilvl w:val="0"/>
          <w:numId w:val="4"/>
        </w:numPr>
        <w:spacing w:after="100" w:line="340"/>
        <w:jc w:val="both"/>
      </w:pPr>
      <w:r>
        <w:t xml:space="preserve">Doc. 7: notícia oficial do TCU, "TCU aprova com ressalvas as contas do presidente da República de 2024".</w:t>
      </w:r>
    </w:p>
    <w:p>
      <w:pPr>
        <w:pStyle w:val="ListParagraph"/>
        <w:numPr>
          <w:ilvl w:val="0"/>
          <w:numId w:val="4"/>
        </w:numPr>
        <w:spacing w:after="100" w:line="340"/>
        <w:jc w:val="both"/>
      </w:pPr>
      <w:r>
        <w:t xml:space="preserve">Doc. 8: PLN nº 5/2025 (Congresso Nacional).</w:t>
      </w:r>
    </w:p>
    <w:p>
      <w:pPr>
        <w:pStyle w:val="ListParagraph"/>
        <w:numPr>
          <w:ilvl w:val="0"/>
          <w:numId w:val="4"/>
        </w:numPr>
        <w:spacing w:after="100" w:line="340"/>
        <w:jc w:val="both"/>
      </w:pPr>
      <w:r>
        <w:t xml:space="preserve">Doc. 9: pareceres prévios sobre as contas de 2023 e de 2025 (Acórdão nº 1.442/2026-TCU-Plenário).</w:t>
      </w:r>
    </w:p>
    <w:p>
      <w:pPr>
        <w:pStyle w:val="Heading1"/>
      </w:pPr>
      <w:r>
        <w:t xml:space="preserve">IX. ROL DE TESTEMUNHAS</w:t>
      </w:r>
    </w:p>
    <w:p>
      <w:pPr>
        <w:spacing w:after="160" w:line="360"/>
        <w:jc w:val="both"/>
      </w:pPr>
      <w:r>
        <w:rPr>
          <w:i/>
          <w:iCs/>
        </w:rPr>
        <w:t xml:space="preserve">Facultativo. O art. 16 da Lei nº 1.079/1950 exige rol de no mínimo cinco testemunhas apenas para crimes que dependam de prova testemunhal. Se forem indicadas, devem ser pessoas com conhecimento técnico dos fatos, qualificadas com nome, profissão e endereço.</w:t>
      </w:r>
    </w:p>
    <w:p>
      <w:pPr>
        <w:spacing w:after="160" w:line="360"/>
        <w:jc w:val="both"/>
      </w:pPr>
      <w:r>
        <w:t xml:space="preserve">1. </w:t>
      </w:r>
      <w:r>
        <w:rPr>
          <w:shd w:fill="FFF2A8" w:color="auto" w:val="clear"/>
        </w:rPr>
        <w:t xml:space="preserve">[nome, profissão, endereço]</w:t>
      </w:r>
    </w:p>
    <w:p>
      <w:pPr>
        <w:spacing w:after="160" w:line="360"/>
        <w:jc w:val="both"/>
      </w:pPr>
      <w:r>
        <w:t xml:space="preserve">2. </w:t>
      </w:r>
      <w:r>
        <w:rPr>
          <w:shd w:fill="FFF2A8" w:color="auto" w:val="clear"/>
        </w:rPr>
        <w:t xml:space="preserve">[nome, profissão, endereço]</w:t>
      </w:r>
    </w:p>
    <w:p>
      <w:pPr>
        <w:spacing w:after="160" w:line="360"/>
        <w:jc w:val="both"/>
      </w:pPr>
      <w:r>
        <w:t xml:space="preserve">3. </w:t>
      </w:r>
      <w:r>
        <w:rPr>
          <w:shd w:fill="FFF2A8" w:color="auto" w:val="clear"/>
        </w:rPr>
        <w:t xml:space="preserve">[nome, profissão, endereço]</w:t>
      </w:r>
    </w:p>
    <w:p>
      <w:pPr>
        <w:spacing w:after="160" w:line="360"/>
        <w:jc w:val="both"/>
      </w:pPr>
      <w:r>
        <w:t xml:space="preserve">4. </w:t>
      </w:r>
      <w:r>
        <w:rPr>
          <w:shd w:fill="FFF2A8" w:color="auto" w:val="clear"/>
        </w:rPr>
        <w:t xml:space="preserve">[nome, profissão, endereço]</w:t>
      </w:r>
    </w:p>
    <w:p>
      <w:pPr>
        <w:spacing w:after="160" w:line="360"/>
        <w:jc w:val="both"/>
      </w:pPr>
      <w:r>
        <w:t xml:space="preserve">5. </w:t>
      </w:r>
      <w:r>
        <w:rPr>
          <w:shd w:fill="FFF2A8" w:color="auto" w:val="clear"/>
        </w:rPr>
        <w:t xml:space="preserve">[nome, profissão, endereço]</w:t>
      </w:r>
    </w:p>
    <w:p>
      <w:pPr>
        <w:spacing w:after="160" w:before="480"/>
        <w:jc w:val="center"/>
      </w:pPr>
      <w:r>
        <w:t xml:space="preserve">Nestes termos, pede deferimento.</w:t>
      </w:r>
    </w:p>
    <w:p>
      <w:pPr>
        <w:spacing w:after="720"/>
        <w:jc w:val="center"/>
      </w:pPr>
      <w:r>
        <w:rPr>
          <w:shd w:fill="FFF2A8" w:color="auto" w:val="clear"/>
        </w:rPr>
        <w:t xml:space="preserve">[Cidade]</w:t>
      </w:r>
      <w:r>
        <w:t xml:space="preserve">, </w:t>
      </w:r>
      <w:r>
        <w:rPr>
          <w:shd w:fill="FFF2A8" w:color="auto" w:val="clear"/>
        </w:rPr>
        <w:t xml:space="preserve">[dia]</w:t>
      </w:r>
      <w:r>
        <w:t xml:space="preserve"> de </w:t>
      </w:r>
      <w:r>
        <w:rPr>
          <w:shd w:fill="FFF2A8" w:color="auto" w:val="clear"/>
        </w:rPr>
        <w:t xml:space="preserve">[mês]</w:t>
      </w:r>
      <w:r>
        <w:t xml:space="preserve"> de 2026.</w:t>
      </w:r>
    </w:p>
    <w:p>
      <w:pPr>
        <w:spacing w:after="40"/>
        <w:jc w:val="center"/>
      </w:pPr>
      <w:r>
        <w:t xml:space="preserve">_____________________________________________</w:t>
      </w:r>
    </w:p>
    <w:p>
      <w:pPr>
        <w:spacing w:after="40"/>
        <w:jc w:val="center"/>
      </w:pPr>
      <w:r>
        <w:rPr>
          <w:shd w:fill="FFF2A8" w:color="auto" w:val="clear"/>
        </w:rPr>
        <w:t xml:space="preserve">[NOME COMPLETO DO DENUNCIANTE]</w:t>
      </w:r>
    </w:p>
    <w:p>
      <w:pPr>
        <w:spacing w:after="160"/>
        <w:jc w:val="center"/>
      </w:pPr>
      <w:r>
        <w:rPr>
          <w:i/>
          <w:iCs/>
        </w:rPr>
        <w:t xml:space="preserve">(assinatura com firma reconhecida)</w:t>
      </w:r>
    </w:p>
    <w:p>
      <w:r>
        <w:br w:type="page"/>
      </w:r>
    </w:p>
    <w:p>
      <w:pPr>
        <w:pStyle w:val="Heading1"/>
      </w:pPr>
      <w:r>
        <w:t xml:space="preserve">ANEXO: MATRIZ DE PROVAS E VERIFICAÇÃO DE BOA-FÉ</w:t>
      </w:r>
    </w:p>
    <w:p>
      <w:pPr>
        <w:spacing w:after="160" w:line="360"/>
        <w:jc w:val="both"/>
      </w:pPr>
      <w:r>
        <w:t xml:space="preserve">Para cada afirmação da denúncia, a tabela indica a fonte, o grau de verificação e o elemento que pesa contra a acusação.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2026"/>
        <w:gridCol w:w="230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Afirmação</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Fonte / identificador</w:t>
            </w:r>
          </w:p>
        </w:tc>
        <w:tc>
          <w:tcPr>
            <w:tcW w:type="dxa" w:w="20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Verificação</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Elemento contrário</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Pé-de-Meia instituído por lei e operado pelo Fipem, fundo privado</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Lei 14.818/2024</w:t>
            </w:r>
          </w:p>
          <w:p>
            <w:pPr>
              <w:spacing w:after="40"/>
            </w:pPr>
            <w:r>
              <w:rPr>
                <w:rFonts w:ascii="Calibri" w:cs="Calibri" w:eastAsia="Calibri" w:hAnsi="Calibri"/>
                <w:b w:val="false"/>
                <w:bCs w:val="false"/>
                <w:sz w:val="18"/>
                <w:szCs w:val="18"/>
              </w:rPr>
              <w:t xml:space="preserve">camara.leg.br/legin</w:t>
            </w:r>
          </w:p>
        </w:tc>
        <w:tc>
          <w:tcPr>
            <w:tcW w:type="dxa" w:w="2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Fonte oficial localizada; conferir o texto</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w:t>
            </w:r>
          </w:p>
        </w:tc>
      </w:tr>
      <w:tr>
        <w:trPr>
          <w:cantSplit/>
        </w:trPr>
        <w:tc>
          <w:tcPr>
            <w:tcW w:type="dxa" w:w="27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Leis 14.995/2024 e 15.076/2024 autorizaram transferências do Fgeduc e FGO ao Fipem</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DOU</w:t>
            </w:r>
          </w:p>
        </w:tc>
        <w:tc>
          <w:tcPr>
            <w:tcW w:type="dxa" w:w="202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Imprensa; conferir no DOU</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Amparo legal aprovado pelo Congresso</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TCU suspendeu cerca de R$ 6 bi por pagamentos à margem do OGU</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Acórdão 61/2025-Plenário</w:t>
            </w:r>
          </w:p>
          <w:p>
            <w:pPr>
              <w:spacing w:after="40"/>
            </w:pPr>
            <w:r>
              <w:rPr>
                <w:rFonts w:ascii="Calibri" w:cs="Calibri" w:eastAsia="Calibri" w:hAnsi="Calibri"/>
                <w:b w:val="false"/>
                <w:bCs w:val="false"/>
                <w:sz w:val="18"/>
                <w:szCs w:val="18"/>
              </w:rPr>
              <w:t xml:space="preserve">TC 024.312/2024-0</w:t>
            </w:r>
          </w:p>
        </w:tc>
        <w:tc>
          <w:tcPr>
            <w:tcW w:type="dxa" w:w="2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Documento do TCU localizado</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Decisão cautelar, sem mérito</w:t>
            </w:r>
          </w:p>
        </w:tc>
      </w:tr>
      <w:tr>
        <w:trPr>
          <w:cantSplit/>
        </w:trPr>
        <w:tc>
          <w:tcPr>
            <w:tcW w:type="dxa" w:w="27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TCU revogou a cautelar em 12/02/2025 e deu 120 dias para adequação</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Notícia oficial do TCU</w:t>
            </w:r>
          </w:p>
        </w:tc>
        <w:tc>
          <w:tcPr>
            <w:tcW w:type="dxa" w:w="202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Notícia oficial e imprensa</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Indica regularização em curso</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Executivo propôs crédito de R$ 686 mi (PLN 5/2025)</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Agência Câmara</w:t>
            </w:r>
          </w:p>
        </w:tc>
        <w:tc>
          <w:tcPr>
            <w:tcW w:type="dxa" w:w="2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Fonte oficial (Câmara)</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Iniciativa de regularização</w:t>
            </w:r>
          </w:p>
        </w:tc>
      </w:tr>
      <w:tr>
        <w:trPr>
          <w:cantSplit/>
        </w:trPr>
        <w:tc>
          <w:tcPr>
            <w:tcW w:type="dxa" w:w="27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2024: 23 desonerações por 19 atos; parte sem requisitos da LRF, LDO e CF</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Parecer prévio, Contas 2024</w:t>
            </w:r>
          </w:p>
        </w:tc>
        <w:tc>
          <w:tcPr>
            <w:tcW w:type="dxa" w:w="202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Notícia oficial e imprensa; conferir no relatório</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Todas com medidas compensatórias; contas aprovadas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Contas de 2023, 2024 e 2025 aprovadas com ressalvas, por unanimidade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TCU; Acórdão 1.442/2026 (2025)</w:t>
            </w:r>
          </w:p>
        </w:tc>
        <w:tc>
          <w:tcPr>
            <w:tcW w:type="dxa" w:w="2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Fonte oficial</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Favorável ao denunciado</w:t>
            </w:r>
          </w:p>
        </w:tc>
      </w:tr>
    </w:tbl>
    <w:p>
      <w:pPr>
        <w:spacing w:after="200"/>
      </w:pPr>
    </w:p>
    <w:p>
      <w:pPr>
        <w:pStyle w:val="Heading2"/>
      </w:pPr>
      <w:r>
        <w:t xml:space="preserve">Fontes consultadas</w:t>
      </w:r>
    </w:p>
    <w:p>
      <w:pPr>
        <w:pStyle w:val="ListParagraph"/>
        <w:numPr>
          <w:ilvl w:val="0"/>
          <w:numId w:val="5"/>
        </w:numPr>
        <w:spacing w:after="60"/>
      </w:pPr>
      <w:r>
        <w:rPr>
          <w:sz w:val="20"/>
          <w:szCs w:val="20"/>
        </w:rPr>
        <w:t xml:space="preserve">TCU – Pé-de-Meia (notícia oficial): </w:t>
      </w:r>
      <w:hyperlink w:history="1" r:id="rIdzgiybft_t_hq16xx0pi4i">
        <w:r>
          <w:rPr>
            <w:rStyle w:val="Hyperlink"/>
            <w:sz w:val="18"/>
            <w:szCs w:val="18"/>
          </w:rPr>
          <w:t xml:space="preserve">https://portal.tcu.gov.br/imprensa/noticias/ministerio-da-educacao-deve-adequar-uso-de-recursos-para-o-programa-pe-de-meia</w:t>
        </w:r>
      </w:hyperlink>
    </w:p>
    <w:p>
      <w:pPr>
        <w:pStyle w:val="ListParagraph"/>
        <w:numPr>
          <w:ilvl w:val="0"/>
          <w:numId w:val="5"/>
        </w:numPr>
        <w:spacing w:after="60"/>
      </w:pPr>
      <w:r>
        <w:rPr>
          <w:sz w:val="20"/>
          <w:szCs w:val="20"/>
        </w:rPr>
        <w:t xml:space="preserve">TCU – Acórdão 61/2025 (cópia publicada pelo Poder360): </w:t>
      </w:r>
      <w:hyperlink w:history="1" r:id="rIdlejrei6ddo1ok5pehf9au">
        <w:r>
          <w:rPr>
            <w:rStyle w:val="Hyperlink"/>
            <w:sz w:val="18"/>
            <w:szCs w:val="18"/>
          </w:rPr>
          <w:t xml:space="preserve">https://static.poder360.com.br/2025/01/024.312-2024-0-AN-Pe-de-Meia_referendo-de-cautelar.pdf</w:t>
        </w:r>
      </w:hyperlink>
    </w:p>
    <w:p>
      <w:pPr>
        <w:pStyle w:val="ListParagraph"/>
        <w:numPr>
          <w:ilvl w:val="0"/>
          <w:numId w:val="5"/>
        </w:numPr>
        <w:spacing w:after="60"/>
      </w:pPr>
      <w:r>
        <w:rPr>
          <w:sz w:val="20"/>
          <w:szCs w:val="20"/>
        </w:rPr>
        <w:t xml:space="preserve">AGU – recurso contra a cautelar (cópia publicada pelo Poder360): </w:t>
      </w:r>
      <w:hyperlink w:history="1" r:id="rIdoeqfn3tsrfba45n0burym">
        <w:r>
          <w:rPr>
            <w:rStyle w:val="Hyperlink"/>
            <w:sz w:val="18"/>
            <w:szCs w:val="18"/>
          </w:rPr>
          <w:t xml:space="preserve">https://static.poder360.com.br/2025/01/AGU-recorre-decisao-TCU-Pe-de-Meia.pdf</w:t>
        </w:r>
      </w:hyperlink>
    </w:p>
    <w:p>
      <w:pPr>
        <w:pStyle w:val="ListParagraph"/>
        <w:numPr>
          <w:ilvl w:val="0"/>
          <w:numId w:val="5"/>
        </w:numPr>
        <w:spacing w:after="60"/>
      </w:pPr>
      <w:r>
        <w:rPr>
          <w:sz w:val="20"/>
          <w:szCs w:val="20"/>
        </w:rPr>
        <w:t xml:space="preserve">Lei 14.818/2024 – Câmara dos Deputados: </w:t>
      </w:r>
      <w:hyperlink w:history="1" r:id="rIda4by_f8qwuvjp4ropumwy">
        <w:r>
          <w:rPr>
            <w:rStyle w:val="Hyperlink"/>
            <w:sz w:val="18"/>
            <w:szCs w:val="18"/>
          </w:rPr>
          <w:t xml:space="preserve">https://www2.camara.leg.br/legin/fed/lei/2024/lei-14818-16-janeiro-2024-795255-norma-pl.html</w:t>
        </w:r>
      </w:hyperlink>
    </w:p>
    <w:p>
      <w:pPr>
        <w:pStyle w:val="ListParagraph"/>
        <w:numPr>
          <w:ilvl w:val="0"/>
          <w:numId w:val="5"/>
        </w:numPr>
        <w:spacing w:after="60"/>
      </w:pPr>
      <w:r>
        <w:rPr>
          <w:sz w:val="20"/>
          <w:szCs w:val="20"/>
        </w:rPr>
        <w:t xml:space="preserve">TCU dá 120 dias – InfoMoney: </w:t>
      </w:r>
      <w:hyperlink w:history="1" r:id="rIdngohjawvebf6udb5hmcpf">
        <w:r>
          <w:rPr>
            <w:rStyle w:val="Hyperlink"/>
            <w:sz w:val="18"/>
            <w:szCs w:val="18"/>
          </w:rPr>
          <w:t xml:space="preserve">https://www.infomoney.com.br/politica/tcu-da-120-dias-para-governo-tomar-providencias-para-incluir-pe-de-meia-no-orcamento/</w:t>
        </w:r>
      </w:hyperlink>
    </w:p>
    <w:p>
      <w:pPr>
        <w:pStyle w:val="ListParagraph"/>
        <w:numPr>
          <w:ilvl w:val="0"/>
          <w:numId w:val="5"/>
        </w:numPr>
        <w:spacing w:after="60"/>
      </w:pPr>
      <w:r>
        <w:rPr>
          <w:sz w:val="20"/>
          <w:szCs w:val="20"/>
        </w:rPr>
        <w:t xml:space="preserve">PLN 5/2025 – Agência Câmara: </w:t>
      </w:r>
      <w:hyperlink w:history="1" r:id="rIdaenwhvdv6rv6tgmlbwzgu">
        <w:r>
          <w:rPr>
            <w:rStyle w:val="Hyperlink"/>
            <w:sz w:val="18"/>
            <w:szCs w:val="18"/>
          </w:rPr>
          <w:t xml:space="preserve">https://www.camara.leg.br/noticias/1174945-projeto-suplementa-recursos-para-o-programa-pe-de-meia/</w:t>
        </w:r>
      </w:hyperlink>
    </w:p>
    <w:p>
      <w:pPr>
        <w:pStyle w:val="ListParagraph"/>
        <w:numPr>
          <w:ilvl w:val="0"/>
          <w:numId w:val="5"/>
        </w:numPr>
        <w:spacing w:after="60"/>
      </w:pPr>
      <w:r>
        <w:rPr>
          <w:sz w:val="20"/>
          <w:szCs w:val="20"/>
        </w:rPr>
        <w:t xml:space="preserve">Leis 14.995 e 15.076 – CartaCapital: </w:t>
      </w:r>
      <w:hyperlink w:history="1" r:id="rId9dumr5f7ct080elvog97g">
        <w:r>
          <w:rPr>
            <w:rStyle w:val="Hyperlink"/>
            <w:sz w:val="18"/>
            <w:szCs w:val="18"/>
          </w:rPr>
          <w:t xml:space="preserve">https://www.cartacapital.com.br/?p=488367</w:t>
        </w:r>
      </w:hyperlink>
    </w:p>
    <w:p>
      <w:pPr>
        <w:pStyle w:val="ListParagraph"/>
        <w:numPr>
          <w:ilvl w:val="0"/>
          <w:numId w:val="5"/>
        </w:numPr>
        <w:spacing w:after="60"/>
      </w:pPr>
      <w:r>
        <w:rPr>
          <w:sz w:val="20"/>
          <w:szCs w:val="20"/>
        </w:rPr>
        <w:t xml:space="preserve">TCU – Contas do Presidente 2024: </w:t>
      </w:r>
      <w:hyperlink w:history="1" r:id="rIdnz2nwn-p-zqmnurvgw5bp">
        <w:r>
          <w:rPr>
            <w:rStyle w:val="Hyperlink"/>
            <w:sz w:val="18"/>
            <w:szCs w:val="18"/>
          </w:rPr>
          <w:t xml:space="preserve">https://portal.tcu.gov.br/imprensa/noticias/tcu-aprova-com-ressalvas-as-contas-do-presidente-da-republica-de-2024</w:t>
        </w:r>
      </w:hyperlink>
    </w:p>
    <w:p>
      <w:pPr>
        <w:pStyle w:val="ListParagraph"/>
        <w:numPr>
          <w:ilvl w:val="0"/>
          <w:numId w:val="5"/>
        </w:numPr>
        <w:spacing w:after="60"/>
      </w:pPr>
      <w:r>
        <w:rPr>
          <w:sz w:val="20"/>
          <w:szCs w:val="20"/>
        </w:rPr>
        <w:t xml:space="preserve">Contas 2024, renúncias – Exame: </w:t>
      </w:r>
      <w:hyperlink w:history="1" r:id="rIdpm1-j5vwx0npwggucujpk">
        <w:r>
          <w:rPr>
            <w:rStyle w:val="Hyperlink"/>
            <w:sz w:val="18"/>
            <w:szCs w:val="18"/>
          </w:rPr>
          <w:t xml:space="preserve">https://exame.com/economia/tcu-aprova-com-ressalvas-contas-de-2024-do-governo-lula-e-alerta-para-renuncias-fiscais/</w:t>
        </w:r>
      </w:hyperlink>
    </w:p>
    <w:p>
      <w:pPr>
        <w:pStyle w:val="ListParagraph"/>
        <w:numPr>
          <w:ilvl w:val="0"/>
          <w:numId w:val="5"/>
        </w:numPr>
        <w:spacing w:after="60"/>
      </w:pPr>
      <w:r>
        <w:rPr>
          <w:sz w:val="20"/>
          <w:szCs w:val="20"/>
        </w:rPr>
        <w:t xml:space="preserve">Contas 2024, irregularidade – CNN Brasil: </w:t>
      </w:r>
      <w:hyperlink w:history="1" r:id="rIdl0f5wj7bnw-tsa-axzyek">
        <w:r>
          <w:rPr>
            <w:rStyle w:val="Hyperlink"/>
            <w:sz w:val="18"/>
            <w:szCs w:val="18"/>
          </w:rPr>
          <w:t xml:space="preserve">https://www.cnnbrasil.com.br/economia/macroeconomia/tcu-ve-irregularidade-mas-aprova-contas-do-governo-lula-de-2024/</w:t>
        </w:r>
      </w:hyperlink>
    </w:p>
    <w:p>
      <w:pPr>
        <w:pStyle w:val="ListParagraph"/>
        <w:numPr>
          <w:ilvl w:val="0"/>
          <w:numId w:val="5"/>
        </w:numPr>
        <w:spacing w:after="60"/>
      </w:pPr>
      <w:r>
        <w:rPr>
          <w:sz w:val="20"/>
          <w:szCs w:val="20"/>
        </w:rPr>
        <w:t xml:space="preserve">TCU – Contas do Presidente 2023: </w:t>
      </w:r>
      <w:hyperlink w:history="1" r:id="rIdervb67skxmvoiq6sihvug">
        <w:r>
          <w:rPr>
            <w:rStyle w:val="Hyperlink"/>
            <w:sz w:val="18"/>
            <w:szCs w:val="18"/>
          </w:rPr>
          <w:t xml:space="preserve">https://portal.tcu.gov.br/imprensa/noticias/tcu-aprova-com-ressalvas-as-contas-do-presidente-da-republica-de-2023</w:t>
        </w:r>
      </w:hyperlink>
    </w:p>
    <w:p>
      <w:pPr>
        <w:pStyle w:val="ListParagraph"/>
        <w:numPr>
          <w:ilvl w:val="0"/>
          <w:numId w:val="5"/>
        </w:numPr>
        <w:spacing w:after="60"/>
      </w:pPr>
      <w:r>
        <w:rPr>
          <w:sz w:val="20"/>
          <w:szCs w:val="20"/>
        </w:rPr>
        <w:t xml:space="preserve">TCU – Acórdão 1.442/2026 (Contas 2025): </w:t>
      </w:r>
      <w:hyperlink w:history="1" r:id="rIdmhqxhyeehglokf_fnbx9g">
        <w:r>
          <w:rPr>
            <w:rStyle w:val="Hyperlink"/>
            <w:sz w:val="18"/>
            <w:szCs w:val="18"/>
          </w:rPr>
          <w:t xml:space="preserve">https://sites.tcu.gov.br/recursos/contas-do-presidente/3%20Ac%C3%B3rd%C3%A3o%201.442_2026-P%20CG2025.pdf</w:t>
        </w:r>
      </w:hyperlink>
    </w:p>
    <w:sectPr>
      <w:footerReference w:type="default" r:id="rId7"/>
      <w:pgSz w:w="11906" w:h="16838" w:orient="portrait"/>
      <w:pgMar w:top="1418" w:right="1440" w:bottom="1418"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lowerLetter"/>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1F3864"/>
      <w:sz w:val="24"/>
      <w:szCs w:val="24"/>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i/>
      <w:i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giybft_t_hq16xx0pi4i" Type="http://schemas.openxmlformats.org/officeDocument/2006/relationships/hyperlink" Target="https://portal.tcu.gov.br/imprensa/noticias/ministerio-da-educacao-deve-adequar-uso-de-recursos-para-o-programa-pe-de-meia" TargetMode="External"/><Relationship Id="rIdlejrei6ddo1ok5pehf9au" Type="http://schemas.openxmlformats.org/officeDocument/2006/relationships/hyperlink" Target="https://static.poder360.com.br/2025/01/024.312-2024-0-AN-Pe-de-Meia_referendo-de-cautelar.pdf" TargetMode="External"/><Relationship Id="rIdoeqfn3tsrfba45n0burym" Type="http://schemas.openxmlformats.org/officeDocument/2006/relationships/hyperlink" Target="https://static.poder360.com.br/2025/01/AGU-recorre-decisao-TCU-Pe-de-Meia.pdf" TargetMode="External"/><Relationship Id="rIda4by_f8qwuvjp4ropumwy" Type="http://schemas.openxmlformats.org/officeDocument/2006/relationships/hyperlink" Target="https://www2.camara.leg.br/legin/fed/lei/2024/lei-14818-16-janeiro-2024-795255-norma-pl.html" TargetMode="External"/><Relationship Id="rIdngohjawvebf6udb5hmcpf" Type="http://schemas.openxmlformats.org/officeDocument/2006/relationships/hyperlink" Target="https://www.infomoney.com.br/politica/tcu-da-120-dias-para-governo-tomar-providencias-para-incluir-pe-de-meia-no-orcamento/" TargetMode="External"/><Relationship Id="rIdaenwhvdv6rv6tgmlbwzgu" Type="http://schemas.openxmlformats.org/officeDocument/2006/relationships/hyperlink" Target="https://www.camara.leg.br/noticias/1174945-projeto-suplementa-recursos-para-o-programa-pe-de-meia/" TargetMode="External"/><Relationship Id="rId9dumr5f7ct080elvog97g" Type="http://schemas.openxmlformats.org/officeDocument/2006/relationships/hyperlink" Target="https://www.cartacapital.com.br/?p=488367" TargetMode="External"/><Relationship Id="rIdnz2nwn-p-zqmnurvgw5bp" Type="http://schemas.openxmlformats.org/officeDocument/2006/relationships/hyperlink" Target="https://portal.tcu.gov.br/imprensa/noticias/tcu-aprova-com-ressalvas-as-contas-do-presidente-da-republica-de-2024" TargetMode="External"/><Relationship Id="rIdpm1-j5vwx0npwggucujpk" Type="http://schemas.openxmlformats.org/officeDocument/2006/relationships/hyperlink" Target="https://exame.com/economia/tcu-aprova-com-ressalvas-contas-de-2024-do-governo-lula-e-alerta-para-renuncias-fiscais/" TargetMode="External"/><Relationship Id="rIdl0f5wj7bnw-tsa-axzyek" Type="http://schemas.openxmlformats.org/officeDocument/2006/relationships/hyperlink" Target="https://www.cnnbrasil.com.br/economia/macroeconomia/tcu-ve-irregularidade-mas-aprova-contas-do-governo-lula-de-2024/" TargetMode="External"/><Relationship Id="rIdervb67skxmvoiq6sihvug" Type="http://schemas.openxmlformats.org/officeDocument/2006/relationships/hyperlink" Target="https://portal.tcu.gov.br/imprensa/noticias/tcu-aprova-com-ressalvas-as-contas-do-presidente-da-republica-de-2023" TargetMode="External"/><Relationship Id="rIdmhqxhyeehglokf_fnbx9g" Type="http://schemas.openxmlformats.org/officeDocument/2006/relationships/hyperlink" Target="https://sites.tcu.gov.br/recursos/contas-do-presidente/3%20Ac%C3%B3rd%C3%A3o%201.442_2026-P%20CG2025.pdf"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Denúncia por crime de responsabilidade (minuta)</dc:title>
  <dc:creator>Un-named</dc:creator>
  <cp:lastModifiedBy>Un-named</cp:lastModifiedBy>
  <cp:revision>1</cp:revision>
  <dcterms:created xsi:type="dcterms:W3CDTF">2026-10-26T01:00:51.156Z</dcterms:created>
  <dcterms:modified xsi:type="dcterms:W3CDTF">2026-10-26T01:00:51.156Z</dcterms:modified>
</cp:coreProperties>
</file>

<file path=docProps/custom.xml><?xml version="1.0" encoding="utf-8"?>
<Properties xmlns="http://schemas.openxmlformats.org/officeDocument/2006/custom-properties" xmlns:vt="http://schemas.openxmlformats.org/officeDocument/2006/docPropsVTypes"/>
</file>