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2"/>
              <w:left w:val="single" w:color="C00000" w:sz="12"/>
              <w:bottom w:val="single" w:color="C00000" w:sz="12"/>
              <w:right w:val="single" w:color="C00000" w:sz="12"/>
            </w:tcBorders>
            <w:shd w:fill="FFF5F5" w:color="auto" w:val="clear"/>
            <w:tcMar>
              <w:top w:type="dxa" w:w="160"/>
              <w:left w:type="dxa" w:w="200"/>
              <w:bottom w:type="dxa" w:w="160"/>
              <w:right w:type="dxa" w:w="200"/>
            </w:tcMar>
          </w:tcPr>
          <w:p>
            <w:pPr>
              <w:spacing w:after="140"/>
            </w:pPr>
            <w:r>
              <w:rPr>
                <w:rFonts w:ascii="Calibri" w:cs="Calibri" w:eastAsia="Calibri" w:hAnsi="Calibri"/>
                <w:b/>
                <w:bCs/>
                <w:color w:val="C00000"/>
                <w:sz w:val="24"/>
                <w:szCs w:val="24"/>
              </w:rPr>
              <w:t xml:space="preserve">NOTAS AO REPRESENTANTE — REMOVER ESTA PÁGINA ANTES DO ENVIO</w:t>
            </w:r>
          </w:p>
          <w:p>
            <w:pPr>
              <w:pStyle w:val="ListParagraph"/>
              <w:numPr>
                <w:ilvl w:val="0"/>
                <w:numId w:val="2"/>
              </w:numPr>
              <w:spacing w:after="80"/>
            </w:pPr>
            <w:r>
              <w:rPr>
                <w:b/>
                <w:bCs/>
              </w:rPr>
              <w:t xml:space="preserve">Natureza do documento. </w:t>
            </w:r>
            <w:r>
              <w:t xml:space="preserve">É um pedido de apuração. O documento não acusa ninguém. Pede que a Comissão verifique os fatos e avalie se configuram irregularidade administrativa, infração fiscal ou crime de responsabilidade.</w:t>
            </w:r>
          </w:p>
          <w:p>
            <w:pPr>
              <w:pStyle w:val="ListParagraph"/>
              <w:numPr>
                <w:ilvl w:val="0"/>
                <w:numId w:val="2"/>
              </w:numPr>
              <w:spacing w:after="80"/>
            </w:pPr>
            <w:r>
              <w:rPr>
                <w:b/>
                <w:bCs/>
              </w:rPr>
              <w:t xml:space="preserve">Campos em amarelo </w:t>
            </w:r>
            <w:r>
              <w:t xml:space="preserve">devem ser preenchidos ou conferidos. Não é exigida firma reconhecida, mas assine e identifique-se.</w:t>
            </w:r>
          </w:p>
          <w:p>
            <w:pPr>
              <w:pStyle w:val="ListParagraph"/>
              <w:numPr>
                <w:ilvl w:val="0"/>
                <w:numId w:val="2"/>
              </w:numPr>
              <w:spacing w:after="80"/>
            </w:pPr>
            <w:r>
              <w:rPr>
                <w:b/>
                <w:bCs/>
              </w:rPr>
              <w:t xml:space="preserve">Provas. </w:t>
            </w:r>
            <w:r>
              <w:t xml:space="preserve">O Anexo I (caderno de provas) lista cada documento com identificador, data, conteúdo e link oficial. Os originais não puderam ser baixados durante a pesquisa. Baixe cada um, imprima ou salve em PDF e junte na ordem dos números (Doc. 2 a Doc. 12).</w:t>
            </w:r>
          </w:p>
          <w:p>
            <w:pPr>
              <w:pStyle w:val="ListParagraph"/>
              <w:numPr>
                <w:ilvl w:val="0"/>
                <w:numId w:val="2"/>
              </w:numPr>
              <w:spacing w:after="80"/>
            </w:pPr>
            <w:r>
              <w:rPr>
                <w:b/>
                <w:bCs/>
              </w:rPr>
              <w:t xml:space="preserve">Acórdão 2.261/2026 (Doc. 4). </w:t>
            </w:r>
            <w:r>
              <w:t xml:space="preserve">O conteúdo foi descrito a partir de trechos dos registros do TCU. Leia o dispositivo completo (código AC-2261-32/26-P) e ajuste o item 9 se ele disser algo diferente.</w:t>
            </w:r>
          </w:p>
          <w:p>
            <w:pPr>
              <w:pStyle w:val="ListParagraph"/>
              <w:numPr>
                <w:ilvl w:val="0"/>
                <w:numId w:val="2"/>
              </w:numPr>
              <w:spacing w:after="80"/>
            </w:pPr>
            <w:r>
              <w:rPr>
                <w:b/>
                <w:bCs/>
              </w:rPr>
              <w:t xml:space="preserve">Envio. </w:t>
            </w:r>
            <w:r>
              <w:t xml:space="preserve">A representação pode ser protocolada na Câmara dos Deputados, endereçada à Comissão de Fiscalização Financeira e Controle (CFFC), ou enviada pelo canal de atendimento da própria Comissão ou da Ouvidoria Parlamentar. Confirme o canal vigente no site da Câmara.</w:t>
            </w:r>
          </w:p>
          <w:p>
            <w:pPr>
              <w:pStyle w:val="ListParagraph"/>
              <w:numPr>
                <w:ilvl w:val="0"/>
                <w:numId w:val="2"/>
              </w:numPr>
              <w:spacing w:after="80"/>
            </w:pPr>
            <w:r>
              <w:rPr>
                <w:b/>
                <w:bCs/>
              </w:rPr>
              <w:t xml:space="preserve">Alcance. </w:t>
            </w:r>
            <w:r>
              <w:t xml:space="preserve">A Comissão não é obrigada a abrir uma fiscalização. Para isso, um deputado precisa apresentar uma Proposta de Fiscalização e Controle (PFC). Vale enviar cópia a deputados que integram a Comissão.</w:t>
            </w:r>
          </w:p>
        </w:tc>
      </w:tr>
    </w:tbl>
    <w:p>
      <w:r>
        <w:br w:type="page"/>
      </w:r>
    </w:p>
    <w:p>
      <w:pPr>
        <w:spacing w:after="600"/>
        <w:jc w:val="center"/>
      </w:pPr>
      <w:r>
        <w:rPr>
          <w:b/>
          <w:bCs/>
        </w:rPr>
        <w:t xml:space="preserve">EXCELENTÍSSIMO(A) SENHOR(A) PRESIDENTE DA COMISSÃO DE FISCALIZAÇÃO FINANCEIRA E CONTROLE DA CÂMARA DOS DEPUTADOS</w:t>
      </w:r>
    </w:p>
    <w:p>
      <w:pPr>
        <w:spacing w:after="160" w:line="360"/>
        <w:jc w:val="both"/>
      </w:pPr>
      <w:r>
        <w:rPr>
          <w:shd w:fill="FFF2A8" w:color="auto" w:val="clear"/>
        </w:rPr>
        <w:t xml:space="preserve">[NOME COMPLETO]</w:t>
      </w:r>
      <w:r>
        <w:t xml:space="preserve">, brasileiro(a), </w:t>
      </w:r>
      <w:r>
        <w:rPr>
          <w:shd w:fill="FFF2A8" w:color="auto" w:val="clear"/>
        </w:rPr>
        <w:t xml:space="preserve">[estado civil]</w:t>
      </w:r>
      <w:r>
        <w:t xml:space="preserve">, </w:t>
      </w:r>
      <w:r>
        <w:rPr>
          <w:shd w:fill="FFF2A8" w:color="auto" w:val="clear"/>
        </w:rPr>
        <w:t xml:space="preserve">[profissão]</w:t>
      </w:r>
      <w:r>
        <w:t xml:space="preserve">, portador(a) do RG nº </w:t>
      </w:r>
      <w:r>
        <w:rPr>
          <w:shd w:fill="FFF2A8" w:color="auto" w:val="clear"/>
        </w:rPr>
        <w:t xml:space="preserve">[____]</w:t>
      </w:r>
      <w:r>
        <w:t xml:space="preserve">, inscrito(a) no CPF sob o nº </w:t>
      </w:r>
      <w:r>
        <w:rPr>
          <w:shd w:fill="FFF2A8" w:color="auto" w:val="clear"/>
        </w:rPr>
        <w:t xml:space="preserve">[____]</w:t>
      </w:r>
      <w:r>
        <w:t xml:space="preserve">, residente e domiciliado(a) em </w:t>
      </w:r>
      <w:r>
        <w:rPr>
          <w:shd w:fill="FFF2A8" w:color="auto" w:val="clear"/>
        </w:rPr>
        <w:t xml:space="preserve">[endereço completo, CEP]</w:t>
      </w:r>
      <w:r>
        <w:t xml:space="preserve">, endereço eletrônico </w:t>
      </w:r>
      <w:r>
        <w:rPr>
          <w:shd w:fill="FFF2A8" w:color="auto" w:val="clear"/>
        </w:rPr>
        <w:t xml:space="preserve">[e-mail]</w:t>
      </w:r>
      <w:r>
        <w:t xml:space="preserve">, vem respeitosamente, com fundamento no art. 58, § 2º, IV, e nos arts. 70 e 71 da Constituição Federal, e nas disposições do Regimento Interno da Câmara dos Deputados sobre petições, representações e fiscalização e controle, apresentar</w:t>
      </w:r>
    </w:p>
    <w:p>
      <w:pPr>
        <w:spacing w:after="200"/>
        <w:jc w:val="center"/>
      </w:pPr>
      <w:r>
        <w:rPr>
          <w:b/>
          <w:bCs/>
          <w:sz w:val="28"/>
          <w:szCs w:val="28"/>
        </w:rPr>
        <w:t xml:space="preserve">REPRESENTAÇÃO PARA APURAÇÃO DE FATOS</w:t>
      </w:r>
    </w:p>
    <w:p>
      <w:pPr>
        <w:spacing w:after="160" w:line="360"/>
        <w:jc w:val="both"/>
      </w:pPr>
      <w:r>
        <w:t xml:space="preserve">relativos à execução orçamentária e financeira do Programa Pé-de-Meia e à concessão de benefícios tributários no exercício de 2024, constatados pelo Tribunal de Contas da União, pelos fundamentos a seguir.</w:t>
      </w:r>
    </w:p>
    <w:p>
      <w:pPr>
        <w:pStyle w:val="Heading1"/>
      </w:pPr>
      <w:r>
        <w:t xml:space="preserve">I. DO OBJETO</w:t>
      </w:r>
    </w:p>
    <w:p>
      <w:pPr>
        <w:spacing w:after="160" w:line="360"/>
        <w:ind w:firstLine="709"/>
        <w:jc w:val="both"/>
      </w:pPr>
      <w:r>
        <w:t xml:space="preserve">1. Esta representação pede que a Comissão verifique fatos já constatados pelo TCU em decisões oficiais e avalie, após apuração, se eles configuram mera irregularidade administrativa, infração às normas de finanças públicas ou, em tese, crime de responsabilidade (CF, art. 85, VI e VII; Lei nº 1.079/1950).</w:t>
      </w:r>
    </w:p>
    <w:p>
      <w:pPr>
        <w:spacing w:after="160" w:line="360"/>
        <w:ind w:firstLine="709"/>
        <w:jc w:val="both"/>
      </w:pPr>
      <w:r>
        <w:rPr>
          <w:b/>
          <w:bCs/>
        </w:rPr>
        <w:t xml:space="preserve">2. O representante não imputa crime a nenhuma autoridade. </w:t>
      </w:r>
      <w:r>
        <w:t xml:space="preserve">Pede apenas que o órgão constitucionalmente competente verifique os fatos, identifique os responsáveis pelas decisões e esclareça se houve participação pessoal do Presidente da República.</w:t>
      </w:r>
    </w:p>
    <w:p>
      <w:pPr>
        <w:pStyle w:val="Heading1"/>
      </w:pPr>
      <w:r>
        <w:t xml:space="preserve">II. DA LEGITIMIDADE E DA COMPETÊNCIA</w:t>
      </w:r>
    </w:p>
    <w:p>
      <w:pPr>
        <w:spacing w:after="160" w:line="360"/>
        <w:ind w:firstLine="709"/>
        <w:jc w:val="both"/>
      </w:pPr>
      <w:r>
        <w:t xml:space="preserve">3. As comissões do Congresso Nacional podem receber petições, reclamações, representações ou queixas de qualquer pessoa contra atos ou omissões das autoridades ou entidades públicas (CF, art. 58, § 2º, IV).</w:t>
      </w:r>
    </w:p>
    <w:p>
      <w:pPr>
        <w:spacing w:after="160" w:line="360"/>
        <w:ind w:firstLine="709"/>
        <w:jc w:val="both"/>
      </w:pPr>
      <w:r>
        <w:t xml:space="preserve">4. A fiscalização contábil, financeira e orçamentária da União é exercida pelo Congresso Nacional, com o auxílio do TCU (CF, arts. 70 e 71). Comissão técnica pode solicitar ao Tribunal inspeções e auditorias (art. 71, IV) e informações sobre fiscalizações realizadas (art. 71, VII). A Mesa pode encaminhar pedidos escritos de informação a Ministros de Estado (art. 50, § 2º).</w:t>
      </w:r>
    </w:p>
    <w:p>
      <w:pPr>
        <w:pStyle w:val="Heading1"/>
      </w:pPr>
      <w:r>
        <w:t xml:space="preserve">III. DOS FATOS</w:t>
      </w:r>
    </w:p>
    <w:p>
      <w:pPr>
        <w:pStyle w:val="Heading2"/>
      </w:pPr>
      <w:r>
        <w:t xml:space="preserve">Fato 1: execução do Programa Pé-de-Meia fora da Lei Orçamentária Anual</w:t>
      </w:r>
    </w:p>
    <w:p>
      <w:pPr>
        <w:spacing w:after="160" w:line="360"/>
        <w:ind w:firstLine="709"/>
        <w:jc w:val="both"/>
      </w:pPr>
      <w:r>
        <w:t xml:space="preserve">5. O Programa Pé-de-Meia foi instituído pela Lei nº 14.818/2024 (Doc. 6). É operado por meio do Fundo de Incentivo à Permanência no Ensino Médio (Fipem), fundo de natureza privada administrado pela Caixa Econômica Federal. A Lei nº 14.995/2024 autorizou o Fgeduc a integralizar cotas no Fipem até R$ 6 bilhões, e a Lei nº 15.076/2024 autorizou o FGO a integralizar até R$ 4 bilhões (Doc. 7).</w:t>
      </w:r>
    </w:p>
    <w:p>
      <w:pPr>
        <w:spacing w:after="160" w:line="360"/>
        <w:ind w:firstLine="709"/>
        <w:jc w:val="both"/>
      </w:pPr>
      <w:r>
        <w:t xml:space="preserve">6. Em 22/01/2025, o Plenário do TCU referendou, por unanimidade, medida cautelar do Ministro Augusto Nardes (Acórdão nº 61/2025-TCU-Plenário, TC 024.312/2024-0, Doc. 2). A medida suspendeu o uso de cerca de R$ 6 bilhões oriundos do FGO e do Fgeduc que capitalizaram o Fipem sem trânsito pelo Orçamento Geral da União. Segundo o relator, a lei permite à União transferir recursos ao fundo, mas não permite que o pagamento dos incentivos se dê à margem do orçamento.</w:t>
      </w:r>
    </w:p>
    <w:p>
      <w:pPr>
        <w:spacing w:after="160" w:line="360"/>
        <w:ind w:firstLine="709"/>
        <w:jc w:val="both"/>
      </w:pPr>
      <w:r>
        <w:t xml:space="preserve">7. Em 12/02/2025, o Plenário deu provimento parcial ao agravo da AGU e revogou a cautelar (Acórdão nº 297/2025-TCU-Plenário, Doc. 3 e 5). Autorizou, de forma provisória e excepcional, a continuidade dos pagamentos e fixou 120 dias para a adequação do financiamento às normas orçamentárias e de responsabilidade fiscal. Reservou o mérito para momento posterior. Segundo o relatório desse acórdão, o custo anual do programa é de R$ 12,5 bilhões, e o Projeto de Lei Orçamentária de 2025 previa apenas R$ 1 bilhão.</w:t>
      </w:r>
    </w:p>
    <w:p>
      <w:pPr>
        <w:spacing w:after="160" w:line="360"/>
        <w:ind w:firstLine="709"/>
        <w:jc w:val="both"/>
      </w:pPr>
      <w:r>
        <w:t xml:space="preserve">8. O Poder Executivo enviou ao Congresso o PLN nº 5/2025, com crédito suplementar de R$ 686 milhões para o programa (Doc. 8).</w:t>
      </w:r>
    </w:p>
    <w:p>
      <w:pPr>
        <w:spacing w:after="160" w:line="360"/>
        <w:ind w:firstLine="709"/>
        <w:jc w:val="both"/>
      </w:pPr>
      <w:r>
        <w:t xml:space="preserve">9. Em 25/08/2026, em sessão extraordinária, o Plenário do TCU proferiu por unanimidade o Acórdão nº 2.261/2026-TCU-Plenário (Ata nº 32/2026, código AC-2261-32/26-P, Doc. 4). O processo é uma representação do Ministério Público junto ao TCU, com relatoria do Ministro Augusto Nardes e revisão do Ministro Odair Cunha. Segundo os registros de pesquisa do TCU, o sumário aponta indícios de descumprimento de princípios e normas constitucionais e legais de finanças públicas no arranjo orçamentário e financeiro do programa. O dispositivo, ainda assim, autoriza excepcionalmente a sua execução temporária. </w:t>
      </w:r>
      <w:r>
        <w:rPr>
          <w:shd w:fill="FFF2A8" w:color="auto" w:val="clear"/>
        </w:rPr>
        <w:t xml:space="preserve">[Conferir o inteiro teor.]</w:t>
      </w:r>
    </w:p>
    <w:p>
      <w:pPr>
        <w:pStyle w:val="Heading2"/>
      </w:pPr>
      <w:r>
        <w:t xml:space="preserve">Fato 2: benefícios tributários concedidos em 2024 sem os requisitos legais</w:t>
      </w:r>
    </w:p>
    <w:p>
      <w:pPr>
        <w:spacing w:after="160" w:line="360"/>
        <w:ind w:firstLine="709"/>
        <w:jc w:val="both"/>
      </w:pPr>
      <w:r>
        <w:t xml:space="preserve">10. No parecer prévio sobre as Contas do Presidente da República de 2024, o TCU registrou como irregularidade a concessão ou ampliação de benefícios tributários sem observância das exigências legais (Acórdão nº 1.326/2025-TCU-Plenário, TC 008.437/2025-4, sessão de 11/06/2025, Doc. 9 e 10). Segundo o Tribunal, o Executivo deixou de atender dispositivos da LDO, entre eles a apresentação de memórias de cálculo detalhadas das estimativas. Conforme noticiado, foram 23 desonerações instituídas por 19 atos normativos, parte delas sem os requisitos da Lei de Responsabilidade Fiscal (art. 14), da LDO e da Constituição. O Tribunal alertou o Executivo quanto à elaboração e à sanção de leis dessa natureza. </w:t>
      </w:r>
      <w:r>
        <w:rPr>
          <w:shd w:fill="FFF2A8" w:color="auto" w:val="clear"/>
        </w:rPr>
        <w:t xml:space="preserve">[Identificar no relatório quais leis foram apontadas.]</w:t>
      </w:r>
    </w:p>
    <w:p>
      <w:pPr>
        <w:pStyle w:val="Heading1"/>
      </w:pPr>
      <w:r>
        <w:t xml:space="preserve">IV. DAS QUESTÕES A ESCLARECER</w:t>
      </w:r>
    </w:p>
    <w:p>
      <w:pPr>
        <w:spacing w:after="160" w:line="360"/>
        <w:ind w:firstLine="709"/>
        <w:jc w:val="both"/>
      </w:pPr>
      <w:r>
        <w:t xml:space="preserve">11. Para verificar os fatos e sua eventual natureza jurídica, o representante sugere que a apuração responda às seguintes questões:</w:t>
      </w:r>
    </w:p>
    <w:p>
      <w:pPr>
        <w:pStyle w:val="Heading2"/>
      </w:pPr>
      <w:r>
        <w:t xml:space="preserve">Quanto ao Fato 1</w:t>
      </w:r>
    </w:p>
    <w:p>
      <w:pPr>
        <w:pStyle w:val="ListParagraph"/>
        <w:numPr>
          <w:ilvl w:val="0"/>
          <w:numId w:val="3"/>
        </w:numPr>
        <w:spacing w:after="100" w:line="340"/>
        <w:jc w:val="both"/>
      </w:pPr>
      <w:r>
        <w:t xml:space="preserve">Qual o montante pago a estudantes com recursos do Fipem sem trânsito pela LOA, em 2024, 2025 e 2026?</w:t>
      </w:r>
    </w:p>
    <w:p>
      <w:pPr>
        <w:pStyle w:val="ListParagraph"/>
        <w:numPr>
          <w:ilvl w:val="0"/>
          <w:numId w:val="3"/>
        </w:numPr>
        <w:spacing w:after="100" w:line="340"/>
        <w:jc w:val="both"/>
      </w:pPr>
      <w:r>
        <w:t xml:space="preserve">O prazo de 120 dias do Acórdão nº 297/2025 foi cumprido? Qual o resultado da tramitação do PLN nº 5/2025?</w:t>
      </w:r>
    </w:p>
    <w:p>
      <w:pPr>
        <w:pStyle w:val="ListParagraph"/>
        <w:numPr>
          <w:ilvl w:val="0"/>
          <w:numId w:val="3"/>
        </w:numPr>
        <w:spacing w:after="100" w:line="340"/>
        <w:jc w:val="both"/>
      </w:pPr>
      <w:r>
        <w:t xml:space="preserve">Quais determinações, prazos e eventuais responsáveis constam do Acórdão nº 2.261/2026? O TCU concluiu o mérito?</w:t>
      </w:r>
    </w:p>
    <w:p>
      <w:pPr>
        <w:pStyle w:val="ListParagraph"/>
        <w:numPr>
          <w:ilvl w:val="0"/>
          <w:numId w:val="3"/>
        </w:numPr>
        <w:spacing w:after="100" w:line="340"/>
        <w:jc w:val="both"/>
      </w:pPr>
      <w:r>
        <w:t xml:space="preserve">Quais órgãos e autoridades (MEC, Ministério da Fazenda, Casa Civil, Caixa) definiram o arranjo de financiamento pelo Fipem? Houve ato ou orientação pessoal do Presidente da República?</w:t>
      </w:r>
    </w:p>
    <w:p>
      <w:pPr>
        <w:pStyle w:val="Heading2"/>
      </w:pPr>
      <w:r>
        <w:t xml:space="preserve">Quanto ao Fato 2</w:t>
      </w:r>
    </w:p>
    <w:p>
      <w:pPr>
        <w:pStyle w:val="ListParagraph"/>
        <w:numPr>
          <w:ilvl w:val="0"/>
          <w:numId w:val="4"/>
        </w:numPr>
        <w:spacing w:after="100" w:line="340"/>
        <w:jc w:val="both"/>
      </w:pPr>
      <w:r>
        <w:t xml:space="preserve">Quais leis e atos normativos de 2024 foram apontados pelo TCU como desconformes?</w:t>
      </w:r>
    </w:p>
    <w:p>
      <w:pPr>
        <w:pStyle w:val="ListParagraph"/>
        <w:numPr>
          <w:ilvl w:val="0"/>
          <w:numId w:val="4"/>
        </w:numPr>
        <w:spacing w:after="100" w:line="340"/>
        <w:jc w:val="both"/>
      </w:pPr>
      <w:r>
        <w:t xml:space="preserve">Os projetos sancionados vieram acompanhados da estimativa de impacto orçamentário-financeiro exigida pelo art. 14 da LRF e pelo art. 113 do ADCT?</w:t>
      </w:r>
    </w:p>
    <w:p>
      <w:pPr>
        <w:pStyle w:val="ListParagraph"/>
        <w:numPr>
          <w:ilvl w:val="0"/>
          <w:numId w:val="4"/>
        </w:numPr>
        <w:spacing w:after="100" w:line="340"/>
        <w:jc w:val="both"/>
      </w:pPr>
      <w:r>
        <w:t xml:space="preserve">No processo de sanção, os órgãos técnicos (Ministério da Fazenda, Casa Civil) recomendaram veto por ausência desses requisitos? O Presidente foi informado da desconformidade antes de sancionar?</w:t>
      </w:r>
    </w:p>
    <w:p>
      <w:pPr>
        <w:pStyle w:val="ListParagraph"/>
        <w:numPr>
          <w:ilvl w:val="0"/>
          <w:numId w:val="4"/>
        </w:numPr>
        <w:spacing w:after="100" w:line="340"/>
        <w:jc w:val="both"/>
      </w:pPr>
      <w:r>
        <w:t xml:space="preserve">Quais medidas compensatórias foram adotadas e se foram suficientes?</w:t>
      </w:r>
    </w:p>
    <w:p>
      <w:pPr>
        <w:pStyle w:val="Heading1"/>
      </w:pPr>
      <w:r>
        <w:t xml:space="preserve">V. DOS ELEMENTOS FAVORÁVEIS ÀS AUTORIDADES ENVOLVIDAS</w:t>
      </w:r>
    </w:p>
    <w:p>
      <w:pPr>
        <w:spacing w:after="160" w:line="360"/>
        <w:ind w:firstLine="709"/>
        <w:jc w:val="both"/>
      </w:pPr>
      <w:r>
        <w:t xml:space="preserve">12. Por lealdade e para que a Comissão avalie os fatos com informação completa, registram-se os seguintes elementos, extraídos das mesmas fontes:</w:t>
      </w:r>
    </w:p>
    <w:p>
      <w:pPr>
        <w:pStyle w:val="ListParagraph"/>
        <w:numPr>
          <w:ilvl w:val="0"/>
          <w:numId w:val="5"/>
        </w:numPr>
        <w:spacing w:after="100" w:line="340"/>
        <w:jc w:val="both"/>
      </w:pPr>
      <w:r>
        <w:t xml:space="preserve">O TCU recomendou, por unanimidade, a aprovação com ressalvas das contas presidenciais de 2023 (TC 010.005/2024-2), 2024 (Acórdão nº 1.326/2025) e 2025 (Acórdão nº 1.442/2026), sem recomendar a rejeição de nenhuma (Doc. 11).</w:t>
      </w:r>
    </w:p>
    <w:p>
      <w:pPr>
        <w:pStyle w:val="ListParagraph"/>
        <w:numPr>
          <w:ilvl w:val="0"/>
          <w:numId w:val="5"/>
        </w:numPr>
        <w:spacing w:after="100" w:line="340"/>
        <w:jc w:val="both"/>
      </w:pPr>
      <w:r>
        <w:t xml:space="preserve">As transferências ao Fipem tiveram amparo em leis aprovadas pelo Congresso. O TCU manteve o programa autorizado em 2025 e em 2026. A AGU sustenta a legalidade do arranjo e o cumprimento da determinação de iniciar o processo legislativo.</w:t>
      </w:r>
    </w:p>
    <w:p>
      <w:pPr>
        <w:pStyle w:val="ListParagraph"/>
        <w:numPr>
          <w:ilvl w:val="0"/>
          <w:numId w:val="5"/>
        </w:numPr>
        <w:spacing w:after="100" w:line="340"/>
        <w:jc w:val="both"/>
      </w:pPr>
      <w:r>
        <w:t xml:space="preserve">Para 2026, conforme noticiado, o programa foi incluído na proposta orçamentária (cerca de R$ 12 bilhões, reduzidos para cerca de R$ 11,4 bilhões no Congresso), o que indica movimento de regularização.</w:t>
      </w:r>
    </w:p>
    <w:p>
      <w:pPr>
        <w:pStyle w:val="ListParagraph"/>
        <w:numPr>
          <w:ilvl w:val="0"/>
          <w:numId w:val="5"/>
        </w:numPr>
        <w:spacing w:after="100" w:line="340"/>
        <w:jc w:val="both"/>
      </w:pPr>
      <w:r>
        <w:t xml:space="preserve">Segundo o TCU, todas as renúncias de receita que entraram em vigor em 2024 tiveram medidas compensatórias. Parte das leis pode ter origem em iniciativa parlamentar.</w:t>
      </w:r>
    </w:p>
    <w:p>
      <w:pPr>
        <w:pStyle w:val="Heading1"/>
      </w:pPr>
      <w:r>
        <w:t xml:space="preserve">VI. DOS DISPOSITIVOS POTENCIALMENTE APLICÁVEIS</w:t>
      </w:r>
    </w:p>
    <w:p>
      <w:pPr>
        <w:spacing w:after="160" w:line="360"/>
        <w:ind w:firstLine="709"/>
        <w:jc w:val="both"/>
      </w:pPr>
      <w:r>
        <w:t xml:space="preserve">13. Sem antecipar conclusões, indicam-se as normas que a apuração deverá considerar:</w:t>
      </w:r>
    </w:p>
    <w:p>
      <w:pPr>
        <w:pStyle w:val="ListParagraph"/>
        <w:numPr>
          <w:ilvl w:val="0"/>
          <w:numId w:val="6"/>
        </w:numPr>
        <w:spacing w:after="100" w:line="340"/>
        <w:jc w:val="both"/>
      </w:pPr>
      <w:r>
        <w:t xml:space="preserve">normas de finanças públicas: CF, arts. 165, § 5º, e 167, I e II; Lei nº 4.320/1964, art. 2º; LRF, art. 14; ADCT, art. 113;</w:t>
      </w:r>
    </w:p>
    <w:p>
      <w:pPr>
        <w:pStyle w:val="ListParagraph"/>
        <w:numPr>
          <w:ilvl w:val="0"/>
          <w:numId w:val="6"/>
        </w:numPr>
        <w:spacing w:after="100" w:line="340"/>
        <w:jc w:val="both"/>
      </w:pPr>
      <w:r>
        <w:t xml:space="preserve">responsabilização de gestores perante o TCU: Lei nº 8.443/1992;</w:t>
      </w:r>
    </w:p>
    <w:p>
      <w:pPr>
        <w:pStyle w:val="ListParagraph"/>
        <w:numPr>
          <w:ilvl w:val="0"/>
          <w:numId w:val="6"/>
        </w:numPr>
        <w:spacing w:after="100" w:line="340"/>
        <w:jc w:val="both"/>
      </w:pPr>
      <w:r>
        <w:t xml:space="preserve">crime de responsabilidade, se demonstrada conduta pessoal e dolosa do Presidente da República: CF, art. 85, VI e VII; Lei nº 1.079/1950, art. 10, item 4, e art. 11, item 1.</w:t>
      </w:r>
    </w:p>
    <w:p>
      <w:pPr>
        <w:pStyle w:val="Heading1"/>
      </w:pPr>
      <w:r>
        <w:t xml:space="preserve">VII. DOS PEDIDOS</w:t>
      </w:r>
    </w:p>
    <w:p>
      <w:pPr>
        <w:spacing w:after="160" w:line="360"/>
        <w:ind w:firstLine="709"/>
        <w:jc w:val="both"/>
      </w:pPr>
      <w:r>
        <w:t xml:space="preserve">14. Diante do exposto, requer-se:</w:t>
      </w:r>
    </w:p>
    <w:p>
      <w:pPr>
        <w:pStyle w:val="ListParagraph"/>
        <w:numPr>
          <w:ilvl w:val="0"/>
          <w:numId w:val="7"/>
        </w:numPr>
        <w:spacing w:after="100" w:line="340"/>
        <w:jc w:val="both"/>
      </w:pPr>
      <w:r>
        <w:t xml:space="preserve">o recebimento e a autuação desta representação, com distribuição a relator;</w:t>
      </w:r>
    </w:p>
    <w:p>
      <w:pPr>
        <w:pStyle w:val="ListParagraph"/>
        <w:numPr>
          <w:ilvl w:val="0"/>
          <w:numId w:val="7"/>
        </w:numPr>
        <w:spacing w:after="100" w:line="340"/>
        <w:jc w:val="both"/>
      </w:pPr>
      <w:r>
        <w:t xml:space="preserve">que os membros da Comissão avaliem a apresentação de Proposta de Fiscalização e Controle sobre os fatos narrados;</w:t>
      </w:r>
    </w:p>
    <w:p>
      <w:pPr>
        <w:pStyle w:val="ListParagraph"/>
        <w:numPr>
          <w:ilvl w:val="0"/>
          <w:numId w:val="7"/>
        </w:numPr>
        <w:spacing w:after="100" w:line="340"/>
        <w:jc w:val="both"/>
      </w:pPr>
      <w:r>
        <w:t xml:space="preserve">que se solicite ao TCU cópia integral dos processos TC 024.312/2024-0 e TC 008.437/2025-4 e informações sobre o cumprimento dos Acórdãos nº 297/2025 e nº 2.261/2026 (CF, art. 71, VII), e, se necessário, auditoria específica (art. 71, IV);</w:t>
      </w:r>
    </w:p>
    <w:p>
      <w:pPr>
        <w:pStyle w:val="ListParagraph"/>
        <w:numPr>
          <w:ilvl w:val="0"/>
          <w:numId w:val="7"/>
        </w:numPr>
        <w:spacing w:after="100" w:line="340"/>
        <w:jc w:val="both"/>
      </w:pPr>
      <w:r>
        <w:t xml:space="preserve">que se encaminhem, por intermédio da Mesa, requerimentos de informação ao Ministério da Educação, ao Ministério da Fazenda e à Casa Civil, abrangendo as questões do item IV (CF, art. 50, § 2º);</w:t>
      </w:r>
    </w:p>
    <w:p>
      <w:pPr>
        <w:pStyle w:val="ListParagraph"/>
        <w:numPr>
          <w:ilvl w:val="0"/>
          <w:numId w:val="7"/>
        </w:numPr>
        <w:spacing w:after="100" w:line="340"/>
        <w:jc w:val="both"/>
      </w:pPr>
      <w:r>
        <w:t xml:space="preserve">a eventual realização de audiência pública com representantes do TCU e dos órgãos envolvidos;</w:t>
      </w:r>
    </w:p>
    <w:p>
      <w:pPr>
        <w:pStyle w:val="ListParagraph"/>
        <w:numPr>
          <w:ilvl w:val="0"/>
          <w:numId w:val="7"/>
        </w:numPr>
        <w:spacing w:after="100" w:line="340"/>
        <w:jc w:val="both"/>
      </w:pPr>
      <w:r>
        <w:t xml:space="preserve">que, concluída a apuração, as conclusões sejam encaminhadas às autoridades competentes, se houver indícios de infração, e que o representante seja informado do andamento.</w:t>
      </w:r>
    </w:p>
    <w:p>
      <w:pPr>
        <w:pStyle w:val="Heading1"/>
      </w:pPr>
      <w:r>
        <w:t xml:space="preserve">VIII. DECLARAÇÃO DE BOA-FÉ</w:t>
      </w:r>
    </w:p>
    <w:p>
      <w:pPr>
        <w:spacing w:after="160" w:line="360"/>
        <w:ind w:firstLine="709"/>
        <w:jc w:val="both"/>
      </w:pPr>
      <w:r>
        <w:t xml:space="preserve">15. O representante declara que os fatos narrados foram extraídos de documentos públicos oficiais e de notícias de fontes identificadas, relacionados no Anexo I. Declara também que reproduziu os elementos favoráveis às autoridades envolvidas e que não imputa crime a ninguém. Seu único objetivo é a apuração dos fatos pelo órgão competente.</w:t>
      </w:r>
    </w:p>
    <w:p>
      <w:pPr>
        <w:pStyle w:val="Heading1"/>
      </w:pPr>
      <w:r>
        <w:t xml:space="preserve">IX. DOS DOCUMENTOS</w:t>
      </w:r>
    </w:p>
    <w:p>
      <w:pPr>
        <w:spacing w:after="160" w:line="360"/>
        <w:jc w:val="both"/>
      </w:pPr>
      <w:r>
        <w:t xml:space="preserve">Os documentos estão descritos no Anexo I (caderno de provas), numerados de Doc. 1 a Doc. 12.</w:t>
      </w:r>
    </w:p>
    <w:p>
      <w:pPr>
        <w:spacing w:after="160" w:before="480"/>
        <w:jc w:val="center"/>
      </w:pPr>
      <w:r>
        <w:t xml:space="preserve">Nestes termos, pede deferimento.</w:t>
      </w:r>
    </w:p>
    <w:p>
      <w:pPr>
        <w:spacing w:after="720"/>
        <w:jc w:val="center"/>
      </w:pPr>
      <w:r>
        <w:rPr>
          <w:shd w:fill="FFF2A8" w:color="auto" w:val="clear"/>
        </w:rPr>
        <w:t xml:space="preserve">[Cidade]</w:t>
      </w:r>
      <w:r>
        <w:t xml:space="preserve">, </w:t>
      </w:r>
      <w:r>
        <w:rPr>
          <w:shd w:fill="FFF2A8" w:color="auto" w:val="clear"/>
        </w:rPr>
        <w:t xml:space="preserve">[dia]</w:t>
      </w:r>
      <w:r>
        <w:t xml:space="preserve"> de </w:t>
      </w:r>
      <w:r>
        <w:rPr>
          <w:shd w:fill="FFF2A8" w:color="auto" w:val="clear"/>
        </w:rPr>
        <w:t xml:space="preserve">[mês]</w:t>
      </w:r>
      <w:r>
        <w:t xml:space="preserve"> de 2026.</w:t>
      </w:r>
    </w:p>
    <w:p>
      <w:pPr>
        <w:spacing w:after="40"/>
        <w:jc w:val="center"/>
      </w:pPr>
      <w:r>
        <w:t xml:space="preserve">_____________________________________________</w:t>
      </w:r>
    </w:p>
    <w:p>
      <w:pPr>
        <w:spacing w:after="40"/>
        <w:jc w:val="center"/>
      </w:pPr>
      <w:r>
        <w:rPr>
          <w:shd w:fill="FFF2A8" w:color="auto" w:val="clear"/>
        </w:rPr>
        <w:t xml:space="preserve">[NOME COMPLETO DO REPRESENTANTE]</w:t>
      </w:r>
    </w:p>
    <w:p>
      <w:r>
        <w:br w:type="page"/>
      </w:r>
    </w:p>
    <w:p>
      <w:pPr>
        <w:pStyle w:val="Heading1"/>
      </w:pPr>
      <w:r>
        <w:t xml:space="preserve">ANEXO I: CADERNO DE PROVAS</w:t>
      </w:r>
    </w:p>
    <w:p>
      <w:pPr>
        <w:spacing w:after="160" w:line="360"/>
        <w:jc w:val="both"/>
      </w:pPr>
      <w:r>
        <w:t xml:space="preserve">Relação dos documentos que instruem a representação. Cada um deve ser obtido na fonte oficial indicada e juntado na ordem abaixo.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726"/>
        <w:gridCol w:w="20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Doc.</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Documento e identificador</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O que comprova</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Onde obter</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Documento de identidade do representante (RG/CPF)</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Identificação do representante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Cópia própria</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2</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Acórdão nº 61/2025-TCU-Plenário</w:t>
            </w:r>
          </w:p>
          <w:p>
            <w:pPr>
              <w:spacing w:after="40"/>
            </w:pPr>
            <w:r>
              <w:rPr>
                <w:rFonts w:ascii="Calibri" w:cs="Calibri" w:eastAsia="Calibri" w:hAnsi="Calibri"/>
                <w:b w:val="false"/>
                <w:bCs w:val="false"/>
                <w:sz w:val="18"/>
                <w:szCs w:val="18"/>
              </w:rPr>
              <w:t xml:space="preserve">TC 024.312/2024-0 · 22/01/2025</w:t>
            </w:r>
          </w:p>
          <w:p>
            <w:pPr>
              <w:spacing w:after="40"/>
            </w:pPr>
            <w:r>
              <w:rPr>
                <w:rFonts w:ascii="Calibri" w:cs="Calibri" w:eastAsia="Calibri" w:hAnsi="Calibri"/>
                <w:b w:val="false"/>
                <w:bCs w:val="false"/>
                <w:sz w:val="18"/>
                <w:szCs w:val="18"/>
              </w:rPr>
              <w:t xml:space="preserve">Rel. Min. Augusto Nardes</w:t>
            </w:r>
          </w:p>
        </w:tc>
        <w:tc>
          <w:tcPr>
            <w:tcW w:type="dxa" w:w="3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Referendo unânime de cautelar que suspendeu cerca de R$ 6 bi do FGO e Fgeduc usados no Pé-de-Meia via Fipem, sem trânsito pelo OGU. Fundo Social (R$ 6,1 bi) preservado em 2024–2025.</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pesquisa de acórdãos [L1]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Acórdão nº 297/2025-TCU-Plenário</w:t>
            </w:r>
          </w:p>
          <w:p>
            <w:pPr>
              <w:spacing w:after="40"/>
            </w:pPr>
            <w:r>
              <w:rPr>
                <w:rFonts w:ascii="Calibri" w:cs="Calibri" w:eastAsia="Calibri" w:hAnsi="Calibri"/>
                <w:b w:val="false"/>
                <w:bCs w:val="false"/>
                <w:sz w:val="18"/>
                <w:szCs w:val="18"/>
              </w:rPr>
              <w:t xml:space="preserve">TC 024.312/2024-0 · 12/02/2025</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Agravo da AGU parcialmente provido; cautelar revogada; execução provisória autorizada; 120 dias para adequação; mérito reservado; custo anual de R$ 12,5 bi contra R$ 1 bi no PLOA 2025.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pesquisa de acórdãos; Aviso 902/2025 [L3]</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4</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Acórdão nº 2.261/2026-TCU-Plenário</w:t>
            </w:r>
          </w:p>
          <w:p>
            <w:pPr>
              <w:spacing w:after="40"/>
            </w:pPr>
            <w:r>
              <w:rPr>
                <w:rFonts w:ascii="Calibri" w:cs="Calibri" w:eastAsia="Calibri" w:hAnsi="Calibri"/>
                <w:b w:val="false"/>
                <w:bCs w:val="false"/>
                <w:sz w:val="18"/>
                <w:szCs w:val="18"/>
              </w:rPr>
              <w:t xml:space="preserve">TC 024.312/2024-0 · 25/08/2026</w:t>
            </w:r>
          </w:p>
          <w:p>
            <w:pPr>
              <w:spacing w:after="40"/>
            </w:pPr>
            <w:r>
              <w:rPr>
                <w:rFonts w:ascii="Calibri" w:cs="Calibri" w:eastAsia="Calibri" w:hAnsi="Calibri"/>
                <w:b w:val="false"/>
                <w:bCs w:val="false"/>
                <w:sz w:val="18"/>
                <w:szCs w:val="18"/>
              </w:rPr>
              <w:t xml:space="preserve">Ata 32/2026 · AC-2261-32/26-P</w:t>
            </w:r>
          </w:p>
        </w:tc>
        <w:tc>
          <w:tcPr>
            <w:tcW w:type="dxa" w:w="3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Unânime. Representação do MPTCU; rel. Nardes, rev. Odair Cunha. Sumário: indícios de descumprimento de normas constitucionais e legais de finanças públicas; execução temporária autorizada. Inteiro teor a conferir.</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pesquisa de acórdãos [L4]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Notícia oficial do TCU sobre o prazo de 120 dias (12/02/2025)</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Comunicação oficial do teor do Acórdão 297/2025.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Portal do TCU [L2]</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6</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Lei nº 14.818, de 16/01/2024</w:t>
            </w:r>
          </w:p>
        </w:tc>
        <w:tc>
          <w:tcPr>
            <w:tcW w:type="dxa" w:w="3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Institui o Programa Pé-de-Meia e o Fipem.</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Câmara, Legislação [L5]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Lei nº 14.995, de 10/10/2024</w:t>
            </w:r>
          </w:p>
          <w:p>
            <w:pPr>
              <w:spacing w:after="40"/>
            </w:pPr>
            <w:r>
              <w:rPr>
                <w:rFonts w:ascii="Calibri" w:cs="Calibri" w:eastAsia="Calibri" w:hAnsi="Calibri"/>
                <w:b w:val="false"/>
                <w:bCs w:val="false"/>
                <w:sz w:val="18"/>
                <w:szCs w:val="18"/>
              </w:rPr>
              <w:t xml:space="preserve">Lei nº 15.076, de 26/12/2024</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Autorizam o Fgeduc (até R$ 6 bi) e o FGO (até R$ 4 bi) a integralizar cotas no Fipem.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Planalto [L11, L12]</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8</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PLN nº 5/2025</w:t>
            </w:r>
          </w:p>
        </w:tc>
        <w:tc>
          <w:tcPr>
            <w:tcW w:type="dxa" w:w="3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Crédito suplementar de R$ 685,9 mi ao MEC para o programa, alterando a LOA 2025 (Lei 15.121/2025). Aprovação final não confirmada.</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Agência Câmara [L6]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9</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Acórdão nº 1.326/2025-TCU-Plenário</w:t>
            </w:r>
          </w:p>
          <w:p>
            <w:pPr>
              <w:spacing w:after="40"/>
            </w:pPr>
            <w:r>
              <w:rPr>
                <w:rFonts w:ascii="Calibri" w:cs="Calibri" w:eastAsia="Calibri" w:hAnsi="Calibri"/>
                <w:b w:val="false"/>
                <w:bCs w:val="false"/>
                <w:sz w:val="18"/>
                <w:szCs w:val="18"/>
              </w:rPr>
              <w:t xml:space="preserve">TC 008.437/2025-4 · 11/06/2025</w:t>
            </w:r>
          </w:p>
          <w:p>
            <w:pPr>
              <w:spacing w:after="40"/>
            </w:pPr>
            <w:r>
              <w:rPr>
                <w:rFonts w:ascii="Calibri" w:cs="Calibri" w:eastAsia="Calibri" w:hAnsi="Calibri"/>
                <w:b w:val="false"/>
                <w:bCs w:val="false"/>
                <w:sz w:val="18"/>
                <w:szCs w:val="18"/>
              </w:rPr>
              <w:t xml:space="preserve">Rel. Min. Jhonatan de Jesus</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Parecer prévio favorável com ressalvas às contas de 2024. Irregularidade: benefícios tributários sem requisitos da LRF, LDO e CF (23 desonerações e 19 atos, segundo a imprensa). Medidas compensatórias em todas.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Contas do Presidente [L7]</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10</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Notícia oficial do TCU sobre as contas de 2024</w:t>
            </w:r>
          </w:p>
        </w:tc>
        <w:tc>
          <w:tcPr>
            <w:tcW w:type="dxa" w:w="3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Comunicação oficial do teor do Acórdão 1.326/2025.</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Portal do TCU [L8]</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Contas de 2023 (TC 010.005/2024-2) e Acórdão nº 1.442/2026-TCU-Plenário (contas de 2025, TC 005.405/2026-2)</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Aprovação com ressalvas, por unanimidade (elementos favoráveis).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TCU, Contas do Presidente [L9, L10]</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12</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Aviso nº 902/2025-GABPRES/TCU à Câmara</w:t>
            </w:r>
          </w:p>
        </w:tc>
        <w:tc>
          <w:tcPr>
            <w:tcW w:type="dxa" w:w="3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Ofício do TCU à Câmara que transcreve trechos do Acórdão 297/2025.</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Câmara, CFFC [L3]</w:t>
            </w:r>
          </w:p>
        </w:tc>
      </w:tr>
    </w:tbl>
    <w:p>
      <w:pPr>
        <w:spacing w:after="160"/>
      </w:pPr>
    </w:p>
    <w:p>
      <w:pPr>
        <w:pStyle w:val="Heading2"/>
      </w:pPr>
      <w:r>
        <w:t xml:space="preserve">Endereços de acesso</w:t>
      </w:r>
    </w:p>
    <w:p>
      <w:pPr>
        <w:spacing w:after="60"/>
      </w:pPr>
      <w:r>
        <w:rPr>
          <w:b/>
          <w:bCs/>
          <w:sz w:val="18"/>
          <w:szCs w:val="18"/>
        </w:rPr>
        <w:t xml:space="preserve">[L1] </w:t>
      </w:r>
      <w:hyperlink w:history="1" r:id="rIdibkhppzzyd9sak80jknrs">
        <w:r>
          <w:rPr>
            <w:rStyle w:val="Hyperlink"/>
            <w:sz w:val="18"/>
            <w:szCs w:val="18"/>
          </w:rPr>
          <w:t xml:space="preserve">https://static.poder360.com.br/2025/01/024.312-2024-0-AN-Pe-de-Meia_referendo-de-cautelar.pdf</w:t>
        </w:r>
      </w:hyperlink>
    </w:p>
    <w:p>
      <w:pPr>
        <w:spacing w:after="60"/>
      </w:pPr>
      <w:r>
        <w:rPr>
          <w:b/>
          <w:bCs/>
          <w:sz w:val="18"/>
          <w:szCs w:val="18"/>
        </w:rPr>
        <w:t xml:space="preserve">[L2] </w:t>
      </w:r>
      <w:hyperlink w:history="1" r:id="rIdwxcvajjxp5vkeyi26bq5p">
        <w:r>
          <w:rPr>
            <w:rStyle w:val="Hyperlink"/>
            <w:sz w:val="18"/>
            <w:szCs w:val="18"/>
          </w:rPr>
          <w:t xml:space="preserve">https://portal.tcu.gov.br/imprensa/noticias/tcu-da-prazo-de-120-dias-para-governo-federal-adequar-programa-pe-de-meia-ao-orcamento</w:t>
        </w:r>
      </w:hyperlink>
    </w:p>
    <w:p>
      <w:pPr>
        <w:spacing w:after="60"/>
      </w:pPr>
      <w:r>
        <w:rPr>
          <w:b/>
          <w:bCs/>
          <w:sz w:val="18"/>
          <w:szCs w:val="18"/>
        </w:rPr>
        <w:t xml:space="preserve">[L3] </w:t>
      </w:r>
      <w:hyperlink w:history="1" r:id="rId-2epm49javntv_xkzf0vv">
        <w:r>
          <w:rPr>
            <w:rStyle w:val="Hyperlink"/>
            <w:sz w:val="18"/>
            <w:szCs w:val="18"/>
          </w:rPr>
          <w:t xml:space="preserve">https://www2.camara.leg.br/atividade-legislativa/comissoes/comissoes-permanentes/cffc/expedientes-recebidos/Aviso000.902_2025GABPRES.pdf</w:t>
        </w:r>
      </w:hyperlink>
    </w:p>
    <w:p>
      <w:pPr>
        <w:spacing w:after="60"/>
      </w:pPr>
      <w:r>
        <w:rPr>
          <w:b/>
          <w:bCs/>
          <w:sz w:val="18"/>
          <w:szCs w:val="18"/>
        </w:rPr>
        <w:t xml:space="preserve">[L4] </w:t>
      </w:r>
      <w:r>
        <w:rPr>
          <w:sz w:val="18"/>
          <w:szCs w:val="18"/>
        </w:rPr>
        <w:t xml:space="preserve">https://pesquisa.apps.tcu.gov.br (buscar: AC-2261-32/26-P ou processo 024.312/2024-0)</w:t>
      </w:r>
    </w:p>
    <w:p>
      <w:pPr>
        <w:spacing w:after="60"/>
      </w:pPr>
      <w:r>
        <w:rPr>
          <w:b/>
          <w:bCs/>
          <w:sz w:val="18"/>
          <w:szCs w:val="18"/>
        </w:rPr>
        <w:t xml:space="preserve">[L5] </w:t>
      </w:r>
      <w:hyperlink w:history="1" r:id="rId9jnagvm8ttip2yp0xxsrf">
        <w:r>
          <w:rPr>
            <w:rStyle w:val="Hyperlink"/>
            <w:sz w:val="18"/>
            <w:szCs w:val="18"/>
          </w:rPr>
          <w:t xml:space="preserve">https://www2.camara.leg.br/legin/fed/lei/2024/lei-14818-16-janeiro-2024-795255-norma-pl.html</w:t>
        </w:r>
      </w:hyperlink>
    </w:p>
    <w:p>
      <w:pPr>
        <w:spacing w:after="60"/>
      </w:pPr>
      <w:r>
        <w:rPr>
          <w:b/>
          <w:bCs/>
          <w:sz w:val="18"/>
          <w:szCs w:val="18"/>
        </w:rPr>
        <w:t xml:space="preserve">[L6] </w:t>
      </w:r>
      <w:hyperlink w:history="1" r:id="rIdvpo5-b4w0gkwvax-u52z9">
        <w:r>
          <w:rPr>
            <w:rStyle w:val="Hyperlink"/>
            <w:sz w:val="18"/>
            <w:szCs w:val="18"/>
          </w:rPr>
          <w:t xml:space="preserve">https://www.camara.leg.br/noticias/1174945-projeto-suplementa-recursos-para-o-programa-pe-de-meia/</w:t>
        </w:r>
      </w:hyperlink>
    </w:p>
    <w:p>
      <w:pPr>
        <w:spacing w:after="60"/>
      </w:pPr>
      <w:r>
        <w:rPr>
          <w:b/>
          <w:bCs/>
          <w:sz w:val="18"/>
          <w:szCs w:val="18"/>
        </w:rPr>
        <w:t xml:space="preserve">[L7] </w:t>
      </w:r>
      <w:hyperlink w:history="1" r:id="rIdbb0bp_ssgbw2sknrospyc">
        <w:r>
          <w:rPr>
            <w:rStyle w:val="Hyperlink"/>
            <w:sz w:val="18"/>
            <w:szCs w:val="18"/>
          </w:rPr>
          <w:t xml:space="preserve">https://sites.tcu.gov.br/recursos/contas-do-presidente/3%20Ac%C3%B3rd%C3%A3o%201.326_2025-P%20CG2024.pdf</w:t>
        </w:r>
      </w:hyperlink>
    </w:p>
    <w:p>
      <w:pPr>
        <w:spacing w:after="60"/>
      </w:pPr>
      <w:r>
        <w:rPr>
          <w:b/>
          <w:bCs/>
          <w:sz w:val="18"/>
          <w:szCs w:val="18"/>
        </w:rPr>
        <w:t xml:space="preserve">[L8] </w:t>
      </w:r>
      <w:hyperlink w:history="1" r:id="rId6wx5wgmbh97kirhqkxrpm">
        <w:r>
          <w:rPr>
            <w:rStyle w:val="Hyperlink"/>
            <w:sz w:val="18"/>
            <w:szCs w:val="18"/>
          </w:rPr>
          <w:t xml:space="preserve">https://portal.tcu.gov.br/imprensa/noticias/tcu-aprova-com-ressalvas-as-contas-do-presidente-da-republica-de-2024</w:t>
        </w:r>
      </w:hyperlink>
    </w:p>
    <w:p>
      <w:pPr>
        <w:spacing w:after="60"/>
      </w:pPr>
      <w:r>
        <w:rPr>
          <w:b/>
          <w:bCs/>
          <w:sz w:val="18"/>
          <w:szCs w:val="18"/>
        </w:rPr>
        <w:t xml:space="preserve">[L9] </w:t>
      </w:r>
      <w:hyperlink w:history="1" r:id="rIdwm6tqxxbhaltk0uo5x_ja">
        <w:r>
          <w:rPr>
            <w:rStyle w:val="Hyperlink"/>
            <w:sz w:val="18"/>
            <w:szCs w:val="18"/>
          </w:rPr>
          <w:t xml:space="preserve">https://sites.tcu.gov.br/recursos/contas-do-governo-2023/4%20Voto%20Ministro%20VR%20(relator)%20CG2023.pdf</w:t>
        </w:r>
      </w:hyperlink>
    </w:p>
    <w:p>
      <w:pPr>
        <w:spacing w:after="60"/>
      </w:pPr>
      <w:r>
        <w:rPr>
          <w:b/>
          <w:bCs/>
          <w:sz w:val="18"/>
          <w:szCs w:val="18"/>
        </w:rPr>
        <w:t xml:space="preserve">[L10] </w:t>
      </w:r>
      <w:hyperlink w:history="1" r:id="rIdjib0hx1pzynalnb9utxdp">
        <w:r>
          <w:rPr>
            <w:rStyle w:val="Hyperlink"/>
            <w:sz w:val="18"/>
            <w:szCs w:val="18"/>
          </w:rPr>
          <w:t xml:space="preserve">https://sites.tcu.gov.br/recursos/contas-do-presidente/3%20Ac%C3%B3rd%C3%A3o%201.442_2026-P%20CG2025.pdf</w:t>
        </w:r>
      </w:hyperlink>
    </w:p>
    <w:p>
      <w:pPr>
        <w:spacing w:after="60"/>
      </w:pPr>
      <w:r>
        <w:rPr>
          <w:b/>
          <w:bCs/>
          <w:sz w:val="18"/>
          <w:szCs w:val="18"/>
        </w:rPr>
        <w:t xml:space="preserve">[L11] </w:t>
      </w:r>
      <w:hyperlink w:history="1" r:id="rIdfsshenrv9uzg_zu3zfhfk">
        <w:r>
          <w:rPr>
            <w:rStyle w:val="Hyperlink"/>
            <w:sz w:val="18"/>
            <w:szCs w:val="18"/>
          </w:rPr>
          <w:t xml:space="preserve">https://www.planalto.gov.br/ccivil_03/_ato2023-2026/2024/lei/l14995.htm</w:t>
        </w:r>
      </w:hyperlink>
    </w:p>
    <w:p>
      <w:pPr>
        <w:spacing w:after="60"/>
      </w:pPr>
      <w:r>
        <w:rPr>
          <w:b/>
          <w:bCs/>
          <w:sz w:val="18"/>
          <w:szCs w:val="18"/>
        </w:rPr>
        <w:t xml:space="preserve">[L12] </w:t>
      </w:r>
      <w:hyperlink w:history="1" r:id="rIdpx_lzmpyorngg72pyzmto">
        <w:r>
          <w:rPr>
            <w:rStyle w:val="Hyperlink"/>
            <w:sz w:val="18"/>
            <w:szCs w:val="18"/>
          </w:rPr>
          <w:t xml:space="preserve">https://www.planalto.gov.br/ccivil_03/_ato2023-2026/2024/lei/l15076.htm</w:t>
        </w:r>
      </w:hyperlink>
    </w:p>
    <w:p>
      <w:pPr>
        <w:spacing w:after="240"/>
      </w:pPr>
    </w:p>
    <w:p>
      <w:pPr>
        <w:pStyle w:val="Heading1"/>
      </w:pPr>
      <w:r>
        <w:t xml:space="preserve">ANEXO II: MATRIZ DE FATOS, PROVAS E CONTRAPROVAS</w:t>
      </w:r>
    </w:p>
    <w:p>
      <w:pPr>
        <w:spacing w:after="160" w:line="360"/>
        <w:jc w:val="both"/>
      </w:pPr>
      <w:r>
        <w:t xml:space="preserve">Para cada fato, a tabela indica a prova, o grau de constatação oficial e os elementos em sentido contrário.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700"/>
        <w:gridCol w:w="2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Fato</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Provas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Grau de constatação</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Elementos contrários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Pagamentos do Pé-de-Meia fora da LOA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Doc. 2, 3, 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Constatado pelo TCU (cautelar em 2025; indícios no Acórdão 2.261/2026)</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Amparo em leis do Congresso; programa autorizado; incluído no Orçamento de 2026</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Prazo de 120 dias para regularização</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Doc. 3, 5, 8</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Constatado pelo TCU; cumprimento a apurar</w:t>
            </w:r>
          </w:p>
        </w:tc>
        <w:tc>
          <w:tcPr>
            <w:tcW w:type="dxa" w:w="2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PLN 5/2025 enviado; AGU alega cumprimento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Benefícios tributários sem requisitos legais (2024)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Doc. 9, 10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Constatado pelo TCU como irregularidade</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Medidas compensatórias em todas; contas aprovadas</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Participação pessoal do Presidente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w:t>
            </w:r>
          </w:p>
        </w:tc>
        <w:tc>
          <w:tcPr>
            <w:tcW w:type="dxa" w:w="2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Não demonstrada nos documentos; objeto da apuração (item IV)</w:t>
            </w:r>
          </w:p>
        </w:tc>
        <w:tc>
          <w:tcPr>
            <w:tcW w:type="dxa" w:w="2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40"/>
            </w:pPr>
            <w:r>
              <w:rPr>
                <w:rFonts w:ascii="Calibri" w:cs="Calibri" w:eastAsia="Calibri" w:hAnsi="Calibri"/>
                <w:b w:val="false"/>
                <w:bCs w:val="false"/>
                <w:sz w:val="18"/>
                <w:szCs w:val="18"/>
              </w:rPr>
              <w:t xml:space="preserve">Sanção é ato pessoal, mas ciência da desconformidade não está provada</w:t>
            </w:r>
          </w:p>
        </w:tc>
      </w:tr>
    </w:tbl>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4"/>
      <w:szCs w:val="24"/>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i/>
      <w:i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bkhppzzyd9sak80jknrs" Type="http://schemas.openxmlformats.org/officeDocument/2006/relationships/hyperlink" Target="https://static.poder360.com.br/2025/01/024.312-2024-0-AN-Pe-de-Meia_referendo-de-cautelar.pdf" TargetMode="External"/><Relationship Id="rIdwxcvajjxp5vkeyi26bq5p" Type="http://schemas.openxmlformats.org/officeDocument/2006/relationships/hyperlink" Target="https://portal.tcu.gov.br/imprensa/noticias/tcu-da-prazo-de-120-dias-para-governo-federal-adequar-programa-pe-de-meia-ao-orcamento" TargetMode="External"/><Relationship Id="rId-2epm49javntv_xkzf0vv" Type="http://schemas.openxmlformats.org/officeDocument/2006/relationships/hyperlink" Target="https://www2.camara.leg.br/atividade-legislativa/comissoes/comissoes-permanentes/cffc/expedientes-recebidos/Aviso000.902_2025GABPRES.pdf" TargetMode="External"/><Relationship Id="rId9jnagvm8ttip2yp0xxsrf" Type="http://schemas.openxmlformats.org/officeDocument/2006/relationships/hyperlink" Target="https://www2.camara.leg.br/legin/fed/lei/2024/lei-14818-16-janeiro-2024-795255-norma-pl.html" TargetMode="External"/><Relationship Id="rIdvpo5-b4w0gkwvax-u52z9" Type="http://schemas.openxmlformats.org/officeDocument/2006/relationships/hyperlink" Target="https://www.camara.leg.br/noticias/1174945-projeto-suplementa-recursos-para-o-programa-pe-de-meia/" TargetMode="External"/><Relationship Id="rIdbb0bp_ssgbw2sknrospyc" Type="http://schemas.openxmlformats.org/officeDocument/2006/relationships/hyperlink" Target="https://sites.tcu.gov.br/recursos/contas-do-presidente/3%20Ac%C3%B3rd%C3%A3o%201.326_2025-P%20CG2024.pdf" TargetMode="External"/><Relationship Id="rId6wx5wgmbh97kirhqkxrpm" Type="http://schemas.openxmlformats.org/officeDocument/2006/relationships/hyperlink" Target="https://portal.tcu.gov.br/imprensa/noticias/tcu-aprova-com-ressalvas-as-contas-do-presidente-da-republica-de-2024" TargetMode="External"/><Relationship Id="rIdwm6tqxxbhaltk0uo5x_ja" Type="http://schemas.openxmlformats.org/officeDocument/2006/relationships/hyperlink" Target="https://sites.tcu.gov.br/recursos/contas-do-governo-2023/4%20Voto%20Ministro%20VR%20(relator)%20CG2023.pdf" TargetMode="External"/><Relationship Id="rIdjib0hx1pzynalnb9utxdp" Type="http://schemas.openxmlformats.org/officeDocument/2006/relationships/hyperlink" Target="https://sites.tcu.gov.br/recursos/contas-do-presidente/3%20Ac%C3%B3rd%C3%A3o%201.442_2026-P%20CG2025.pdf" TargetMode="External"/><Relationship Id="rIdfsshenrv9uzg_zu3zfhfk" Type="http://schemas.openxmlformats.org/officeDocument/2006/relationships/hyperlink" Target="https://www.planalto.gov.br/ccivil_03/_ato2023-2026/2024/lei/l14995.htm" TargetMode="External"/><Relationship Id="rIdpx_lzmpyorngg72pyzmto" Type="http://schemas.openxmlformats.org/officeDocument/2006/relationships/hyperlink" Target="https://www.planalto.gov.br/ccivil_03/_ato2023-2026/2024/lei/l15076.ht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Representação para apuração de fatos – CFFC</dc:title>
  <dc:creator>Un-named</dc:creator>
  <cp:lastModifiedBy>Un-named</cp:lastModifiedBy>
  <cp:revision>1</cp:revision>
  <dcterms:created xsi:type="dcterms:W3CDTF">2026-10-26T01:30:53.167Z</dcterms:created>
  <dcterms:modified xsi:type="dcterms:W3CDTF">2026-10-26T01:30:53.167Z</dcterms:modified>
</cp:coreProperties>
</file>

<file path=docProps/custom.xml><?xml version="1.0" encoding="utf-8"?>
<Properties xmlns="http://schemas.openxmlformats.org/officeDocument/2006/custom-properties" xmlns:vt="http://schemas.openxmlformats.org/officeDocument/2006/docPropsVTypes"/>
</file>