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00000" w:sz="12"/>
              <w:left w:val="single" w:color="C00000" w:sz="12"/>
              <w:bottom w:val="single" w:color="C00000" w:sz="12"/>
              <w:right w:val="single" w:color="C00000" w:sz="12"/>
            </w:tcBorders>
            <w:shd w:fill="FFF5F5" w:color="auto" w:val="clear"/>
            <w:tcMar>
              <w:top w:type="dxa" w:w="160"/>
              <w:left w:type="dxa" w:w="200"/>
              <w:bottom w:type="dxa" w:w="160"/>
              <w:right w:type="dxa" w:w="200"/>
            </w:tcMar>
          </w:tcPr>
          <w:p>
            <w:pPr>
              <w:spacing w:after="140"/>
            </w:pPr>
            <w:r>
              <w:rPr>
                <w:rFonts w:ascii="Calibri" w:cs="Calibri" w:eastAsia="Calibri" w:hAnsi="Calibri"/>
                <w:b/>
                <w:bCs/>
                <w:color w:val="C00000"/>
                <w:sz w:val="24"/>
                <w:szCs w:val="24"/>
              </w:rPr>
              <w:t xml:space="preserve">NOTAS AO DENUNCIANTE — REMOVER ESTA PÁGINA ANTES DO PROTOCOLO</w:t>
            </w:r>
          </w:p>
          <w:p>
            <w:pPr>
              <w:pStyle w:val="ListParagraph"/>
              <w:numPr>
                <w:ilvl w:val="0"/>
                <w:numId w:val="2"/>
              </w:numPr>
              <w:spacing w:after="80"/>
            </w:pPr>
            <w:r>
              <w:t xml:space="preserve">Esta é uma minuta preparada a partir de documentos públicos. Recomenda-se revisão por advogado(a). Não é obrigatório, mas é prudente.</w:t>
            </w:r>
          </w:p>
          <w:p>
            <w:pPr>
              <w:pStyle w:val="ListParagraph"/>
              <w:numPr>
                <w:ilvl w:val="0"/>
                <w:numId w:val="2"/>
              </w:numPr>
              <w:spacing w:after="80"/>
            </w:pPr>
            <w:r>
              <w:rPr>
                <w:b/>
                <w:bCs/>
                <w:color w:val="C00000"/>
              </w:rPr>
              <w:t xml:space="preserve">ANONIMATO: </w:t>
            </w:r>
            <w:r>
              <w:t xml:space="preserve">a identificação foi preenchida como ANÔNIMO, conforme sua escolha. A Lei 1.079/1950 exige denunciante cidadão identificado, com firma reconhecida (arts. 14 e 16). Uma denúncia anônima não será recebida e tende a ser arquivada por vício formal. Para que tenha efeito, é preciso se identificar. As alternativas compatíveis com o anonimato são a representação (Parte II) e os pedidos de acesso à informação com identidade preservada (Parte III).</w:t>
            </w:r>
          </w:p>
          <w:p>
            <w:pPr>
              <w:pStyle w:val="ListParagraph"/>
              <w:numPr>
                <w:ilvl w:val="0"/>
                <w:numId w:val="2"/>
              </w:numPr>
              <w:spacing w:after="80"/>
            </w:pPr>
            <w:r>
              <w:rPr>
                <w:b/>
                <w:bCs/>
              </w:rPr>
              <w:t xml:space="preserve">Campos em amarelo </w:t>
            </w:r>
            <w:r>
              <w:t xml:space="preserve">devem ser preenchidos com seus dados ou conferidos no documento oficial antes da assinatura.</w:t>
            </w:r>
          </w:p>
          <w:p>
            <w:pPr>
              <w:pStyle w:val="ListParagraph"/>
              <w:numPr>
                <w:ilvl w:val="0"/>
                <w:numId w:val="2"/>
              </w:numPr>
              <w:spacing w:after="80"/>
            </w:pPr>
            <w:r>
              <w:rPr>
                <w:b/>
                <w:bCs/>
              </w:rPr>
              <w:t xml:space="preserve">Firma reconhecida </w:t>
            </w:r>
            <w:r>
              <w:t xml:space="preserve">em cartório é obrigatória (Lei 1.079/1950, art. 16). Anexe RG, título de eleitor e certidão de quitação eleitoral, que comprova a cidadania (art. 14).</w:t>
            </w:r>
          </w:p>
          <w:p>
            <w:pPr>
              <w:pStyle w:val="ListParagraph"/>
              <w:numPr>
                <w:ilvl w:val="0"/>
                <w:numId w:val="2"/>
              </w:numPr>
              <w:spacing w:after="80"/>
            </w:pPr>
            <w:r>
              <w:rPr>
                <w:b/>
                <w:bCs/>
              </w:rPr>
              <w:t xml:space="preserve">Anexe os documentos do item VIII. </w:t>
            </w:r>
            <w:r>
              <w:t xml:space="preserve">Baixe cada um da fonte oficial (TCU, DOU, Câmara). Onde a minuta diz "conforme noticiado", confira o dado no documento oficial e ajuste o texto se houver diferença.</w:t>
            </w:r>
          </w:p>
          <w:p>
            <w:pPr>
              <w:pStyle w:val="ListParagraph"/>
              <w:numPr>
                <w:ilvl w:val="0"/>
                <w:numId w:val="2"/>
              </w:numPr>
              <w:spacing w:after="80"/>
            </w:pPr>
            <w:r>
              <w:rPr>
                <w:b/>
                <w:bCs/>
              </w:rPr>
              <w:t xml:space="preserve">Prazo. </w:t>
            </w:r>
            <w:r>
              <w:t xml:space="preserve">A denúncia só pode ser recebida enquanto o denunciado estiver no cargo (art. 15). O mandato em curso termina em 5 de janeiro de 2027 (CF, art. 82, na redação da EC 111/2021). Se houver recondução, há controvérsia sobre responsabilização por atos de mandato anterior.</w:t>
            </w:r>
          </w:p>
          <w:p>
            <w:pPr>
              <w:pStyle w:val="ListParagraph"/>
              <w:numPr>
                <w:ilvl w:val="0"/>
                <w:numId w:val="2"/>
              </w:numPr>
              <w:spacing w:after="80"/>
            </w:pPr>
            <w:r>
              <w:rPr>
                <w:b/>
                <w:bCs/>
              </w:rPr>
              <w:t xml:space="preserve">Protocolo: </w:t>
            </w:r>
            <w:r>
              <w:t xml:space="preserve">Secretaria-Geral da Mesa da Câmara dos Deputados, em Brasília. Confirme com a Câmara se há forma de protocolo à distância.</w:t>
            </w:r>
          </w:p>
          <w:p>
            <w:pPr>
              <w:pStyle w:val="ListParagraph"/>
              <w:numPr>
                <w:ilvl w:val="0"/>
                <w:numId w:val="2"/>
              </w:numPr>
              <w:spacing w:after="80"/>
            </w:pPr>
            <w:r>
              <w:rPr>
                <w:b/>
                <w:bCs/>
              </w:rPr>
              <w:t xml:space="preserve">Avaliação franca: </w:t>
            </w:r>
            <w:r>
              <w:t xml:space="preserve">o TCU recomendou a aprovação, com ressalvas, das contas de 2023, 2024 e 2025, e pedidos anteriores sobre o Pé-de-Meia não prosperaram. A chance de recebimento é baixa. A denúncia continua sendo um exercício legítimo de cidadania, desde que se mantenha fiel aos documentos.</w:t>
            </w:r>
          </w:p>
          <w:p>
            <w:pPr>
              <w:pStyle w:val="ListParagraph"/>
              <w:numPr>
                <w:ilvl w:val="0"/>
                <w:numId w:val="2"/>
              </w:numPr>
              <w:spacing w:after="80"/>
            </w:pPr>
            <w:r>
              <w:rPr>
                <w:b/>
                <w:bCs/>
              </w:rPr>
              <w:t xml:space="preserve">Boa-fé: </w:t>
            </w:r>
            <w:r>
              <w:t xml:space="preserve">não acrescente fatos sem prova nem amplie o que os documentos dizem. Imputar crime a alguém sabendo que é inocente é crime de denunciação caluniosa (CP, art. 339). Por isso a minuta traz, no item IV, os elementos favoráveis ao denunciado.</w:t>
            </w:r>
          </w:p>
          <w:p>
            <w:pPr>
              <w:pStyle w:val="ListParagraph"/>
              <w:numPr>
                <w:ilvl w:val="0"/>
                <w:numId w:val="2"/>
              </w:numPr>
              <w:spacing w:after="80"/>
            </w:pPr>
            <w:r>
              <w:rPr>
                <w:b/>
                <w:bCs/>
              </w:rPr>
              <w:t xml:space="preserve">Fato excluído: </w:t>
            </w:r>
            <w:r>
              <w:t xml:space="preserve">a garantia da União ao empréstimo de R$ 12 bilhões aos Correios (TCU, Acórdão 1.359/2026) ficou de fora. O próprio relator registrou que a decisão não tem caráter punitivo e não há ato pessoal do Presidente identificado.</w:t>
            </w:r>
          </w:p>
          <w:p>
            <w:pPr>
              <w:pStyle w:val="ListParagraph"/>
              <w:numPr>
                <w:ilvl w:val="0"/>
                <w:numId w:val="2"/>
              </w:numPr>
              <w:spacing w:after="80"/>
            </w:pPr>
            <w:r>
              <w:rPr>
                <w:b/>
                <w:bCs/>
              </w:rPr>
              <w:t xml:space="preserve">Acórdão 2.261/2026 (item 8-A): </w:t>
            </w:r>
            <w:r>
              <w:t xml:space="preserve">a identificação foi confirmada em registros do TCU: sessão extraordinária de 25/08/2026, Ata nº 32/2026, código AC-2261-32/26-P. O inteiro teor não pôde ser lido. A descrição do conteúdo vem de trechos da pesquisa do TCU e de reportagens do Poder360 e do Distrito News de 25/08/2026. Leia o dispositivo completo antes de protocolar e ajuste os itens 8-A e 15 se ele disser algo diferente.</w:t>
            </w:r>
          </w:p>
          <w:p>
            <w:pPr>
              <w:pStyle w:val="ListParagraph"/>
              <w:numPr>
                <w:ilvl w:val="0"/>
                <w:numId w:val="2"/>
              </w:numPr>
              <w:spacing w:after="80"/>
            </w:pPr>
            <w:r>
              <w:rPr>
                <w:b/>
                <w:bCs/>
              </w:rPr>
              <w:t xml:space="preserve">Contas de 2023: </w:t>
            </w:r>
            <w:r>
              <w:t xml:space="preserve">o processo é o TC 010.005/2024-2, e o parecer foi enviado ao Congresso pelo Aviso nº 468-GP/TCU/2024. O número do acórdão não foi localizado. Há indício, não confirmado, de que seja o Acórdão nº 1.106/2024-TCU-Plenário.</w:t>
            </w:r>
          </w:p>
        </w:tc>
      </w:tr>
    </w:tbl>
    <w:p>
      <w:r>
        <w:br w:type="page"/>
      </w:r>
    </w:p>
    <w:p>
      <w:pPr>
        <w:spacing w:after="600"/>
        <w:jc w:val="center"/>
      </w:pPr>
      <w:r>
        <w:rPr>
          <w:b/>
          <w:bCs/>
        </w:rPr>
        <w:t xml:space="preserve">EXCELENTÍSSIMO SENHOR PRESIDENTE DA CÂMARA DOS DEPUTADOS</w:t>
      </w:r>
    </w:p>
    <w:p>
      <w:pPr>
        <w:spacing w:after="160" w:line="360"/>
        <w:jc w:val="both"/>
      </w:pPr>
      <w:r>
        <w:rPr>
          <w:b/>
          <w:bCs/>
        </w:rPr>
        <w:t xml:space="preserve">ANÔNIMO</w:t>
      </w:r>
      <w:r>
        <w:t xml:space="preserve"> (denunciante que optou por não se identificar), vem respeitosamente, com fundamento nos arts. 85, VI e VII, e 86 da Constituição Federal e nos arts. 14 a 16 da Lei nº 1.079, de 10 de abril de 1950, apresentar</w:t>
      </w:r>
    </w:p>
    <w:p>
      <w:pPr>
        <w:spacing w:after="200"/>
        <w:jc w:val="center"/>
      </w:pPr>
      <w:r>
        <w:rPr>
          <w:b/>
          <w:bCs/>
          <w:sz w:val="28"/>
          <w:szCs w:val="28"/>
        </w:rPr>
        <w:t xml:space="preserve">DENÚNCIA POR CRIME DE RESPONSABILIDADE</w:t>
      </w:r>
    </w:p>
    <w:p>
      <w:pPr>
        <w:spacing w:after="160" w:line="360"/>
        <w:jc w:val="both"/>
      </w:pPr>
      <w:r>
        <w:t xml:space="preserve">contra o Presidente da República, </w:t>
      </w:r>
      <w:r>
        <w:rPr>
          <w:b/>
          <w:bCs/>
        </w:rPr>
        <w:t xml:space="preserve">LUIZ INÁCIO LULA DA SILVA</w:t>
      </w:r>
      <w:r>
        <w:t xml:space="preserve">, pelos fatos e fundamentos a seguir expostos.</w:t>
      </w:r>
    </w:p>
    <w:p>
      <w:pPr>
        <w:pStyle w:val="Heading1"/>
      </w:pPr>
      <w:r>
        <w:t xml:space="preserve">I. DA LEGITIMIDADE E DA ADMISSIBILIDADE</w:t>
      </w:r>
    </w:p>
    <w:p>
      <w:pPr>
        <w:spacing w:after="160" w:line="360"/>
        <w:ind w:firstLine="709"/>
        <w:jc w:val="both"/>
      </w:pPr>
      <w:r>
        <w:t xml:space="preserve">1. Qualquer cidadão pode denunciar o Presidente da República perante a Câmara dos Deputados por crime de responsabilidade (Lei nº 1.079/1950, art. 14). </w:t>
      </w:r>
      <w:r>
        <w:rPr>
          <w:shd w:fill="FFF2A8" w:color="auto" w:val="clear"/>
        </w:rPr>
        <w:t xml:space="preserve">[Denúncia apresentada como anônima: sem identificação do cidadão denunciante e sem firma reconhecida, os requisitos dos arts. 14 e 16 não são atendidos.]</w:t>
      </w:r>
    </w:p>
    <w:p>
      <w:pPr>
        <w:spacing w:after="160" w:line="360"/>
        <w:ind w:firstLine="709"/>
        <w:jc w:val="both"/>
      </w:pPr>
      <w:r>
        <w:t xml:space="preserve">2. O denunciado está no exercício do cargo, o que permite o recebimento da denúncia (art. 15).</w:t>
      </w:r>
    </w:p>
    <w:p>
      <w:pPr>
        <w:spacing w:after="160" w:line="360"/>
        <w:ind w:firstLine="709"/>
        <w:jc w:val="both"/>
      </w:pPr>
      <w:r>
        <w:t xml:space="preserve">3. A prova é essencialmente documental: atos oficiais do Tribunal de Contas da União e leis publicadas no Diário Oficial da União, relacionados no item VIII. Cumpre-se, assim, o art. 16 da Lei nº 1.079/1950.</w:t>
      </w:r>
    </w:p>
    <w:p>
      <w:pPr>
        <w:spacing w:after="160" w:line="360"/>
        <w:ind w:firstLine="709"/>
        <w:jc w:val="both"/>
      </w:pPr>
      <w:r>
        <w:t xml:space="preserve">4. O rito observará a Lei nº 1.079/1950, o Regimento Interno da Câmara dos Deputados (art. 218) e as balizas fixadas pelo Supremo Tribunal Federal na ADPF 378/DF.</w:t>
      </w:r>
    </w:p>
    <w:p>
      <w:pPr>
        <w:pStyle w:val="Heading1"/>
      </w:pPr>
      <w:r>
        <w:t xml:space="preserve">II. DOS FATOS</w:t>
      </w:r>
    </w:p>
    <w:p>
      <w:pPr>
        <w:pStyle w:val="Heading2"/>
      </w:pPr>
      <w:r>
        <w:t xml:space="preserve">Fato 1: execução do Programa Pé-de-Meia à margem da Lei Orçamentária Anual</w:t>
      </w:r>
    </w:p>
    <w:p>
      <w:pPr>
        <w:spacing w:after="160" w:line="360"/>
        <w:ind w:firstLine="709"/>
        <w:jc w:val="both"/>
      </w:pPr>
      <w:r>
        <w:t xml:space="preserve">5. O Programa Pé-de-Meia, incentivo financeiro-educacional a estudantes do ensino médio, foi instituído pela Lei nº 14.818, de 16 de janeiro de 2024 (Doc. 4). Ele é operado por meio do Fundo de Custeio da Poupança de Incentivo à Permanência e Conclusão Escolar para Estudantes do Ensino Médio (Fipem), fundo de natureza privada.</w:t>
      </w:r>
    </w:p>
    <w:p>
      <w:pPr>
        <w:spacing w:after="160" w:line="360"/>
        <w:ind w:firstLine="709"/>
        <w:jc w:val="both"/>
      </w:pPr>
      <w:r>
        <w:t xml:space="preserve">6. A Lei nº 14.995, de 10 de outubro de 2024, autorizou o Fundo de Garantia de Operações de Crédito Educativo (Fgeduc) a integralizar cotas no Fipem até o limite de R$ 6 bilhões. A Lei nº 15.076, de 26 de dezembro de 2024, autorizou o Fundo de Garantia de Operações (FGO) a integralizar cotas no Fipem até R$ 4 bilhões (Doc. 5). Em ambos os casos, a lei ressalvou os recursos já vinculados a garantias contratadas.</w:t>
      </w:r>
    </w:p>
    <w:p>
      <w:pPr>
        <w:spacing w:after="160" w:line="360"/>
        <w:ind w:firstLine="709"/>
        <w:jc w:val="both"/>
      </w:pPr>
      <w:r>
        <w:t xml:space="preserve">7. Em 20 de janeiro de 2025, o Ministro Augusto Nardes concedeu medida cautelar no processo TC 024.312/2024-0. Em 22 de janeiro de 2025, o Plenário do Tribunal de Contas da União a referendou por unanimidade (Acórdão nº 61/2025-TCU-Plenário, Doc. 2). A medida suspendeu o uso, no Programa, de cerca de R$ 6 bilhões oriundos do FGO e do Fgeduc que capitalizaram o Fipem sem trânsito pelo Orçamento Geral da União. Segundo o relator, a lei permite que a União transfira recursos ao fundo, mas não permite que o pagamento dos incentivos aos estudantes se dê à margem do orçamento. Ficaram excepcionalmente preservados, em 2024 e 2025, os R$ 6,1 bilhões provenientes do Fundo Social.</w:t>
      </w:r>
    </w:p>
    <w:p>
      <w:pPr>
        <w:spacing w:after="160" w:line="360"/>
        <w:ind w:firstLine="709"/>
        <w:jc w:val="both"/>
      </w:pPr>
      <w:r>
        <w:t xml:space="preserve">8. Em 12 de fevereiro de 2025, o Plenário deu provimento parcial ao agravo da Advocacia-Geral da União e revogou a cautelar (Acórdão nº 297/2025-TCU-Plenário, Doc. 3). Fundamentou-se no perigo da demora reverso e nos impactos sociais da interrupção do programa, e reservou para momento posterior a análise de mérito. O Tribunal autorizou, de forma provisória e excepcional, a continuidade dos pagamentos com recursos do Fipem e fixou prazo de 120 dias para que o Poder Executivo adequasse o financiamento às normas orçamentárias e de responsabilidade fiscal. Segundo o relatório desse acórdão, o custo anual estimado do programa é de R$ 12,5 bilhões, enquanto o Projeto de Lei Orçamentária de 2025 previa apenas R$ 1 bilhão. O Executivo enviou ao Congresso o PLN nº 5/2025 (Mensagem nº 778, de 24/06/2025), com crédito suplementar de R$ 685,9 milhões ao Ministério da Educação para o programa, e depois solicitou a sua retirada de tramitação (Mensagem nº 1.712/2025) (Doc. 8).</w:t>
      </w:r>
    </w:p>
    <w:p>
      <w:pPr>
        <w:spacing w:after="160" w:line="360"/>
        <w:ind w:firstLine="709"/>
        <w:jc w:val="both"/>
      </w:pPr>
      <w:r>
        <w:t xml:space="preserve">8-A. Em 25 de agosto de 2026, em sessão extraordinária, o Plenário do TCU proferiu por unanimidade, no mesmo processo, o Acórdão nº 2.261/2026-TCU-Plenário (Doc. 3-A). O processo é uma representação do Ministério Público junto ao TCU, com relatoria do Ministro Augusto Nardes e revisão do Ministro Odair Cunha. Segundo os registros de pesquisa do TCU, o sumário da decisão aponta indícios de descumprimento de princípios e normas constitucionais e legais de finanças públicas no arranjo orçamentário e financeiro do Programa. O Tribunal, ainda assim, autorizou excepcionalmente a execução temporária do programa. Segundo a imprensa, na mesma sessão o relator acolheu proposta do revisor para juntar o processo ao TC 025.632/2024-8, auditoria operacional sobre gastos fora do Orçamento (relator Min. Bruno Dantas), e não houve decisão definitiva de mérito. Nessa auditoria, o Acórdão nº 1.372/2026-TCU-Plenário (27/05/2026) já havia determinado medidas de transparência aos gestores de fundos e a apresentação de relatório em 180 dias. </w:t>
      </w:r>
      <w:r>
        <w:rPr>
          <w:shd w:fill="FFF2A8" w:color="auto" w:val="clear"/>
        </w:rPr>
        <w:t xml:space="preserve">[Conferir o inteiro teor, em especial o dispositivo, antes do protocolo.]</w:t>
      </w:r>
    </w:p>
    <w:p>
      <w:pPr>
        <w:pStyle w:val="Heading2"/>
      </w:pPr>
      <w:r>
        <w:t xml:space="preserve">Fato 2: sanção de leis que concederam benefícios tributários sem os requisitos legais</w:t>
      </w:r>
    </w:p>
    <w:p>
      <w:pPr>
        <w:spacing w:after="160" w:line="360"/>
        <w:ind w:firstLine="709"/>
        <w:jc w:val="both"/>
      </w:pPr>
      <w:r>
        <w:t xml:space="preserve">9. No parecer prévio sobre as Contas do Presidente da República do exercício de 2024, aprovado em 11 de junho de 2025 (Acórdão nº 1.326/2025-TCU-Plenário, TC 008.437/2025-4, relator: Ministro Jhonatan de Jesus, Doc. 6 e 7), o TCU apontou como </w:t>
      </w:r>
      <w:r>
        <w:rPr>
          <w:i/>
          <w:iCs/>
        </w:rPr>
        <w:t xml:space="preserve">irregularidade</w:t>
      </w:r>
      <w:r>
        <w:t xml:space="preserve"> a concessão ou ampliação de benefícios tributários, por meio de renúncia de receita, sem observância das exigências legais. Segundo o Tribunal, o Poder Executivo deixou de atender dispositivos da Lei de Diretrizes Orçamentárias, entre eles a apresentação de memórias de cálculo detalhadas das estimativas de renúncia. Conforme noticiado, foram instituídas 23 desonerações por 19 atos normativos em 2024, e parte delas não atendeu aos requisitos da Lei de Responsabilidade Fiscal (art. 14), da LDO e da Constituição. Segundo a imprensa, o TCU identificou nove leis nessa situação, entre elas as relativas ao Perse e ao setor de semicondutores. </w:t>
      </w:r>
      <w:r>
        <w:rPr>
          <w:shd w:fill="FFF2A8" w:color="auto" w:val="clear"/>
        </w:rPr>
        <w:t xml:space="preserve">[Identificar no relatório do TCU, capítulo sobre renúncias, quais leis foram apontadas e qual dispositivo constitucional foi citado, provavelmente o art. 113 do ADCT.]</w:t>
      </w:r>
    </w:p>
    <w:p>
      <w:pPr>
        <w:spacing w:after="160" w:line="360"/>
        <w:ind w:firstLine="709"/>
        <w:jc w:val="both"/>
      </w:pPr>
      <w:r>
        <w:t xml:space="preserve">10. O TCU também alertou o Poder Executivo de que, na elaboração e na sanção de leis de concessão ou ampliação de benefícios tributários, regras da LDO e da LRF deixaram de ser cumpridas. A sanção é ato privativo e pessoal do Presidente da República (CF, art. 84, IV). Isso estabelece o vínculo direto entre o fato apontado pelo TCU e a conduta do denunciado.</w:t>
      </w:r>
    </w:p>
    <w:p>
      <w:pPr>
        <w:pStyle w:val="Heading1"/>
      </w:pPr>
      <w:r>
        <w:t xml:space="preserve">III. DO DIREITO</w:t>
      </w:r>
    </w:p>
    <w:p>
      <w:pPr>
        <w:pStyle w:val="Heading2"/>
      </w:pPr>
      <w:r>
        <w:t xml:space="preserve">III.1 Do crime de responsabilidade contra a lei orçamentária</w:t>
      </w:r>
    </w:p>
    <w:p>
      <w:pPr>
        <w:spacing w:after="160" w:line="360"/>
        <w:ind w:firstLine="709"/>
        <w:jc w:val="both"/>
      </w:pPr>
      <w:r>
        <w:t xml:space="preserve">11. São crimes de responsabilidade os atos do Presidente da República que atentem contra a lei orçamentária e o cumprimento das leis (CF, art. 85, VI e VII). A Lei nº 1.079/1950 tipifica, entre outros, os de "infringir, patentemente, e de qualquer modo, dispositivo da lei orçamentária" (art. 10, item 4) e "ordenar despesas não autorizadas por lei ou sem observância das prescrições legais relativas às mesmas" (art. 11, item 1).</w:t>
      </w:r>
    </w:p>
    <w:p>
      <w:pPr>
        <w:pStyle w:val="Heading2"/>
      </w:pPr>
      <w:r>
        <w:t xml:space="preserve">III.2 Do enquadramento do Fato 1</w:t>
      </w:r>
    </w:p>
    <w:p>
      <w:pPr>
        <w:spacing w:after="160" w:line="360"/>
        <w:ind w:firstLine="709"/>
        <w:jc w:val="both"/>
      </w:pPr>
      <w:r>
        <w:t xml:space="preserve">12. A Constituição exige que a lei orçamentária anual compreenda as despesas da União (art. 165, § 5º). Ela também proíbe o início de programas ou projetos não incluídos na lei orçamentária anual e a realização de despesas que excedam os créditos orçamentários (art. 167, I e II). A Lei nº 4.320/1964 consagra o princípio da universalidade (art. 2º). A execução de um programa federal de transferência de renda com recursos que circularam fora do Orçamento Geral da União, como constatado pelo TCU em juízo cautelar, pode configurar, em tese, as condutas do art. 10, item 4, e do art. 11, item 1, da Lei nº 1.079/1950. Cabe à Câmara dos Deputados, após a instrução, avaliar a autoria e a responsabilidade pessoal do denunciado.</w:t>
      </w:r>
    </w:p>
    <w:p>
      <w:pPr>
        <w:pStyle w:val="Heading2"/>
      </w:pPr>
      <w:r>
        <w:t xml:space="preserve">III.3 Do enquadramento do Fato 2</w:t>
      </w:r>
    </w:p>
    <w:p>
      <w:pPr>
        <w:spacing w:after="160" w:line="360"/>
        <w:ind w:firstLine="709"/>
        <w:jc w:val="both"/>
      </w:pPr>
      <w:r>
        <w:t xml:space="preserve">13. A Lei de Diretrizes Orçamentárias integra o sistema constitucional das leis orçamentárias (CF, art. 165, II). Concessão ou ampliação de benefício tributário que resulte em renúncia de receita exige estimativa de impacto orçamentário-financeiro e medidas de compensação (LRF, art. 14). Proposição legislativa que crie renúncia de receita deve vir acompanhada da estimativa de impacto (ADCT, art. 113). Sancionar leis que, segundo o TCU, descumpriram esses requisitos pode configurar, em tese, a conduta do art. 10, item 4, da Lei nº 1.079/1950.</w:t>
      </w:r>
    </w:p>
    <w:p>
      <w:pPr>
        <w:pStyle w:val="Heading2"/>
      </w:pPr>
      <w:r>
        <w:t xml:space="preserve">III.4 Da autonomia desta instância em relação ao parecer do TCU</w:t>
      </w:r>
    </w:p>
    <w:p>
      <w:pPr>
        <w:spacing w:after="160" w:line="360"/>
        <w:ind w:firstLine="709"/>
        <w:jc w:val="both"/>
      </w:pPr>
      <w:r>
        <w:t xml:space="preserve">14. O parecer prévio do TCU sobre as contas presidenciais é opinativo (CF, art. 71, I). O julgamento dessas contas cabe ao Congresso Nacional (CF, art. 49, IX). A responsabilização por crime de responsabilidade é instância político-jurídica autônoma, regida pela Lei nº 1.079/1950. A aprovação das contas com ressalvas não impede, por si só, a apuração de condutas específicas nesta sede. Do mesmo modo, a existência de ressalvas não demonstra, por si só, a prática de crime.</w:t>
      </w:r>
    </w:p>
    <w:p>
      <w:pPr>
        <w:pStyle w:val="Heading1"/>
      </w:pPr>
      <w:r>
        <w:t xml:space="preserve">IV. DA LEALDADE PROCESSUAL: ELEMENTOS FAVORÁVEIS AO DENUNCIADO</w:t>
      </w:r>
    </w:p>
    <w:p>
      <w:pPr>
        <w:spacing w:after="160" w:line="360"/>
        <w:ind w:firstLine="709"/>
        <w:jc w:val="both"/>
      </w:pPr>
      <w:r>
        <w:t xml:space="preserve">15. Em respeito à boa-fé e para que esta Casa decida com informação completa, o denunciante registra os seguintes elementos favoráveis ao denunciado, todos extraídos das mesmas fontes oficiais:</w:t>
      </w:r>
    </w:p>
    <w:p>
      <w:pPr>
        <w:pStyle w:val="ListParagraph"/>
        <w:numPr>
          <w:ilvl w:val="0"/>
          <w:numId w:val="3"/>
        </w:numPr>
        <w:spacing w:after="100" w:line="340"/>
        <w:jc w:val="both"/>
      </w:pPr>
      <w:r>
        <w:t xml:space="preserve">O TCU recomendou, por unanimidade, a aprovação com ressalvas das Contas do Presidente da República dos exercícios de 2023 (TC 010.005/2024-2; Aviso nº 468-GP/TCU/2024), 2024 (Acórdão nº 1.326/2025-TCU-Plenário) e 2025 (Acórdão nº 1.442/2026-TCU-Plenário, TC 005.405/2026-2), sem recomendar a rejeição de nenhuma delas (Doc. 6 e 9).</w:t>
      </w:r>
    </w:p>
    <w:p>
      <w:pPr>
        <w:pStyle w:val="ListParagraph"/>
        <w:numPr>
          <w:ilvl w:val="0"/>
          <w:numId w:val="3"/>
        </w:numPr>
        <w:spacing w:after="100" w:line="340"/>
        <w:jc w:val="both"/>
      </w:pPr>
      <w:r>
        <w:t xml:space="preserve">No Fato 1, as transferências ao Fipem tiveram amparo em leis aprovadas pelo Congresso Nacional. A decisão do TCU foi cautelar, sem julgamento de mérito, e foi revogada pelo Acórdão nº 297/2025-TCU-Plenário. O Executivo chegou a apresentar proposta de regularização (PLN nº 5/2025), depois retirada, e a Advocacia-Geral da União sustenta a legalidade das transferências e o cumprimento da determinação de iniciar o processo legislativo. Para 2026, a Lei Orçamentária sancionada reservou R$ 11,47 bilhões ao programa, segundo a Agência Câmara. No Acórdão nº 2.261/2026, o TCU manteve a autorização para a execução do programa e, segundo a imprensa, não proferiu decisão definitiva de mérito.</w:t>
      </w:r>
    </w:p>
    <w:p>
      <w:pPr>
        <w:pStyle w:val="ListParagraph"/>
        <w:numPr>
          <w:ilvl w:val="0"/>
          <w:numId w:val="3"/>
        </w:numPr>
        <w:spacing w:after="100" w:line="340"/>
        <w:jc w:val="both"/>
      </w:pPr>
      <w:r>
        <w:t xml:space="preserve">No Fato 2, o próprio TCU registrou que todas as renúncias de receita que entraram em vigor em 2024 foram acompanhadas de medidas compensatórias. Parte das leis pode ter origem em iniciativa parlamentar.</w:t>
      </w:r>
    </w:p>
    <w:p>
      <w:pPr>
        <w:pStyle w:val="ListParagraph"/>
        <w:numPr>
          <w:ilvl w:val="0"/>
          <w:numId w:val="3"/>
        </w:numPr>
        <w:spacing w:after="100" w:line="340"/>
        <w:jc w:val="both"/>
      </w:pPr>
      <w:r>
        <w:t xml:space="preserve">Os documentos oficiais não demonstram, por si sós, intenção deliberada do denunciado de violar a lei orçamentária. Por isso o denunciante pede a instrução descrita no item V.</w:t>
      </w:r>
    </w:p>
    <w:p>
      <w:pPr>
        <w:pStyle w:val="Heading1"/>
      </w:pPr>
      <w:r>
        <w:t xml:space="preserve">V. DOS PEDIDOS DE DILIGÊNCIA E INVESTIGAÇÃO</w:t>
      </w:r>
    </w:p>
    <w:p>
      <w:pPr>
        <w:spacing w:after="160" w:line="360"/>
        <w:ind w:firstLine="709"/>
        <w:jc w:val="both"/>
      </w:pPr>
      <w:r>
        <w:t xml:space="preserve">16. Com fundamento no art. 20 da Lei nº 1.079/1950, que autoriza a Comissão Especial a realizar as diligências necessárias ao esclarecimento da denúncia, requer-se:</w:t>
      </w:r>
    </w:p>
    <w:p>
      <w:pPr>
        <w:pStyle w:val="ListParagraph"/>
        <w:numPr>
          <w:ilvl w:val="0"/>
          <w:numId w:val="3"/>
        </w:numPr>
        <w:spacing w:after="100" w:line="340"/>
        <w:jc w:val="both"/>
      </w:pPr>
      <w:r>
        <w:t xml:space="preserve">a requisição ao Tribunal de Contas da União de cópia integral do processo TC 024.312/2024-0 (Pé-de-Meia), inclusive dos Acórdãos nº 61/2025, nº 297/2025 e nº 2.261/2026-TCU-Plenário e do acompanhamento do cumprimento do prazo de 120 dias, e do processo TC 008.437/2025-4 (Contas do Presidente da República, exercício de 2024), em especial o capítulo sobre renúncias de receita;</w:t>
      </w:r>
    </w:p>
    <w:p>
      <w:pPr>
        <w:pStyle w:val="ListParagraph"/>
        <w:numPr>
          <w:ilvl w:val="0"/>
          <w:numId w:val="3"/>
        </w:numPr>
        <w:spacing w:after="100" w:line="340"/>
        <w:jc w:val="both"/>
      </w:pPr>
      <w:r>
        <w:t xml:space="preserve">a requisição ao Ministério da Educação, ao Ministério da Fazenda e ao agente operador do Fipem dos demonstrativos dos pagamentos do Programa Pé-de-Meia em 2024 e 2025, com a origem dos recursos (orçamentária ou extraorçamentária);</w:t>
      </w:r>
    </w:p>
    <w:p>
      <w:pPr>
        <w:pStyle w:val="ListParagraph"/>
        <w:numPr>
          <w:ilvl w:val="0"/>
          <w:numId w:val="3"/>
        </w:numPr>
        <w:spacing w:after="100" w:line="340"/>
        <w:jc w:val="both"/>
      </w:pPr>
      <w:r>
        <w:t xml:space="preserve">a requisição à Casa Civil da Presidência da República dos processos de sanção das leis apontadas pelo TCU, com as estimativas de impacto orçamentário-financeiro e as manifestações dos órgãos técnicos;</w:t>
      </w:r>
    </w:p>
    <w:p>
      <w:pPr>
        <w:pStyle w:val="ListParagraph"/>
        <w:numPr>
          <w:ilvl w:val="0"/>
          <w:numId w:val="3"/>
        </w:numPr>
        <w:spacing w:after="100" w:line="340"/>
        <w:jc w:val="both"/>
      </w:pPr>
      <w:r>
        <w:t xml:space="preserve">a informação, pelo Congresso Nacional, sobre a tramitação e o resultado do PLN nº 5/2025 e o julgamento das contas presidenciais de 2023 a 2025;</w:t>
      </w:r>
    </w:p>
    <w:p>
      <w:pPr>
        <w:pStyle w:val="ListParagraph"/>
        <w:numPr>
          <w:ilvl w:val="0"/>
          <w:numId w:val="3"/>
        </w:numPr>
        <w:spacing w:after="100" w:line="340"/>
        <w:jc w:val="both"/>
      </w:pPr>
      <w:r>
        <w:t xml:space="preserve">a oitiva das testemunhas arroladas no item IX, se houver.</w:t>
      </w:r>
    </w:p>
    <w:p>
      <w:pPr>
        <w:pStyle w:val="Heading1"/>
      </w:pPr>
      <w:r>
        <w:t xml:space="preserve">VI. DOS PEDIDOS</w:t>
      </w:r>
    </w:p>
    <w:p>
      <w:pPr>
        <w:spacing w:after="160" w:line="360"/>
        <w:ind w:firstLine="709"/>
        <w:jc w:val="both"/>
      </w:pPr>
      <w:r>
        <w:t xml:space="preserve">17. Diante do exposto, requer-se:</w:t>
      </w:r>
    </w:p>
    <w:p>
      <w:pPr>
        <w:pStyle w:val="ListParagraph"/>
        <w:numPr>
          <w:ilvl w:val="0"/>
          <w:numId w:val="3"/>
        </w:numPr>
        <w:spacing w:after="100" w:line="340"/>
        <w:jc w:val="both"/>
      </w:pPr>
      <w:r>
        <w:t xml:space="preserve">o recebimento desta denúncia, sua leitura no expediente da sessão seguinte e o envio a Comissão Especial (Lei nº 1.079/1950, art. 19);</w:t>
      </w:r>
    </w:p>
    <w:p>
      <w:pPr>
        <w:pStyle w:val="ListParagraph"/>
        <w:numPr>
          <w:ilvl w:val="0"/>
          <w:numId w:val="3"/>
        </w:numPr>
        <w:spacing w:after="100" w:line="340"/>
        <w:jc w:val="both"/>
      </w:pPr>
      <w:r>
        <w:t xml:space="preserve">a realização das diligências do item V e a notificação do denunciado para se manifestar;</w:t>
      </w:r>
    </w:p>
    <w:p>
      <w:pPr>
        <w:pStyle w:val="ListParagraph"/>
        <w:numPr>
          <w:ilvl w:val="0"/>
          <w:numId w:val="3"/>
        </w:numPr>
        <w:spacing w:after="100" w:line="340"/>
        <w:jc w:val="both"/>
      </w:pPr>
      <w:r>
        <w:t xml:space="preserve">caso a instrução confirme a responsabilidade pessoal do denunciado, a autorização para instauração do processo pelo Senado Federal (CF, arts. 51, I, e 86), para aplicação das sanções do art. 52, parágrafo único, da Constituição.</w:t>
      </w:r>
    </w:p>
    <w:p>
      <w:pPr>
        <w:pStyle w:val="Heading1"/>
      </w:pPr>
      <w:r>
        <w:t xml:space="preserve">VII. DECLARAÇÃO DE BOA-FÉ</w:t>
      </w:r>
    </w:p>
    <w:p>
      <w:pPr>
        <w:spacing w:after="160" w:line="360"/>
        <w:ind w:firstLine="709"/>
        <w:jc w:val="both"/>
      </w:pPr>
      <w:r>
        <w:t xml:space="preserve">18. O denunciante declara que os fatos narrados foram extraídos exclusivamente de documentos públicos oficiais e de notícias de fontes identificadas, todos relacionados no item VIII e no Anexo. Declara que reproduziu também os elementos favoráveis ao denunciado e que não lhe imputa fato que saiba ser falso. A presente denúncia busca a apuração dos fatos pelo órgão constitucionalmente competente, sem prejuízo do direito de defesa.</w:t>
      </w:r>
    </w:p>
    <w:p>
      <w:pPr>
        <w:pStyle w:val="Heading1"/>
      </w:pPr>
      <w:r>
        <w:t xml:space="preserve">VIII. DOS DOCUMENTOS</w:t>
      </w:r>
    </w:p>
    <w:p>
      <w:pPr>
        <w:pStyle w:val="ListParagraph"/>
        <w:numPr>
          <w:ilvl w:val="0"/>
          <w:numId w:val="4"/>
        </w:numPr>
        <w:spacing w:after="100" w:line="340"/>
        <w:jc w:val="both"/>
      </w:pPr>
      <w:r>
        <w:t xml:space="preserve">Doc. 1: documentos de identificação do denunciante (não apresentados: denúncia anônima).</w:t>
      </w:r>
    </w:p>
    <w:p>
      <w:pPr>
        <w:pStyle w:val="ListParagraph"/>
        <w:numPr>
          <w:ilvl w:val="0"/>
          <w:numId w:val="4"/>
        </w:numPr>
        <w:spacing w:after="100" w:line="340"/>
        <w:jc w:val="both"/>
      </w:pPr>
      <w:r>
        <w:t xml:space="preserve">Doc. 2: Acórdão nº 61/2025-TCU-Plenário (TC 024.312/2024-0), de 22/01/2025, referendo de medida cautelar, Pé-de-Meia.</w:t>
      </w:r>
    </w:p>
    <w:p>
      <w:pPr>
        <w:pStyle w:val="ListParagraph"/>
        <w:numPr>
          <w:ilvl w:val="0"/>
          <w:numId w:val="4"/>
        </w:numPr>
        <w:spacing w:after="100" w:line="340"/>
        <w:jc w:val="both"/>
      </w:pPr>
      <w:r>
        <w:t xml:space="preserve">Doc. 3: Acórdão nº 297/2025-TCU-Plenário (TC 024.312/2024-0), de 12/02/2025, que revogou a cautelar e fixou prazo de 120 dias.</w:t>
      </w:r>
    </w:p>
    <w:p>
      <w:pPr>
        <w:pStyle w:val="ListParagraph"/>
        <w:numPr>
          <w:ilvl w:val="0"/>
          <w:numId w:val="4"/>
        </w:numPr>
        <w:spacing w:after="100" w:line="340"/>
        <w:jc w:val="both"/>
      </w:pPr>
      <w:r>
        <w:t xml:space="preserve">Doc. 3-A: Acórdão nº 2.261/2026-TCU-Plenário (TC 024.312/2024-0), de 25/08/2026, Ata nº 32/2026, código AC-2261-32/26-P.</w:t>
      </w:r>
    </w:p>
    <w:p>
      <w:pPr>
        <w:pStyle w:val="ListParagraph"/>
        <w:numPr>
          <w:ilvl w:val="0"/>
          <w:numId w:val="4"/>
        </w:numPr>
        <w:spacing w:after="100" w:line="340"/>
        <w:jc w:val="both"/>
      </w:pPr>
      <w:r>
        <w:t xml:space="preserve">Doc. 3-B: Acórdão nº 1.372/2026-TCU-Plenário (TC 025.632/2024-8), de 27/05/2026, auditoria sobre gastos fora do Orçamento.</w:t>
      </w:r>
    </w:p>
    <w:p>
      <w:pPr>
        <w:pStyle w:val="ListParagraph"/>
        <w:numPr>
          <w:ilvl w:val="0"/>
          <w:numId w:val="4"/>
        </w:numPr>
        <w:spacing w:after="100" w:line="340"/>
        <w:jc w:val="both"/>
      </w:pPr>
      <w:r>
        <w:t xml:space="preserve">Doc. 4: Lei nº 14.818, de 16 de janeiro de 2024 (DOU).</w:t>
      </w:r>
    </w:p>
    <w:p>
      <w:pPr>
        <w:pStyle w:val="ListParagraph"/>
        <w:numPr>
          <w:ilvl w:val="0"/>
          <w:numId w:val="4"/>
        </w:numPr>
        <w:spacing w:after="100" w:line="340"/>
        <w:jc w:val="both"/>
      </w:pPr>
      <w:r>
        <w:t xml:space="preserve">Doc. 5: Lei nº 14.995, de 10/10/2024, e Lei nº 15.076, de 26/12/2024 (DOU).</w:t>
      </w:r>
    </w:p>
    <w:p>
      <w:pPr>
        <w:pStyle w:val="ListParagraph"/>
        <w:numPr>
          <w:ilvl w:val="0"/>
          <w:numId w:val="4"/>
        </w:numPr>
        <w:spacing w:after="100" w:line="340"/>
        <w:jc w:val="both"/>
      </w:pPr>
      <w:r>
        <w:t xml:space="preserve">Doc. 6: Acórdão nº 1.326/2025-TCU-Plenário (TC 008.437/2025-4), relatório e parecer prévio sobre as Contas do Presidente da República, exercício de 2024.</w:t>
      </w:r>
    </w:p>
    <w:p>
      <w:pPr>
        <w:pStyle w:val="ListParagraph"/>
        <w:numPr>
          <w:ilvl w:val="0"/>
          <w:numId w:val="4"/>
        </w:numPr>
        <w:spacing w:after="100" w:line="340"/>
        <w:jc w:val="both"/>
      </w:pPr>
      <w:r>
        <w:t xml:space="preserve">Doc. 7: notícia oficial do TCU, "TCU aprova com ressalvas as contas do presidente da República de 2024".</w:t>
      </w:r>
    </w:p>
    <w:p>
      <w:pPr>
        <w:pStyle w:val="ListParagraph"/>
        <w:numPr>
          <w:ilvl w:val="0"/>
          <w:numId w:val="4"/>
        </w:numPr>
        <w:spacing w:after="100" w:line="340"/>
        <w:jc w:val="both"/>
      </w:pPr>
      <w:r>
        <w:t xml:space="preserve">Doc. 8: PLN nº 5/2025 e Mensagens nº 778/2025 (envio) e nº 1.712/2025 (pedido de retirada).</w:t>
      </w:r>
    </w:p>
    <w:p>
      <w:pPr>
        <w:pStyle w:val="ListParagraph"/>
        <w:numPr>
          <w:ilvl w:val="0"/>
          <w:numId w:val="4"/>
        </w:numPr>
        <w:spacing w:after="100" w:line="340"/>
        <w:jc w:val="both"/>
      </w:pPr>
      <w:r>
        <w:t xml:space="preserve">Doc. 8-A: notícia da Agência Câmara sobre a Lei Orçamentária de 2026 sancionada (Pé-de-Meia: R$ 11,47 bilhões).</w:t>
      </w:r>
    </w:p>
    <w:p>
      <w:pPr>
        <w:pStyle w:val="ListParagraph"/>
        <w:numPr>
          <w:ilvl w:val="0"/>
          <w:numId w:val="4"/>
        </w:numPr>
        <w:spacing w:after="100" w:line="340"/>
        <w:jc w:val="both"/>
      </w:pPr>
      <w:r>
        <w:t xml:space="preserve">Doc. 9: pareceres prévios sobre as contas de 2023 (TC 010.005/2024-2; Aviso nº 468-GP/TCU/2024; </w:t>
      </w:r>
      <w:r>
        <w:rPr>
          <w:shd w:fill="FFF2A8" w:color="auto" w:val="clear"/>
        </w:rPr>
        <w:t xml:space="preserve">nº do acórdão não localizado</w:t>
      </w:r>
      <w:r>
        <w:t xml:space="preserve">) e de 2025 (Acórdão nº 1.442/2026-TCU-Plenário, TC 005.405/2026-2).</w:t>
      </w:r>
    </w:p>
    <w:p>
      <w:pPr>
        <w:pStyle w:val="Heading1"/>
      </w:pPr>
      <w:r>
        <w:t xml:space="preserve">IX. ROL DE TESTEMUNHAS</w:t>
      </w:r>
    </w:p>
    <w:p>
      <w:pPr>
        <w:spacing w:after="160" w:line="360"/>
        <w:jc w:val="both"/>
      </w:pPr>
      <w:r>
        <w:rPr>
          <w:i/>
          <w:iCs/>
        </w:rPr>
        <w:t xml:space="preserve">Facultativo. O art. 16 da Lei nº 1.079/1950 exige rol de no mínimo cinco testemunhas apenas para crimes que dependam de prova testemunhal. Se forem indicadas, devem ser pessoas com conhecimento técnico dos fatos, qualificadas com nome, profissão e endereço.</w:t>
      </w:r>
    </w:p>
    <w:p>
      <w:pPr>
        <w:spacing w:after="160" w:line="360"/>
        <w:jc w:val="both"/>
      </w:pPr>
      <w:r>
        <w:t xml:space="preserve">1. </w:t>
      </w:r>
      <w:r>
        <w:rPr>
          <w:shd w:fill="FFF2A8" w:color="auto" w:val="clear"/>
        </w:rPr>
        <w:t xml:space="preserve">[nome, profissão, endereço]</w:t>
      </w:r>
    </w:p>
    <w:p>
      <w:pPr>
        <w:spacing w:after="160" w:line="360"/>
        <w:jc w:val="both"/>
      </w:pPr>
      <w:r>
        <w:t xml:space="preserve">2. </w:t>
      </w:r>
      <w:r>
        <w:rPr>
          <w:shd w:fill="FFF2A8" w:color="auto" w:val="clear"/>
        </w:rPr>
        <w:t xml:space="preserve">[nome, profissão, endereço]</w:t>
      </w:r>
    </w:p>
    <w:p>
      <w:pPr>
        <w:spacing w:after="160" w:line="360"/>
        <w:jc w:val="both"/>
      </w:pPr>
      <w:r>
        <w:t xml:space="preserve">3. </w:t>
      </w:r>
      <w:r>
        <w:rPr>
          <w:shd w:fill="FFF2A8" w:color="auto" w:val="clear"/>
        </w:rPr>
        <w:t xml:space="preserve">[nome, profissão, endereço]</w:t>
      </w:r>
    </w:p>
    <w:p>
      <w:pPr>
        <w:spacing w:after="160" w:line="360"/>
        <w:jc w:val="both"/>
      </w:pPr>
      <w:r>
        <w:t xml:space="preserve">4. </w:t>
      </w:r>
      <w:r>
        <w:rPr>
          <w:shd w:fill="FFF2A8" w:color="auto" w:val="clear"/>
        </w:rPr>
        <w:t xml:space="preserve">[nome, profissão, endereço]</w:t>
      </w:r>
    </w:p>
    <w:p>
      <w:pPr>
        <w:spacing w:after="160" w:line="360"/>
        <w:jc w:val="both"/>
      </w:pPr>
      <w:r>
        <w:t xml:space="preserve">5. </w:t>
      </w:r>
      <w:r>
        <w:rPr>
          <w:shd w:fill="FFF2A8" w:color="auto" w:val="clear"/>
        </w:rPr>
        <w:t xml:space="preserve">[nome, profissão, endereço]</w:t>
      </w:r>
    </w:p>
    <w:p>
      <w:pPr>
        <w:spacing w:after="160" w:before="480"/>
        <w:jc w:val="center"/>
      </w:pPr>
      <w:r>
        <w:t xml:space="preserve">Nestes termos, pede deferimento.</w:t>
      </w:r>
    </w:p>
    <w:p>
      <w:pPr>
        <w:spacing w:after="720"/>
        <w:jc w:val="center"/>
      </w:pPr>
      <w:r>
        <w:rPr>
          <w:shd w:fill="FFF2A8" w:color="auto" w:val="clear"/>
        </w:rPr>
        <w:t xml:space="preserve">[Cidade]</w:t>
      </w:r>
      <w:r>
        <w:t xml:space="preserve">, </w:t>
      </w:r>
      <w:r>
        <w:rPr>
          <w:shd w:fill="FFF2A8" w:color="auto" w:val="clear"/>
        </w:rPr>
        <w:t xml:space="preserve">[dia]</w:t>
      </w:r>
      <w:r>
        <w:t xml:space="preserve"> de </w:t>
      </w:r>
      <w:r>
        <w:rPr>
          <w:shd w:fill="FFF2A8" w:color="auto" w:val="clear"/>
        </w:rPr>
        <w:t xml:space="preserve">[mês]</w:t>
      </w:r>
      <w:r>
        <w:t xml:space="preserve"> de 2026.</w:t>
      </w:r>
    </w:p>
    <w:p>
      <w:pPr>
        <w:spacing w:after="40"/>
        <w:jc w:val="center"/>
      </w:pPr>
      <w:r>
        <w:t xml:space="preserve">_____________________________________________</w:t>
      </w:r>
    </w:p>
    <w:p>
      <w:pPr>
        <w:spacing w:after="40"/>
        <w:jc w:val="center"/>
      </w:pPr>
      <w:r>
        <w:rPr>
          <w:b/>
          <w:bCs/>
        </w:rPr>
        <w:t xml:space="preserve">ANÔNIMO</w:t>
      </w:r>
    </w:p>
    <w:p>
      <w:pPr>
        <w:spacing w:after="160"/>
        <w:jc w:val="center"/>
      </w:pPr>
      <w:r>
        <w:rPr>
          <w:i/>
          <w:iCs/>
        </w:rPr>
        <w:t xml:space="preserve">(denunciante não identificado)</w:t>
      </w:r>
    </w:p>
    <w:p>
      <w:r>
        <w:br w:type="page"/>
      </w:r>
    </w:p>
    <w:p>
      <w:pPr>
        <w:pStyle w:val="Heading1"/>
      </w:pPr>
      <w:r>
        <w:t xml:space="preserve">ANEXO: MATRIZ DE PROVAS E VERIFICAÇÃO DE BOA-FÉ</w:t>
      </w:r>
    </w:p>
    <w:p>
      <w:pPr>
        <w:spacing w:after="160" w:line="360"/>
        <w:jc w:val="both"/>
      </w:pPr>
      <w:r>
        <w:t xml:space="preserve">Para cada afirmação da denúncia, a tabela indica a fonte, o grau de verificação e o elemento que pesa contra a acusação.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2026"/>
        <w:gridCol w:w="23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Afirmação</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Fonte / identificador</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Verificação</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rFonts w:ascii="Calibri" w:cs="Calibri" w:eastAsia="Calibri" w:hAnsi="Calibri"/>
                <w:b/>
                <w:bCs/>
                <w:color w:val="FFFFFF"/>
                <w:sz w:val="18"/>
                <w:szCs w:val="18"/>
              </w:rPr>
              <w:t xml:space="preserve">Elemento contrário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Pé-de-Meia instituído por lei e operado pelo Fipem, fundo privado</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14.818/2024</w:t>
            </w:r>
          </w:p>
          <w:p>
            <w:pPr>
              <w:spacing w:after="40"/>
            </w:pPr>
            <w:r>
              <w:rPr>
                <w:rFonts w:ascii="Calibri" w:cs="Calibri" w:eastAsia="Calibri" w:hAnsi="Calibri"/>
                <w:b w:val="false"/>
                <w:bCs w:val="false"/>
                <w:sz w:val="18"/>
                <w:szCs w:val="18"/>
              </w:rPr>
              <w:t xml:space="preserve">camara.leg.br/legin</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localizada; conferir o texto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Lei 14.995/2024 (Fgeduc, até R$ 6 bi) e Lei 15.076/2024 (FGO, até R$ 4 bi) autorizaram aportes ao Fipem</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Planalto: l14995.htm e l15076.htm</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legal localizado; confirmado no documento do TCU</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Amparo legal aprovado pelo Congresso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suspendeu cerca de R$ 6 bi por pagamentos à margem do OGU</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61/2025-Plenário (22/01/2025)</w:t>
            </w:r>
          </w:p>
          <w:p>
            <w:pPr>
              <w:spacing w:after="40"/>
            </w:pPr>
            <w:r>
              <w:rPr>
                <w:rFonts w:ascii="Calibri" w:cs="Calibri" w:eastAsia="Calibri" w:hAnsi="Calibri"/>
                <w:b w:val="false"/>
                <w:bCs w:val="false"/>
                <w:sz w:val="18"/>
                <w:szCs w:val="18"/>
              </w:rPr>
              <w:t xml:space="preserve">TC 024.312/2024-0</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Texto do TCU localizado; número confirmado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Decisão cautelar, sem mérito; Fundo Social preservado</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revogou a cautelar e deu 120 dias para adequação</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297/2025-Plenário (12/02/2025)</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Notícia oficial do TCU e ofício do TCU à Câmara (Aviso 902/2025)</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Agravo da AGU parcialmente provido; mérito reservado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TCU (25/08/2026): indícios de descumprimento de normas de finanças públicas; execução temporária autorizada</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2.261/2026-Plenário</w:t>
            </w:r>
          </w:p>
          <w:p>
            <w:pPr>
              <w:spacing w:after="40"/>
            </w:pPr>
            <w:r>
              <w:rPr>
                <w:rFonts w:ascii="Calibri" w:cs="Calibri" w:eastAsia="Calibri" w:hAnsi="Calibri"/>
                <w:b w:val="false"/>
                <w:bCs w:val="false"/>
                <w:sz w:val="18"/>
                <w:szCs w:val="18"/>
              </w:rPr>
              <w:t xml:space="preserve">Ata 32/2026 · AC-2261-32/26-P</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Identificação confirmada; conteúdo por trechos do TCU e imprensa (25/08/2026); sem decisão definitiva de mérito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Programa autorizado; processo juntado à auditoria TC 025.632/2024-8; LOA 2026 com R$ 11,47 bi</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Executivo propôs crédito de R$ 686 mi (PLN 5/2025)</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Agência Câmara</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 (Câmara)</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Iniciativa de regularização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2024: 23 desonerações por 19 atos; parte sem requisitos da LRF, LDO e CF</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1.326/2025-Plenário</w:t>
            </w:r>
          </w:p>
          <w:p>
            <w:pPr>
              <w:spacing w:after="40"/>
            </w:pPr>
            <w:r>
              <w:rPr>
                <w:rFonts w:ascii="Calibri" w:cs="Calibri" w:eastAsia="Calibri" w:hAnsi="Calibri"/>
                <w:b w:val="false"/>
                <w:bCs w:val="false"/>
                <w:sz w:val="18"/>
                <w:szCs w:val="18"/>
              </w:rPr>
              <w:t xml:space="preserve">TC 008.437/2025-4</w:t>
            </w:r>
          </w:p>
        </w:tc>
        <w:tc>
          <w:tcPr>
            <w:tcW w:type="dxa" w:w="20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Acórdão confirmado (TCU); números 23 e 19 apenas na imprensa; conferir no relatório</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Todas com medidas compensatórias; contas aprovadas</w:t>
            </w:r>
          </w:p>
        </w:tc>
      </w:tr>
      <w:tr>
        <w:trPr>
          <w:cantSplit/>
        </w:trPr>
        <w:tc>
          <w:tcPr>
            <w:tcW w:type="dxa" w:w="27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Contas de 2023, 2024 e 2025 aprovadas com ressalvas, por unanimidade</w:t>
            </w:r>
          </w:p>
        </w:tc>
        <w:tc>
          <w:tcPr>
            <w:tcW w:type="dxa" w:w="20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2023: TC 010.005/2024-2 (Aviso 468-GP/TCU/2024)</w:t>
            </w:r>
          </w:p>
          <w:p>
            <w:pPr>
              <w:spacing w:after="40"/>
            </w:pPr>
            <w:r>
              <w:rPr>
                <w:rFonts w:ascii="Calibri" w:cs="Calibri" w:eastAsia="Calibri" w:hAnsi="Calibri"/>
                <w:b w:val="false"/>
                <w:bCs w:val="false"/>
                <w:sz w:val="18"/>
                <w:szCs w:val="18"/>
              </w:rPr>
              <w:t xml:space="preserve">2024: Acórdão 1.326/2025</w:t>
            </w:r>
          </w:p>
          <w:p>
            <w:pPr>
              <w:spacing w:after="40"/>
            </w:pPr>
            <w:r>
              <w:rPr>
                <w:rFonts w:ascii="Calibri" w:cs="Calibri" w:eastAsia="Calibri" w:hAnsi="Calibri"/>
                <w:b w:val="false"/>
                <w:bCs w:val="false"/>
                <w:sz w:val="18"/>
                <w:szCs w:val="18"/>
              </w:rPr>
              <w:t xml:space="preserve">2025: Acórdão 1.442/2026</w:t>
            </w:r>
          </w:p>
        </w:tc>
        <w:tc>
          <w:tcPr>
            <w:tcW w:type="dxa" w:w="20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Fonte oficial</w:t>
            </w:r>
          </w:p>
        </w:tc>
        <w:tc>
          <w:tcPr>
            <w:tcW w:type="dxa" w:w="23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rFonts w:ascii="Calibri" w:cs="Calibri" w:eastAsia="Calibri" w:hAnsi="Calibri"/>
                <w:b w:val="false"/>
                <w:bCs w:val="false"/>
                <w:sz w:val="18"/>
                <w:szCs w:val="18"/>
              </w:rPr>
              <w:t xml:space="preserve">Favorável ao denunciado</w:t>
            </w:r>
          </w:p>
        </w:tc>
      </w:tr>
    </w:tbl>
    <w:p>
      <w:pPr>
        <w:spacing w:after="200"/>
      </w:pPr>
    </w:p>
    <w:p>
      <w:pPr>
        <w:pStyle w:val="Heading2"/>
      </w:pPr>
      <w:r>
        <w:t xml:space="preserve">Fontes consultadas</w:t>
      </w:r>
    </w:p>
    <w:p>
      <w:pPr>
        <w:pStyle w:val="ListParagraph"/>
        <w:numPr>
          <w:ilvl w:val="0"/>
          <w:numId w:val="5"/>
        </w:numPr>
        <w:spacing w:after="60"/>
      </w:pPr>
      <w:r>
        <w:rPr>
          <w:sz w:val="20"/>
          <w:szCs w:val="20"/>
        </w:rPr>
        <w:t xml:space="preserve">TCU – Pé-de-Meia (notícia oficial): </w:t>
      </w:r>
      <w:hyperlink w:history="1" r:id="rIdvz_ft_p8abyxtpo2nvafu">
        <w:r>
          <w:rPr>
            <w:rStyle w:val="Hyperlink"/>
            <w:sz w:val="18"/>
            <w:szCs w:val="18"/>
          </w:rPr>
          <w:t xml:space="preserve">https://portal.tcu.gov.br/imprensa/noticias/ministerio-da-educacao-deve-adequar-uso-de-recursos-para-o-programa-pe-de-meia</w:t>
        </w:r>
      </w:hyperlink>
    </w:p>
    <w:p>
      <w:pPr>
        <w:pStyle w:val="ListParagraph"/>
        <w:numPr>
          <w:ilvl w:val="0"/>
          <w:numId w:val="5"/>
        </w:numPr>
        <w:spacing w:after="60"/>
      </w:pPr>
      <w:r>
        <w:rPr>
          <w:sz w:val="20"/>
          <w:szCs w:val="20"/>
        </w:rPr>
        <w:t xml:space="preserve">TCU – Acórdão 61/2025 (cópia publicada pelo Poder360): </w:t>
      </w:r>
      <w:hyperlink w:history="1" r:id="rIdgsi5dukq5znb2sfzud9_q">
        <w:r>
          <w:rPr>
            <w:rStyle w:val="Hyperlink"/>
            <w:sz w:val="18"/>
            <w:szCs w:val="18"/>
          </w:rPr>
          <w:t xml:space="preserve">https://static.poder360.com.br/2025/01/024.312-2024-0-AN-Pe-de-Meia_referendo-de-cautelar.pdf</w:t>
        </w:r>
      </w:hyperlink>
    </w:p>
    <w:p>
      <w:pPr>
        <w:pStyle w:val="ListParagraph"/>
        <w:numPr>
          <w:ilvl w:val="0"/>
          <w:numId w:val="5"/>
        </w:numPr>
        <w:spacing w:after="60"/>
      </w:pPr>
      <w:r>
        <w:rPr>
          <w:sz w:val="20"/>
          <w:szCs w:val="20"/>
        </w:rPr>
        <w:t xml:space="preserve">AGU – recurso contra a cautelar (cópia publicada pelo Poder360): </w:t>
      </w:r>
      <w:hyperlink w:history="1" r:id="rId614y-cosypakpaxzudqu_">
        <w:r>
          <w:rPr>
            <w:rStyle w:val="Hyperlink"/>
            <w:sz w:val="18"/>
            <w:szCs w:val="18"/>
          </w:rPr>
          <w:t xml:space="preserve">https://static.poder360.com.br/2025/01/AGU-recorre-decisao-TCU-Pe-de-Meia.pdf</w:t>
        </w:r>
      </w:hyperlink>
    </w:p>
    <w:p>
      <w:pPr>
        <w:pStyle w:val="ListParagraph"/>
        <w:numPr>
          <w:ilvl w:val="0"/>
          <w:numId w:val="5"/>
        </w:numPr>
        <w:spacing w:after="60"/>
      </w:pPr>
      <w:r>
        <w:rPr>
          <w:sz w:val="20"/>
          <w:szCs w:val="20"/>
        </w:rPr>
        <w:t xml:space="preserve">Lei 14.818/2024 – Câmara dos Deputados: </w:t>
      </w:r>
      <w:hyperlink w:history="1" r:id="rIdhkuprfwdkp2ksj5ppm5fl">
        <w:r>
          <w:rPr>
            <w:rStyle w:val="Hyperlink"/>
            <w:sz w:val="18"/>
            <w:szCs w:val="18"/>
          </w:rPr>
          <w:t xml:space="preserve">https://www2.camara.leg.br/legin/fed/lei/2024/lei-14818-16-janeiro-2024-795255-norma-pl.html</w:t>
        </w:r>
      </w:hyperlink>
    </w:p>
    <w:p>
      <w:pPr>
        <w:pStyle w:val="ListParagraph"/>
        <w:numPr>
          <w:ilvl w:val="0"/>
          <w:numId w:val="5"/>
        </w:numPr>
        <w:spacing w:after="60"/>
      </w:pPr>
      <w:r>
        <w:rPr>
          <w:sz w:val="20"/>
          <w:szCs w:val="20"/>
        </w:rPr>
        <w:t xml:space="preserve">TCU dá 120 dias – InfoMoney: </w:t>
      </w:r>
      <w:hyperlink w:history="1" r:id="rIdy1_kgyynw_b7ckfcqtkss">
        <w:r>
          <w:rPr>
            <w:rStyle w:val="Hyperlink"/>
            <w:sz w:val="18"/>
            <w:szCs w:val="18"/>
          </w:rPr>
          <w:t xml:space="preserve">https://www.infomoney.com.br/politica/tcu-da-120-dias-para-governo-tomar-providencias-para-incluir-pe-de-meia-no-orcamento/</w:t>
        </w:r>
      </w:hyperlink>
    </w:p>
    <w:p>
      <w:pPr>
        <w:pStyle w:val="ListParagraph"/>
        <w:numPr>
          <w:ilvl w:val="0"/>
          <w:numId w:val="5"/>
        </w:numPr>
        <w:spacing w:after="60"/>
      </w:pPr>
      <w:r>
        <w:rPr>
          <w:sz w:val="20"/>
          <w:szCs w:val="20"/>
        </w:rPr>
        <w:t xml:space="preserve">PLN 5/2025 – Agência Câmara: </w:t>
      </w:r>
      <w:hyperlink w:history="1" r:id="rIdvbrajvz9gfyfiehsabzo1">
        <w:r>
          <w:rPr>
            <w:rStyle w:val="Hyperlink"/>
            <w:sz w:val="18"/>
            <w:szCs w:val="18"/>
          </w:rPr>
          <w:t xml:space="preserve">https://www.camara.leg.br/noticias/1174945-projeto-suplementa-recursos-para-o-programa-pe-de-meia/</w:t>
        </w:r>
      </w:hyperlink>
    </w:p>
    <w:p>
      <w:pPr>
        <w:pStyle w:val="ListParagraph"/>
        <w:numPr>
          <w:ilvl w:val="0"/>
          <w:numId w:val="5"/>
        </w:numPr>
        <w:spacing w:after="60"/>
      </w:pPr>
      <w:r>
        <w:rPr>
          <w:sz w:val="20"/>
          <w:szCs w:val="20"/>
        </w:rPr>
        <w:t xml:space="preserve">Lei 14.995/2024 – Planalto: </w:t>
      </w:r>
      <w:hyperlink w:history="1" r:id="rIdd3wcguhveggvoairmzfa4">
        <w:r>
          <w:rPr>
            <w:rStyle w:val="Hyperlink"/>
            <w:sz w:val="18"/>
            <w:szCs w:val="18"/>
          </w:rPr>
          <w:t xml:space="preserve">https://www.planalto.gov.br/ccivil_03/_ato2023-2026/2024/lei/l14995.htm</w:t>
        </w:r>
      </w:hyperlink>
    </w:p>
    <w:p>
      <w:pPr>
        <w:pStyle w:val="ListParagraph"/>
        <w:numPr>
          <w:ilvl w:val="0"/>
          <w:numId w:val="5"/>
        </w:numPr>
        <w:spacing w:after="60"/>
      </w:pPr>
      <w:r>
        <w:rPr>
          <w:sz w:val="20"/>
          <w:szCs w:val="20"/>
        </w:rPr>
        <w:t xml:space="preserve">Lei 15.076/2024 – Planalto: </w:t>
      </w:r>
      <w:hyperlink w:history="1" r:id="rIdebqc8vsp8c7avxwvspvwq">
        <w:r>
          <w:rPr>
            <w:rStyle w:val="Hyperlink"/>
            <w:sz w:val="18"/>
            <w:szCs w:val="18"/>
          </w:rPr>
          <w:t xml:space="preserve">https://www.planalto.gov.br/ccivil_03/_ato2023-2026/2024/lei/l15076.htm</w:t>
        </w:r>
      </w:hyperlink>
    </w:p>
    <w:p>
      <w:pPr>
        <w:pStyle w:val="ListParagraph"/>
        <w:numPr>
          <w:ilvl w:val="0"/>
          <w:numId w:val="5"/>
        </w:numPr>
        <w:spacing w:after="60"/>
      </w:pPr>
      <w:r>
        <w:rPr>
          <w:sz w:val="20"/>
          <w:szCs w:val="20"/>
        </w:rPr>
        <w:t xml:space="preserve">TCU – notícia oficial do Acórdão 297/2025 (prazo de 120 dias): </w:t>
      </w:r>
      <w:hyperlink w:history="1" r:id="rIdoepwatzfdtr3dwc1tu42l">
        <w:r>
          <w:rPr>
            <w:rStyle w:val="Hyperlink"/>
            <w:sz w:val="18"/>
            <w:szCs w:val="18"/>
          </w:rPr>
          <w:t xml:space="preserve">https://portal.tcu.gov.br/imprensa/noticias/tcu-da-prazo-de-120-dias-para-governo-federal-adequar-programa-pe-de-meia-ao-orcamento</w:t>
        </w:r>
      </w:hyperlink>
    </w:p>
    <w:p>
      <w:pPr>
        <w:pStyle w:val="ListParagraph"/>
        <w:numPr>
          <w:ilvl w:val="0"/>
          <w:numId w:val="5"/>
        </w:numPr>
        <w:spacing w:after="60"/>
      </w:pPr>
      <w:r>
        <w:rPr>
          <w:sz w:val="20"/>
          <w:szCs w:val="20"/>
        </w:rPr>
        <w:t xml:space="preserve">TCU – Aviso 902/2025 à Câmara (cita o Acórdão 297/2025): </w:t>
      </w:r>
      <w:hyperlink w:history="1" r:id="rIdqrezkmiplqoxohed6nves">
        <w:r>
          <w:rPr>
            <w:rStyle w:val="Hyperlink"/>
            <w:sz w:val="18"/>
            <w:szCs w:val="18"/>
          </w:rPr>
          <w:t xml:space="preserve">https://www2.camara.leg.br/atividade-legislativa/comissoes/comissoes-permanentes/cffc/expedientes-recebidos/Aviso000.902_2025GABPRES.pdf</w:t>
        </w:r>
      </w:hyperlink>
    </w:p>
    <w:p>
      <w:pPr>
        <w:pStyle w:val="ListParagraph"/>
        <w:numPr>
          <w:ilvl w:val="0"/>
          <w:numId w:val="5"/>
        </w:numPr>
        <w:spacing w:after="60"/>
      </w:pPr>
      <w:r>
        <w:rPr>
          <w:sz w:val="20"/>
          <w:szCs w:val="20"/>
        </w:rPr>
        <w:t xml:space="preserve">TCU – pauta do Plenário com o TC 024.312/2024-0 (agosto/2026): </w:t>
      </w:r>
      <w:hyperlink w:history="1" r:id="rIdczwpbaqnf1x3jd3fknzmv">
        <w:r>
          <w:rPr>
            <w:rStyle w:val="Hyperlink"/>
            <w:sz w:val="18"/>
            <w:szCs w:val="18"/>
          </w:rPr>
          <w:t xml:space="preserve">https://portal.tcu.gov.br/uploads/pautas/pauta-23169-2596026424803438700.pdf</w:t>
        </w:r>
      </w:hyperlink>
    </w:p>
    <w:p>
      <w:pPr>
        <w:pStyle w:val="ListParagraph"/>
        <w:numPr>
          <w:ilvl w:val="0"/>
          <w:numId w:val="5"/>
        </w:numPr>
        <w:spacing w:after="60"/>
      </w:pPr>
      <w:r>
        <w:rPr>
          <w:sz w:val="20"/>
          <w:szCs w:val="20"/>
        </w:rPr>
        <w:t xml:space="preserve">Poder360 – Ministros do TCU questionam “desorçamentação” (25/08/2026): </w:t>
      </w:r>
      <w:hyperlink w:history="1" r:id="rIdlqcjjzh3q-yg01zwcs7yz">
        <w:r>
          <w:rPr>
            <w:rStyle w:val="Hyperlink"/>
            <w:sz w:val="18"/>
            <w:szCs w:val="18"/>
          </w:rPr>
          <w:t xml:space="preserve">https://www.poder360.com.br/poder-governo/ministros-do-tcu-questionam-desorcamentacao-em-pe-de-meia-e-desenrola/</w:t>
        </w:r>
      </w:hyperlink>
    </w:p>
    <w:p>
      <w:pPr>
        <w:pStyle w:val="ListParagraph"/>
        <w:numPr>
          <w:ilvl w:val="0"/>
          <w:numId w:val="5"/>
        </w:numPr>
        <w:spacing w:after="60"/>
      </w:pPr>
      <w:r>
        <w:rPr>
          <w:sz w:val="20"/>
          <w:szCs w:val="20"/>
        </w:rPr>
        <w:t xml:space="preserve">Distrito News – TCU critica gasto fora do Orçamento (25/08/2026): </w:t>
      </w:r>
      <w:hyperlink w:history="1" r:id="rIdev9unjgfdv5gfvrtopkes">
        <w:r>
          <w:rPr>
            <w:rStyle w:val="Hyperlink"/>
            <w:sz w:val="18"/>
            <w:szCs w:val="18"/>
          </w:rPr>
          <w:t xml:space="preserve">https://distritonews.com/economia/tcu-desorcamentacao-pe-de-meia-desenrola-fipem-fgo-25-agosto-2026</w:t>
        </w:r>
      </w:hyperlink>
    </w:p>
    <w:p>
      <w:pPr>
        <w:pStyle w:val="ListParagraph"/>
        <w:numPr>
          <w:ilvl w:val="0"/>
          <w:numId w:val="5"/>
        </w:numPr>
        <w:spacing w:after="60"/>
      </w:pPr>
      <w:r>
        <w:rPr>
          <w:sz w:val="20"/>
          <w:szCs w:val="20"/>
        </w:rPr>
        <w:t xml:space="preserve">TCU – auditoria de gastos fora do Orçamento (TC 025.632/2024-8): </w:t>
      </w:r>
      <w:hyperlink w:history="1" r:id="rIdyva032zlmpygagwncstgd">
        <w:r>
          <w:rPr>
            <w:rStyle w:val="Hyperlink"/>
            <w:sz w:val="18"/>
            <w:szCs w:val="18"/>
          </w:rPr>
          <w:t xml:space="preserve">https://portal.tcu.gov.br/imprensa/noticias/tribunal-examina-mecanismos-de-gastos-de-fundos-fora-do-orcamento-geral-da-uniao</w:t>
        </w:r>
      </w:hyperlink>
    </w:p>
    <w:p>
      <w:pPr>
        <w:pStyle w:val="ListParagraph"/>
        <w:numPr>
          <w:ilvl w:val="0"/>
          <w:numId w:val="5"/>
        </w:numPr>
        <w:spacing w:after="60"/>
      </w:pPr>
      <w:r>
        <w:rPr>
          <w:sz w:val="20"/>
          <w:szCs w:val="20"/>
        </w:rPr>
        <w:t xml:space="preserve">Planalto – Mensagem nº 778/2025 (envio do PLN 5/2025): </w:t>
      </w:r>
      <w:hyperlink w:history="1" r:id="rIdthfmbbcwkiud_9fu-opgo">
        <w:r>
          <w:rPr>
            <w:rStyle w:val="Hyperlink"/>
            <w:sz w:val="18"/>
            <w:szCs w:val="18"/>
          </w:rPr>
          <w:t xml:space="preserve">https://www.planalto.gov.br/ccivil_03/projetos/ato_2023_2026/2025/pln/msg/msg-0778-25.doc</w:t>
        </w:r>
      </w:hyperlink>
    </w:p>
    <w:p>
      <w:pPr>
        <w:pStyle w:val="ListParagraph"/>
        <w:numPr>
          <w:ilvl w:val="0"/>
          <w:numId w:val="5"/>
        </w:numPr>
        <w:spacing w:after="60"/>
      </w:pPr>
      <w:r>
        <w:rPr>
          <w:sz w:val="20"/>
          <w:szCs w:val="20"/>
        </w:rPr>
        <w:t xml:space="preserve">Planalto – Mensagem nº 1.712/2025 (retirada do PLN 5/2025): </w:t>
      </w:r>
      <w:hyperlink w:history="1" r:id="rIddest6yhpwzg6xexgxhpzh">
        <w:r>
          <w:rPr>
            <w:rStyle w:val="Hyperlink"/>
            <w:sz w:val="18"/>
            <w:szCs w:val="18"/>
          </w:rPr>
          <w:t xml:space="preserve">https://www.planalto.gov.br/ccivil_03/projetos/ato_2023_2026/2025/pln/msg/msg-1712-25.doc</w:t>
        </w:r>
      </w:hyperlink>
    </w:p>
    <w:p>
      <w:pPr>
        <w:pStyle w:val="ListParagraph"/>
        <w:numPr>
          <w:ilvl w:val="0"/>
          <w:numId w:val="5"/>
        </w:numPr>
        <w:spacing w:after="60"/>
      </w:pPr>
      <w:r>
        <w:rPr>
          <w:sz w:val="20"/>
          <w:szCs w:val="20"/>
        </w:rPr>
        <w:t xml:space="preserve">Agência Câmara – Orçamento 2026 sancionado (Pé-de-Meia: R$ 11,47 bi): </w:t>
      </w:r>
      <w:hyperlink w:history="1" r:id="rIdwiyegxxtzmsduvyuufv7m">
        <w:r>
          <w:rPr>
            <w:rStyle w:val="Hyperlink"/>
            <w:sz w:val="18"/>
            <w:szCs w:val="18"/>
          </w:rPr>
          <w:t xml:space="preserve">https://www.camara.leg.br/noticias/1238564-orcamento-2026-e-sancionado-com-veto-a-r-400-milhoes-em-emendas/</w:t>
        </w:r>
      </w:hyperlink>
    </w:p>
    <w:p>
      <w:pPr>
        <w:pStyle w:val="ListParagraph"/>
        <w:numPr>
          <w:ilvl w:val="0"/>
          <w:numId w:val="5"/>
        </w:numPr>
        <w:spacing w:after="60"/>
      </w:pPr>
      <w:r>
        <w:rPr>
          <w:sz w:val="20"/>
          <w:szCs w:val="20"/>
        </w:rPr>
        <w:t xml:space="preserve">Congresso Nacional – Contas da Presidência (Aviso 468-GP/TCU/2024): </w:t>
      </w:r>
      <w:hyperlink w:history="1" r:id="rIdq2gqzpfwapzr9satq1sld">
        <w:r>
          <w:rPr>
            <w:rStyle w:val="Hyperlink"/>
            <w:sz w:val="18"/>
            <w:szCs w:val="18"/>
          </w:rPr>
          <w:t xml:space="preserve">https://www.congressonacional.leg.br/materias/materias-orcamentarias/contas-da-presidencia</w:t>
        </w:r>
      </w:hyperlink>
    </w:p>
    <w:p>
      <w:pPr>
        <w:pStyle w:val="ListParagraph"/>
        <w:numPr>
          <w:ilvl w:val="0"/>
          <w:numId w:val="5"/>
        </w:numPr>
        <w:spacing w:after="60"/>
      </w:pPr>
      <w:r>
        <w:rPr>
          <w:sz w:val="20"/>
          <w:szCs w:val="20"/>
        </w:rPr>
        <w:t xml:space="preserve">Exame – nove leis com benefícios sem requisitos (contas 2024): </w:t>
      </w:r>
      <w:hyperlink w:history="1" r:id="rIdtuj_ohv6mfajouhyt3s0b">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Contábeis – 23 desonerações por 19 atos (contas 2024): </w:t>
      </w:r>
      <w:hyperlink w:history="1" r:id="rIdztozhxzjlpgevfuhyrojg">
        <w:r>
          <w:rPr>
            <w:rStyle w:val="Hyperlink"/>
            <w:sz w:val="18"/>
            <w:szCs w:val="18"/>
          </w:rPr>
          <w:t xml:space="preserve">https://www.contabeis.com.br/noticias/71308/tcu-aprova-contas-de-2024-com-ressalvas-e-alerta-fiscal/</w:t>
        </w:r>
      </w:hyperlink>
    </w:p>
    <w:p>
      <w:pPr>
        <w:pStyle w:val="ListParagraph"/>
        <w:numPr>
          <w:ilvl w:val="0"/>
          <w:numId w:val="5"/>
        </w:numPr>
        <w:spacing w:after="60"/>
      </w:pPr>
      <w:r>
        <w:rPr>
          <w:sz w:val="20"/>
          <w:szCs w:val="20"/>
        </w:rPr>
        <w:t xml:space="preserve">Orçamento de 2026 e Pé-de-Meia – DGABC: </w:t>
      </w:r>
      <w:hyperlink w:history="1" r:id="rIdezonckt5g8owuenofgvba">
        <w:r>
          <w:rPr>
            <w:rStyle w:val="Hyperlink"/>
            <w:sz w:val="18"/>
            <w:szCs w:val="18"/>
          </w:rPr>
          <w:t xml:space="preserve">https://www.dgabc.com.br/Noticia/4254407/veja-o-que-se-sabe-ate-agora-sobre-o-orcamento-de-2026-enviado-pelo-governo-lula-ao-congresso</w:t>
        </w:r>
      </w:hyperlink>
    </w:p>
    <w:p>
      <w:pPr>
        <w:pStyle w:val="ListParagraph"/>
        <w:numPr>
          <w:ilvl w:val="0"/>
          <w:numId w:val="5"/>
        </w:numPr>
        <w:spacing w:after="60"/>
      </w:pPr>
      <w:r>
        <w:rPr>
          <w:sz w:val="20"/>
          <w:szCs w:val="20"/>
        </w:rPr>
        <w:t xml:space="preserve">Orçamento de 2026 após o Congresso – Correio Braziliense (25/12/2025): </w:t>
      </w:r>
      <w:hyperlink w:history="1" r:id="rIdowtnj_ohppcqdolfoznta">
        <w:r>
          <w:rPr>
            <w:rStyle w:val="Hyperlink"/>
            <w:sz w:val="18"/>
            <w:szCs w:val="18"/>
          </w:rPr>
          <w:t xml:space="preserve">https://edicao.correiobraziliense.com.br/correiobraziliense/2025/12/25/1254c0/pdf/A02-POL-2512-DIG.pdf</w:t>
        </w:r>
      </w:hyperlink>
    </w:p>
    <w:p>
      <w:pPr>
        <w:pStyle w:val="ListParagraph"/>
        <w:numPr>
          <w:ilvl w:val="0"/>
          <w:numId w:val="5"/>
        </w:numPr>
        <w:spacing w:after="60"/>
      </w:pPr>
      <w:r>
        <w:rPr>
          <w:sz w:val="20"/>
          <w:szCs w:val="20"/>
        </w:rPr>
        <w:t xml:space="preserve">TCU – Acórdão 1.326/2025 (Contas 2024): </w:t>
      </w:r>
      <w:hyperlink w:history="1" r:id="rIdzm2swjl6smow_aeflzjms">
        <w:r>
          <w:rPr>
            <w:rStyle w:val="Hyperlink"/>
            <w:sz w:val="18"/>
            <w:szCs w:val="18"/>
          </w:rPr>
          <w:t xml:space="preserve">https://sites.tcu.gov.br/recursos/contas-do-presidente/3%20Ac%C3%B3rd%C3%A3o%201.326_2025-P%20CG2024.pdf</w:t>
        </w:r>
      </w:hyperlink>
    </w:p>
    <w:p>
      <w:pPr>
        <w:pStyle w:val="ListParagraph"/>
        <w:numPr>
          <w:ilvl w:val="0"/>
          <w:numId w:val="5"/>
        </w:numPr>
        <w:spacing w:after="60"/>
      </w:pPr>
      <w:r>
        <w:rPr>
          <w:sz w:val="20"/>
          <w:szCs w:val="20"/>
        </w:rPr>
        <w:t xml:space="preserve">TCU – Voto do relator, Contas 2023 (TC 010.005/2024-2): </w:t>
      </w:r>
      <w:hyperlink w:history="1" r:id="rIdqssiykp1cbakpcqt-iqgl">
        <w:r>
          <w:rPr>
            <w:rStyle w:val="Hyperlink"/>
            <w:sz w:val="18"/>
            <w:szCs w:val="18"/>
          </w:rPr>
          <w:t xml:space="preserve">https://sites.tcu.gov.br/recursos/contas-do-governo-2023/4%20Voto%20Ministro%20VR%20(relator)%20CG2023.pdf</w:t>
        </w:r>
      </w:hyperlink>
    </w:p>
    <w:p>
      <w:pPr>
        <w:pStyle w:val="ListParagraph"/>
        <w:numPr>
          <w:ilvl w:val="0"/>
          <w:numId w:val="5"/>
        </w:numPr>
        <w:spacing w:after="60"/>
      </w:pPr>
      <w:r>
        <w:rPr>
          <w:sz w:val="20"/>
          <w:szCs w:val="20"/>
        </w:rPr>
        <w:t xml:space="preserve">TCU – Contas do Presidente 2024: </w:t>
      </w:r>
      <w:hyperlink w:history="1" r:id="rIdau1n3pxymks5budddzgg8">
        <w:r>
          <w:rPr>
            <w:rStyle w:val="Hyperlink"/>
            <w:sz w:val="18"/>
            <w:szCs w:val="18"/>
          </w:rPr>
          <w:t xml:space="preserve">https://portal.tcu.gov.br/imprensa/noticias/tcu-aprova-com-ressalvas-as-contas-do-presidente-da-republica-de-2024</w:t>
        </w:r>
      </w:hyperlink>
    </w:p>
    <w:p>
      <w:pPr>
        <w:pStyle w:val="ListParagraph"/>
        <w:numPr>
          <w:ilvl w:val="0"/>
          <w:numId w:val="5"/>
        </w:numPr>
        <w:spacing w:after="60"/>
      </w:pPr>
      <w:r>
        <w:rPr>
          <w:sz w:val="20"/>
          <w:szCs w:val="20"/>
        </w:rPr>
        <w:t xml:space="preserve">Contas 2024, renúncias – Exame: </w:t>
      </w:r>
      <w:hyperlink w:history="1" r:id="rId8kh1lpbub-beg7y8icvb-">
        <w:r>
          <w:rPr>
            <w:rStyle w:val="Hyperlink"/>
            <w:sz w:val="18"/>
            <w:szCs w:val="18"/>
          </w:rPr>
          <w:t xml:space="preserve">https://exame.com/economia/tcu-aprova-com-ressalvas-contas-de-2024-do-governo-lula-e-alerta-para-renuncias-fiscais/</w:t>
        </w:r>
      </w:hyperlink>
    </w:p>
    <w:p>
      <w:pPr>
        <w:pStyle w:val="ListParagraph"/>
        <w:numPr>
          <w:ilvl w:val="0"/>
          <w:numId w:val="5"/>
        </w:numPr>
        <w:spacing w:after="60"/>
      </w:pPr>
      <w:r>
        <w:rPr>
          <w:sz w:val="20"/>
          <w:szCs w:val="20"/>
        </w:rPr>
        <w:t xml:space="preserve">Contas 2024, irregularidade – CNN Brasil: </w:t>
      </w:r>
      <w:hyperlink w:history="1" r:id="rIdh8480fxpkkiq-bxu-bmrp">
        <w:r>
          <w:rPr>
            <w:rStyle w:val="Hyperlink"/>
            <w:sz w:val="18"/>
            <w:szCs w:val="18"/>
          </w:rPr>
          <w:t xml:space="preserve">https://www.cnnbrasil.com.br/economia/macroeconomia/tcu-ve-irregularidade-mas-aprova-contas-do-governo-lula-de-2024/</w:t>
        </w:r>
      </w:hyperlink>
    </w:p>
    <w:p>
      <w:pPr>
        <w:pStyle w:val="ListParagraph"/>
        <w:numPr>
          <w:ilvl w:val="0"/>
          <w:numId w:val="5"/>
        </w:numPr>
        <w:spacing w:after="60"/>
      </w:pPr>
      <w:r>
        <w:rPr>
          <w:sz w:val="20"/>
          <w:szCs w:val="20"/>
        </w:rPr>
        <w:t xml:space="preserve">TCU – Contas do Presidente 2023: </w:t>
      </w:r>
      <w:hyperlink w:history="1" r:id="rIdyduidnzwkqfu457sda0-s">
        <w:r>
          <w:rPr>
            <w:rStyle w:val="Hyperlink"/>
            <w:sz w:val="18"/>
            <w:szCs w:val="18"/>
          </w:rPr>
          <w:t xml:space="preserve">https://portal.tcu.gov.br/imprensa/noticias/tcu-aprova-com-ressalvas-as-contas-do-presidente-da-republica-de-2023</w:t>
        </w:r>
      </w:hyperlink>
    </w:p>
    <w:p>
      <w:pPr>
        <w:pStyle w:val="ListParagraph"/>
        <w:numPr>
          <w:ilvl w:val="0"/>
          <w:numId w:val="5"/>
        </w:numPr>
        <w:spacing w:after="60"/>
      </w:pPr>
      <w:r>
        <w:rPr>
          <w:sz w:val="20"/>
          <w:szCs w:val="20"/>
        </w:rPr>
        <w:t xml:space="preserve">TCU – Acórdão 1.442/2026 (Contas 2025): </w:t>
      </w:r>
      <w:hyperlink w:history="1" r:id="rIdnxblvyukhmrzdcbnoi8sv">
        <w:r>
          <w:rPr>
            <w:rStyle w:val="Hyperlink"/>
            <w:sz w:val="18"/>
            <w:szCs w:val="18"/>
          </w:rPr>
          <w:t xml:space="preserve">https://sites.tcu.gov.br/recursos/contas-do-presidente/3%20Ac%C3%B3rd%C3%A3o%201.442_2026-P%20CG2025.pdf</w:t>
        </w:r>
      </w:hyperlink>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24"/>
      <w:szCs w:val="24"/>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i/>
      <w:i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z_ft_p8abyxtpo2nvafu" Type="http://schemas.openxmlformats.org/officeDocument/2006/relationships/hyperlink" Target="https://portal.tcu.gov.br/imprensa/noticias/ministerio-da-educacao-deve-adequar-uso-de-recursos-para-o-programa-pe-de-meia" TargetMode="External"/><Relationship Id="rIdgsi5dukq5znb2sfzud9_q" Type="http://schemas.openxmlformats.org/officeDocument/2006/relationships/hyperlink" Target="https://static.poder360.com.br/2025/01/024.312-2024-0-AN-Pe-de-Meia_referendo-de-cautelar.pdf" TargetMode="External"/><Relationship Id="rId614y-cosypakpaxzudqu_" Type="http://schemas.openxmlformats.org/officeDocument/2006/relationships/hyperlink" Target="https://static.poder360.com.br/2025/01/AGU-recorre-decisao-TCU-Pe-de-Meia.pdf" TargetMode="External"/><Relationship Id="rIdhkuprfwdkp2ksj5ppm5fl" Type="http://schemas.openxmlformats.org/officeDocument/2006/relationships/hyperlink" Target="https://www2.camara.leg.br/legin/fed/lei/2024/lei-14818-16-janeiro-2024-795255-norma-pl.html" TargetMode="External"/><Relationship Id="rIdy1_kgyynw_b7ckfcqtkss" Type="http://schemas.openxmlformats.org/officeDocument/2006/relationships/hyperlink" Target="https://www.infomoney.com.br/politica/tcu-da-120-dias-para-governo-tomar-providencias-para-incluir-pe-de-meia-no-orcamento/" TargetMode="External"/><Relationship Id="rIdvbrajvz9gfyfiehsabzo1" Type="http://schemas.openxmlformats.org/officeDocument/2006/relationships/hyperlink" Target="https://www.camara.leg.br/noticias/1174945-projeto-suplementa-recursos-para-o-programa-pe-de-meia/" TargetMode="External"/><Relationship Id="rIdd3wcguhveggvoairmzfa4" Type="http://schemas.openxmlformats.org/officeDocument/2006/relationships/hyperlink" Target="https://www.planalto.gov.br/ccivil_03/_ato2023-2026/2024/lei/l14995.htm" TargetMode="External"/><Relationship Id="rIdebqc8vsp8c7avxwvspvwq" Type="http://schemas.openxmlformats.org/officeDocument/2006/relationships/hyperlink" Target="https://www.planalto.gov.br/ccivil_03/_ato2023-2026/2024/lei/l15076.htm" TargetMode="External"/><Relationship Id="rIdoepwatzfdtr3dwc1tu42l" Type="http://schemas.openxmlformats.org/officeDocument/2006/relationships/hyperlink" Target="https://portal.tcu.gov.br/imprensa/noticias/tcu-da-prazo-de-120-dias-para-governo-federal-adequar-programa-pe-de-meia-ao-orcamento" TargetMode="External"/><Relationship Id="rIdqrezkmiplqoxohed6nves" Type="http://schemas.openxmlformats.org/officeDocument/2006/relationships/hyperlink" Target="https://www2.camara.leg.br/atividade-legislativa/comissoes/comissoes-permanentes/cffc/expedientes-recebidos/Aviso000.902_2025GABPRES.pdf" TargetMode="External"/><Relationship Id="rIdczwpbaqnf1x3jd3fknzmv" Type="http://schemas.openxmlformats.org/officeDocument/2006/relationships/hyperlink" Target="https://portal.tcu.gov.br/uploads/pautas/pauta-23169-2596026424803438700.pdf" TargetMode="External"/><Relationship Id="rIdlqcjjzh3q-yg01zwcs7yz" Type="http://schemas.openxmlformats.org/officeDocument/2006/relationships/hyperlink" Target="https://www.poder360.com.br/poder-governo/ministros-do-tcu-questionam-desorcamentacao-em-pe-de-meia-e-desenrola/" TargetMode="External"/><Relationship Id="rIdev9unjgfdv5gfvrtopkes" Type="http://schemas.openxmlformats.org/officeDocument/2006/relationships/hyperlink" Target="https://distritonews.com/economia/tcu-desorcamentacao-pe-de-meia-desenrola-fipem-fgo-25-agosto-2026" TargetMode="External"/><Relationship Id="rIdyva032zlmpygagwncstgd" Type="http://schemas.openxmlformats.org/officeDocument/2006/relationships/hyperlink" Target="https://portal.tcu.gov.br/imprensa/noticias/tribunal-examina-mecanismos-de-gastos-de-fundos-fora-do-orcamento-geral-da-uniao" TargetMode="External"/><Relationship Id="rIdthfmbbcwkiud_9fu-opgo" Type="http://schemas.openxmlformats.org/officeDocument/2006/relationships/hyperlink" Target="https://www.planalto.gov.br/ccivil_03/projetos/ato_2023_2026/2025/pln/msg/msg-0778-25.doc" TargetMode="External"/><Relationship Id="rIddest6yhpwzg6xexgxhpzh" Type="http://schemas.openxmlformats.org/officeDocument/2006/relationships/hyperlink" Target="https://www.planalto.gov.br/ccivil_03/projetos/ato_2023_2026/2025/pln/msg/msg-1712-25.doc" TargetMode="External"/><Relationship Id="rIdwiyegxxtzmsduvyuufv7m" Type="http://schemas.openxmlformats.org/officeDocument/2006/relationships/hyperlink" Target="https://www.camara.leg.br/noticias/1238564-orcamento-2026-e-sancionado-com-veto-a-r-400-milhoes-em-emendas/" TargetMode="External"/><Relationship Id="rIdq2gqzpfwapzr9satq1sld" Type="http://schemas.openxmlformats.org/officeDocument/2006/relationships/hyperlink" Target="https://www.congressonacional.leg.br/materias/materias-orcamentarias/contas-da-presidencia" TargetMode="External"/><Relationship Id="rIdtuj_ohv6mfajouhyt3s0b" Type="http://schemas.openxmlformats.org/officeDocument/2006/relationships/hyperlink" Target="https://exame.com/economia/tcu-aprova-com-ressalvas-contas-de-2024-do-governo-lula-e-alerta-para-renuncias-fiscais/" TargetMode="External"/><Relationship Id="rIdztozhxzjlpgevfuhyrojg" Type="http://schemas.openxmlformats.org/officeDocument/2006/relationships/hyperlink" Target="https://www.contabeis.com.br/noticias/71308/tcu-aprova-contas-de-2024-com-ressalvas-e-alerta-fiscal/" TargetMode="External"/><Relationship Id="rIdezonckt5g8owuenofgvba" Type="http://schemas.openxmlformats.org/officeDocument/2006/relationships/hyperlink" Target="https://www.dgabc.com.br/Noticia/4254407/veja-o-que-se-sabe-ate-agora-sobre-o-orcamento-de-2026-enviado-pelo-governo-lula-ao-congresso" TargetMode="External"/><Relationship Id="rIdowtnj_ohppcqdolfoznta" Type="http://schemas.openxmlformats.org/officeDocument/2006/relationships/hyperlink" Target="https://edicao.correiobraziliense.com.br/correiobraziliense/2025/12/25/1254c0/pdf/A02-POL-2512-DIG.pdf" TargetMode="External"/><Relationship Id="rIdzm2swjl6smow_aeflzjms" Type="http://schemas.openxmlformats.org/officeDocument/2006/relationships/hyperlink" Target="https://sites.tcu.gov.br/recursos/contas-do-presidente/3%20Ac%C3%B3rd%C3%A3o%201.326_2025-P%20CG2024.pdf" TargetMode="External"/><Relationship Id="rIdqssiykp1cbakpcqt-iqgl" Type="http://schemas.openxmlformats.org/officeDocument/2006/relationships/hyperlink" Target="https://sites.tcu.gov.br/recursos/contas-do-governo-2023/4%20Voto%20Ministro%20VR%20(relator)%20CG2023.pdf" TargetMode="External"/><Relationship Id="rIdau1n3pxymks5budddzgg8" Type="http://schemas.openxmlformats.org/officeDocument/2006/relationships/hyperlink" Target="https://portal.tcu.gov.br/imprensa/noticias/tcu-aprova-com-ressalvas-as-contas-do-presidente-da-republica-de-2024" TargetMode="External"/><Relationship Id="rId8kh1lpbub-beg7y8icvb-" Type="http://schemas.openxmlformats.org/officeDocument/2006/relationships/hyperlink" Target="https://exame.com/economia/tcu-aprova-com-ressalvas-contas-de-2024-do-governo-lula-e-alerta-para-renuncias-fiscais/" TargetMode="External"/><Relationship Id="rIdh8480fxpkkiq-bxu-bmrp" Type="http://schemas.openxmlformats.org/officeDocument/2006/relationships/hyperlink" Target="https://www.cnnbrasil.com.br/economia/macroeconomia/tcu-ve-irregularidade-mas-aprova-contas-do-governo-lula-de-2024/" TargetMode="External"/><Relationship Id="rIdyduidnzwkqfu457sda0-s" Type="http://schemas.openxmlformats.org/officeDocument/2006/relationships/hyperlink" Target="https://portal.tcu.gov.br/imprensa/noticias/tcu-aprova-com-ressalvas-as-contas-do-presidente-da-republica-de-2023" TargetMode="External"/><Relationship Id="rIdnxblvyukhmrzdcbnoi8sv" Type="http://schemas.openxmlformats.org/officeDocument/2006/relationships/hyperlink" Target="https://sites.tcu.gov.br/recursos/contas-do-presidente/3%20Ac%C3%B3rd%C3%A3o%201.442_2026-P%20CG2025.pdf"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Denúncia por crime de responsabilidade (minuta)</dc:title>
  <dc:creator>Un-named</dc:creator>
  <cp:lastModifiedBy>Un-named</cp:lastModifiedBy>
  <cp:revision>1</cp:revision>
  <dcterms:created xsi:type="dcterms:W3CDTF">2026-10-26T01:44:16.986Z</dcterms:created>
  <dcterms:modified xsi:type="dcterms:W3CDTF">2026-10-26T01:44:16.986Z</dcterms:modified>
</cp:coreProperties>
</file>

<file path=docProps/custom.xml><?xml version="1.0" encoding="utf-8"?>
<Properties xmlns="http://schemas.openxmlformats.org/officeDocument/2006/custom-properties" xmlns:vt="http://schemas.openxmlformats.org/officeDocument/2006/docPropsVTypes"/>
</file>