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Pedidos de acesso à informação</w:t>
      </w:r>
    </w:p>
    <w:p>
      <w:pPr>
        <w:spacing w:after="80"/>
      </w:pPr>
      <w:r>
        <w:rPr>
          <w:color w:val="404040"/>
          <w:sz w:val="24"/>
          <w:szCs w:val="24"/>
        </w:rPr>
        <w:t xml:space="preserve">Lei nº 12.527/2011 · Apuração dos fatos sobre o Pé-de-Meia e as renúncias de receita de 2024</w:t>
      </w:r>
    </w:p>
    <w:p>
      <w:pPr>
        <w:pBdr>
          <w:bottom w:val="single" w:color="1F3864" w:sz="8" w:space="4"/>
        </w:pBdr>
        <w:spacing w:after="300"/>
      </w:pPr>
      <w:r>
        <w:rPr>
          <w:i/>
          <w:iCs/>
          <w:color w:val="595959"/>
          <w:sz w:val="20"/>
          <w:szCs w:val="20"/>
        </w:rPr>
        <w:t xml:space="preserve">Seis pedidos prontos para envio · 26 de outubro de 2026</w:t>
      </w:r>
    </w:p>
    <w:p>
      <w:pPr>
        <w:pStyle w:val="Heading1"/>
      </w:pPr>
      <w:r>
        <w:t xml:space="preserve">Como usar</w:t>
      </w:r>
    </w:p>
    <w:p>
      <w:pPr>
        <w:pStyle w:val="ListParagraph"/>
        <w:numPr>
          <w:ilvl w:val="0"/>
          <w:numId w:val="2"/>
        </w:numPr>
        <w:spacing w:after="80" w:line="300"/>
        <w:jc w:val="both"/>
      </w:pPr>
      <w:r>
        <w:rPr>
          <w:b/>
          <w:bCs/>
        </w:rPr>
        <w:t xml:space="preserve">Onde enviar. </w:t>
      </w:r>
      <w:r>
        <w:t xml:space="preserve">Os pedidos 1 a 5 vão pela plataforma Fala.BR (falabr.cgu.gov.br), escolhendo o tipo "Acesso à Informação" e o órgão indicado. O pedido 6 vai pela Ouvidoria do TCU, no portal do Tribunal. É preciso cadastro com identificação, mas não é preciso explicar o motivo do pedido (Lei 12.527/2011, art. 10, § 3º).</w:t>
      </w:r>
    </w:p>
    <w:p>
      <w:pPr>
        <w:pStyle w:val="ListParagraph"/>
        <w:numPr>
          <w:ilvl w:val="0"/>
          <w:numId w:val="2"/>
        </w:numPr>
        <w:spacing w:after="80" w:line="300"/>
        <w:jc w:val="both"/>
      </w:pPr>
      <w:r>
        <w:rPr>
          <w:b/>
          <w:bCs/>
        </w:rPr>
        <w:t xml:space="preserve">Um pedido por órgão. </w:t>
      </w:r>
      <w:r>
        <w:t xml:space="preserve">Copie o texto da caixa correspondente. Se o campo da plataforma tiver limite de caracteres, divida em dois pedidos ao mesmo órgão.</w:t>
      </w:r>
    </w:p>
    <w:p>
      <w:pPr>
        <w:pStyle w:val="ListParagraph"/>
        <w:numPr>
          <w:ilvl w:val="0"/>
          <w:numId w:val="2"/>
        </w:numPr>
        <w:spacing w:after="80" w:line="300"/>
        <w:jc w:val="both"/>
      </w:pPr>
      <w:r>
        <w:rPr>
          <w:b/>
          <w:bCs/>
        </w:rPr>
        <w:t xml:space="preserve">Prazos. </w:t>
      </w:r>
      <w:r>
        <w:t xml:space="preserve">O órgão tem 20 dias para responder, prorrogáveis por mais 10 com justificativa (art. 11, §§ 1º e 2º).</w:t>
      </w:r>
    </w:p>
    <w:p>
      <w:pPr>
        <w:pStyle w:val="ListParagraph"/>
        <w:numPr>
          <w:ilvl w:val="0"/>
          <w:numId w:val="2"/>
        </w:numPr>
        <w:spacing w:after="80" w:line="300"/>
        <w:jc w:val="both"/>
      </w:pPr>
      <w:r>
        <w:rPr>
          <w:b/>
          <w:bCs/>
        </w:rPr>
        <w:t xml:space="preserve">Se a resposta for negada ou incompleta: </w:t>
      </w:r>
      <w:r>
        <w:t xml:space="preserve">cabe recurso em 10 dias à autoridade superior (art. 15). Depois, à CGU (art. 16) e, por fim, à Comissão Mista de Reavaliação de Informações. No TCU, os recursos seguem as regras internas do Tribunal. Há um modelo de recurso ao final.</w:t>
      </w:r>
    </w:p>
    <w:p>
      <w:pPr>
        <w:pStyle w:val="ListParagraph"/>
        <w:numPr>
          <w:ilvl w:val="0"/>
          <w:numId w:val="2"/>
        </w:numPr>
        <w:spacing w:after="80" w:line="300"/>
        <w:jc w:val="both"/>
      </w:pPr>
      <w:r>
        <w:rPr>
          <w:b/>
          <w:bCs/>
        </w:rPr>
        <w:t xml:space="preserve">Guarde os protocolos </w:t>
      </w:r>
      <w:r>
        <w:t xml:space="preserve">e anote tudo no quadro de controle ao final. As respostas podem ser juntadas à representação à CFFC como documentos complementares.</w:t>
      </w:r>
    </w:p>
    <w:p>
      <w:pPr>
        <w:pStyle w:val="ListParagraph"/>
        <w:numPr>
          <w:ilvl w:val="0"/>
          <w:numId w:val="2"/>
        </w:numPr>
        <w:spacing w:after="80" w:line="300"/>
        <w:jc w:val="both"/>
      </w:pPr>
      <w:r>
        <w:rPr>
          <w:b/>
          <w:bCs/>
        </w:rPr>
        <w:t xml:space="preserve">Pedido mais importante: </w:t>
      </w:r>
      <w:r>
        <w:t xml:space="preserve">o 1, à Casa Civil. Ele pode mostrar se houve recomendação de veto por descumprimento da LRF e se ela foi ignorada. É isso que define se pode haver responsabilidade pessoal do Presidente.</w:t>
      </w:r>
    </w:p>
    <w:p>
      <w:pPr>
        <w:pStyle w:val="Heading1"/>
        <w:pageBreakBefore/>
      </w:pPr>
      <w:r>
        <w:t xml:space="preserve">Pedido 1: Casa Civil da Presidência da República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Órgão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Casa Civil da Presidência da República (Subchefia para Assuntos Jurídicos)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Canal</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Plataforma Fala.BR (falabr.cgu.gov.br), tipo "Acesso à Informação"</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Assunto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Processos de sanção de leis de 2024 que concederam benefícios tributários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Objetivo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Saber se o Presidente foi informado, antes de sancionar, de que as leis não cumpriam os requisitos da LRF. É o ponto central para avaliar responsabilidade pessoal.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F7F9FC" w:color="auto" w:val="clear"/>
            <w:tcMar>
              <w:top w:type="dxa" w:w="140"/>
              <w:left w:type="dxa" w:w="200"/>
              <w:bottom w:type="dxa" w:w="140"/>
              <w:right w:type="dxa" w:w="200"/>
            </w:tcMar>
          </w:tcPr>
          <w:p>
            <w:pPr>
              <w:spacing w:after="120"/>
            </w:pPr>
            <w:r>
              <w:rPr>
                <w:b/>
                <w:bCs/>
                <w:color w:val="1F3864"/>
                <w:sz w:val="18"/>
                <w:szCs w:val="18"/>
              </w:rPr>
              <w:t xml:space="preserve">TEXTO DO PEDIDO (copiar e colar)</w:t>
            </w:r>
          </w:p>
          <w:p>
            <w:pPr>
              <w:spacing w:after="100" w:line="290"/>
              <w:jc w:val="both"/>
            </w:pPr>
            <w:r>
              <w:t xml:space="preserve">Com fundamento na Lei nº 12.527/2011, solicito as seguintes informações e documentos relativos às leis sancionadas em 2024 que instituíram ou ampliaram benefícios de natureza tributária com renúncia de receita, em especial as apontadas pelo Tribunal de Contas da União no relatório das Contas do Presidente da República de 2024 (Acórdão nº 1.326/2025-TCU-Plenário, TC 008.437/2025-4):</w:t>
            </w:r>
          </w:p>
          <w:p>
            <w:pPr>
              <w:spacing w:after="100" w:line="290"/>
              <w:jc w:val="both"/>
            </w:pPr>
            <w:r>
              <w:t xml:space="preserve">1. Relação das leis e atos normativos sancionados ou editados em 2024 que concederam ou ampliaram benefícios tributários, com número, data e origem (iniciativa do Poder Executivo ou parlamentar).</w:t>
            </w:r>
          </w:p>
          <w:p>
            <w:pPr>
              <w:spacing w:after="100" w:line="290"/>
              <w:jc w:val="both"/>
            </w:pPr>
            <w:r>
              <w:t xml:space="preserve">2. Para cada lei, cópia das notas técnicas, pareceres e manifestações dos ministérios consultados no processo de sanção, especialmente do Ministério da Fazenda, e da Subchefia para Assuntos Jurídicos.</w:t>
            </w:r>
          </w:p>
          <w:p>
            <w:pPr>
              <w:spacing w:after="100" w:line="290"/>
              <w:jc w:val="both"/>
            </w:pPr>
            <w:r>
              <w:t xml:space="preserve">3. Indicação de quais dessas manifestações recomendaram veto, total ou parcial, por ausência de estimativa de impacto orçamentário-financeiro ou de medidas de compensação (Lei Complementar nº 101/2000, art. 14; ADCT, art. 113), e se a recomendação foi acolhida.</w:t>
            </w:r>
          </w:p>
          <w:p>
            <w:pPr>
              <w:spacing w:after="100" w:line="290"/>
              <w:jc w:val="both"/>
            </w:pPr>
            <w:r>
              <w:t xml:space="preserve">4. Cópia das mensagens de veto relacionadas a esse fundamento, se houver.</w:t>
            </w:r>
          </w:p>
          <w:p>
            <w:pPr>
              <w:spacing w:after="100" w:line="290"/>
              <w:jc w:val="both"/>
            </w:pPr>
            <w:r>
              <w:t xml:space="preserve">Os documentos preparatórios devem ser disponibilizados, pois os atos decisórios correspondentes já foram editados (Lei nº 12.527/2011, art. 7º, § 3º; Decreto nº 7.724/2012, art. 20).</w:t>
            </w:r>
          </w:p>
          <w:p>
            <w:pPr>
              <w:spacing w:after="100" w:line="290"/>
              <w:jc w:val="both"/>
            </w:pPr>
            <w:r>
              <w:t xml:space="preserve">Solicito que as informações sejam fornecidas em formato aberto (planilha CSV ou XLSX) quando se tratar de dados, e em PDF quando se tratar de documentos. Caso alguma informação seja sigilosa, solicito acesso à parte não sigilosa (Lei nº 12.527/2011, art. 7º, § 2º), com indicação do fundamento legal, da classificação e da autoridade que a classificou. Caso o órgão não detenha alguma informação, solicito a indicação do órgão que a detém (art. 11, § 1º, III).</w:t>
            </w:r>
          </w:p>
        </w:tc>
      </w:tr>
    </w:tbl>
    <w:p>
      <w:pPr>
        <w:pStyle w:val="Heading1"/>
        <w:pageBreakBefore/>
      </w:pPr>
      <w:r>
        <w:t xml:space="preserve">Pedido 2: Ministério da Fazenda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Órgão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Ministério da Fazenda (inclui Receita Federal e Secretaria do Tesouro Nacional)</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Canal</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Plataforma Fala.BR, tipo "Acesso à Informação"</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Assunto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Estimativas de impacto das renúncias de 2024 e transferências da União ao Fipem</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Objetivo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Confirmar se havia estimativa de impacto e compensação (Fato 2) e quanto foi transferido ao Fipem e de onde (Fato 1).</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F7F9FC" w:color="auto" w:val="clear"/>
            <w:tcMar>
              <w:top w:type="dxa" w:w="140"/>
              <w:left w:type="dxa" w:w="200"/>
              <w:bottom w:type="dxa" w:w="140"/>
              <w:right w:type="dxa" w:w="200"/>
            </w:tcMar>
          </w:tcPr>
          <w:p>
            <w:pPr>
              <w:spacing w:after="120"/>
            </w:pPr>
            <w:r>
              <w:rPr>
                <w:b/>
                <w:bCs/>
                <w:color w:val="1F3864"/>
                <w:sz w:val="18"/>
                <w:szCs w:val="18"/>
              </w:rPr>
              <w:t xml:space="preserve">TEXTO DO PEDIDO (copiar e colar)</w:t>
            </w:r>
          </w:p>
          <w:p>
            <w:pPr>
              <w:spacing w:after="100" w:line="290"/>
              <w:jc w:val="both"/>
            </w:pPr>
            <w:r>
              <w:t xml:space="preserve">Com fundamento na Lei nº 12.527/2011, solicito:</w:t>
            </w:r>
          </w:p>
          <w:p>
            <w:pPr>
              <w:spacing w:after="100" w:line="290"/>
              <w:jc w:val="both"/>
            </w:pPr>
            <w:r>
              <w:t xml:space="preserve">Quanto às renúncias de receita de 2024 (Acórdão nº 1.326/2025-TCU-Plenário):</w:t>
            </w:r>
          </w:p>
          <w:p>
            <w:pPr>
              <w:spacing w:after="100" w:line="290"/>
              <w:jc w:val="both"/>
            </w:pPr>
            <w:r>
              <w:t xml:space="preserve">1. Estimativas de impacto orçamentário-financeiro elaboradas pelo Ministério para cada lei ou ato normativo de 2024 que concedeu ou ampliou benefício tributário.</w:t>
            </w:r>
          </w:p>
          <w:p>
            <w:pPr>
              <w:spacing w:after="100" w:line="290"/>
              <w:jc w:val="both"/>
            </w:pPr>
            <w:r>
              <w:t xml:space="preserve">2. Medidas de compensação adotadas para cada benefício, com o respectivo ato normativo.</w:t>
            </w:r>
          </w:p>
          <w:p>
            <w:pPr>
              <w:spacing w:after="100" w:line="290"/>
              <w:jc w:val="both"/>
            </w:pPr>
            <w:r>
              <w:t xml:space="preserve">3. Manifestações do Ministério nos processos de sanção dessas leis, inclusive eventuais recomendações de veto.</w:t>
            </w:r>
          </w:p>
          <w:p>
            <w:pPr>
              <w:spacing w:after="100" w:line="290"/>
              <w:jc w:val="both"/>
            </w:pPr>
            <w:r>
              <w:t xml:space="preserve">Quanto ao Programa Pé-de-Meia e ao Fipem (TC 024.312/2024-0):</w:t>
            </w:r>
          </w:p>
          <w:p>
            <w:pPr>
              <w:spacing w:after="100" w:line="290"/>
              <w:jc w:val="both"/>
            </w:pPr>
            <w:r>
              <w:t xml:space="preserve">4. Valores transferidos pela União ao Fipem em 2024, 2025 e 2026, discriminados por origem (Fundo Social, FGO, Fgeduc, dotação orçamentária), com datas e atos autorizadores.</w:t>
            </w:r>
          </w:p>
          <w:p>
            <w:pPr>
              <w:spacing w:after="100" w:line="290"/>
              <w:jc w:val="both"/>
            </w:pPr>
            <w:r>
              <w:t xml:space="preserve">5. Notas técnicas da Secretaria do Tesouro Nacional sobre o arranjo de financiamento do programa por meio do Fipem.</w:t>
            </w:r>
          </w:p>
          <w:p>
            <w:pPr>
              <w:spacing w:after="100" w:line="290"/>
              <w:jc w:val="both"/>
            </w:pPr>
            <w:r>
              <w:t xml:space="preserve">6. Medidas adotadas para cumprir os Acórdãos nº 297/2025 e nº 2.261/2026-TCU-Plenário.</w:t>
            </w:r>
          </w:p>
          <w:p>
            <w:pPr>
              <w:spacing w:after="100" w:line="290"/>
              <w:jc w:val="both"/>
            </w:pPr>
            <w:r>
              <w:t xml:space="preserve">Os documentos preparatórios devem ser disponibilizados, pois os atos decisórios correspondentes já foram editados (Lei nº 12.527/2011, art. 7º, § 3º; Decreto nº 7.724/2012, art. 20).</w:t>
            </w:r>
          </w:p>
          <w:p>
            <w:pPr>
              <w:spacing w:after="100" w:line="290"/>
              <w:jc w:val="both"/>
            </w:pPr>
            <w:r>
              <w:t xml:space="preserve">Solicito que as informações sejam fornecidas em formato aberto (planilha CSV ou XLSX) quando se tratar de dados, e em PDF quando se tratar de documentos. Caso alguma informação seja sigilosa, solicito acesso à parte não sigilosa (Lei nº 12.527/2011, art. 7º, § 2º), com indicação do fundamento legal, da classificação e da autoridade que a classificou. Caso o órgão não detenha alguma informação, solicito a indicação do órgão que a detém (art. 11, § 1º, III).</w:t>
            </w:r>
          </w:p>
        </w:tc>
      </w:tr>
    </w:tbl>
    <w:p>
      <w:pPr>
        <w:pStyle w:val="Heading1"/>
        <w:pageBreakBefore/>
      </w:pPr>
      <w:r>
        <w:t xml:space="preserve">Pedido 3: Ministério do Planejamento e Orçamento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Órgão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Ministério do Planejamento e Orçamento (Secretaria de Orçamento Federal)</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Canal</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Plataforma Fala.BR, tipo "Acesso à Informação"</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Assunto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Classificação orçamentária do Pé-de-Meia e regularização determinada pelo TCU</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Objetivo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Verificar quanto do programa passou pelo Orçamento em cada ano e se a regularização foi feita.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F7F9FC" w:color="auto" w:val="clear"/>
            <w:tcMar>
              <w:top w:type="dxa" w:w="140"/>
              <w:left w:type="dxa" w:w="200"/>
              <w:bottom w:type="dxa" w:w="140"/>
              <w:right w:type="dxa" w:w="200"/>
            </w:tcMar>
          </w:tcPr>
          <w:p>
            <w:pPr>
              <w:spacing w:after="120"/>
            </w:pPr>
            <w:r>
              <w:rPr>
                <w:b/>
                <w:bCs/>
                <w:color w:val="1F3864"/>
                <w:sz w:val="18"/>
                <w:szCs w:val="18"/>
              </w:rPr>
              <w:t xml:space="preserve">TEXTO DO PEDIDO (copiar e colar)</w:t>
            </w:r>
          </w:p>
          <w:p>
            <w:pPr>
              <w:spacing w:after="100" w:line="290"/>
              <w:jc w:val="both"/>
            </w:pPr>
            <w:r>
              <w:t xml:space="preserve">Com fundamento na Lei nº 12.527/2011, solicito, quanto ao Programa Pé-de-Meia:</w:t>
            </w:r>
          </w:p>
          <w:p>
            <w:pPr>
              <w:spacing w:after="100" w:line="290"/>
              <w:jc w:val="both"/>
            </w:pPr>
            <w:r>
              <w:t xml:space="preserve">1. Notas técnicas da Secretaria de Orçamento Federal sobre a classificação orçamentária do programa e dos pagamentos realizados por meio do Fipem, de 2024 a 2026.</w:t>
            </w:r>
          </w:p>
          <w:p>
            <w:pPr>
              <w:spacing w:after="100" w:line="290"/>
              <w:jc w:val="both"/>
            </w:pPr>
            <w:r>
              <w:t xml:space="preserve">2. Dotações autorizadas e valores executados, na Lei Orçamentária Anual, para o programa em 2024, 2025 e 2026, com a identificação das ações orçamentárias.</w:t>
            </w:r>
          </w:p>
          <w:p>
            <w:pPr>
              <w:spacing w:after="100" w:line="290"/>
              <w:jc w:val="both"/>
            </w:pPr>
            <w:r>
              <w:t xml:space="preserve">3. Histórico e situação atual do PLN nº 5/2025 (crédito suplementar de R$ 686 milhões ao Ministério da Educação) e de outros créditos relacionados ao programa.</w:t>
            </w:r>
          </w:p>
          <w:p>
            <w:pPr>
              <w:spacing w:after="100" w:line="290"/>
              <w:jc w:val="both"/>
            </w:pPr>
            <w:r>
              <w:t xml:space="preserve">4. Documentos encaminhados ao TCU para demonstrar o cumprimento do prazo de 120 dias fixado no Acórdão nº 297/2025-TCU-Plenário.</w:t>
            </w:r>
          </w:p>
          <w:p>
            <w:pPr>
              <w:spacing w:after="100" w:line="290"/>
              <w:jc w:val="both"/>
            </w:pPr>
            <w:r>
              <w:t xml:space="preserve">Os documentos preparatórios devem ser disponibilizados, pois os atos decisórios correspondentes já foram editados (Lei nº 12.527/2011, art. 7º, § 3º; Decreto nº 7.724/2012, art. 20).</w:t>
            </w:r>
          </w:p>
          <w:p>
            <w:pPr>
              <w:spacing w:after="100" w:line="290"/>
              <w:jc w:val="both"/>
            </w:pPr>
            <w:r>
              <w:t xml:space="preserve">Solicito que as informações sejam fornecidas em formato aberto (planilha CSV ou XLSX) quando se tratar de dados, e em PDF quando se tratar de documentos. Caso alguma informação seja sigilosa, solicito acesso à parte não sigilosa (Lei nº 12.527/2011, art. 7º, § 2º), com indicação do fundamento legal, da classificação e da autoridade que a classificou. Caso o órgão não detenha alguma informação, solicito a indicação do órgão que a detém (art. 11, § 1º, III).</w:t>
            </w:r>
          </w:p>
        </w:tc>
      </w:tr>
    </w:tbl>
    <w:p>
      <w:pPr>
        <w:pStyle w:val="Heading1"/>
        <w:pageBreakBefore/>
      </w:pPr>
      <w:r>
        <w:t xml:space="preserve">Pedido 4: Ministério da Educação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Órgão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Ministério da Educação</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Canal</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Plataforma Fala.BR, tipo "Acesso à Informação"</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Assunto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Pagamentos do Programa Pé-de-Meia por fonte de recursos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Objetivo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Medir quanto foi pago fora do Orçamento e conhecer as decisões que definiram esse modelo.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F7F9FC" w:color="auto" w:val="clear"/>
            <w:tcMar>
              <w:top w:type="dxa" w:w="140"/>
              <w:left w:type="dxa" w:w="200"/>
              <w:bottom w:type="dxa" w:w="140"/>
              <w:right w:type="dxa" w:w="200"/>
            </w:tcMar>
          </w:tcPr>
          <w:p>
            <w:pPr>
              <w:spacing w:after="120"/>
            </w:pPr>
            <w:r>
              <w:rPr>
                <w:b/>
                <w:bCs/>
                <w:color w:val="1F3864"/>
                <w:sz w:val="18"/>
                <w:szCs w:val="18"/>
              </w:rPr>
              <w:t xml:space="preserve">TEXTO DO PEDIDO (copiar e colar)</w:t>
            </w:r>
          </w:p>
          <w:p>
            <w:pPr>
              <w:spacing w:after="100" w:line="290"/>
              <w:jc w:val="both"/>
            </w:pPr>
            <w:r>
              <w:t xml:space="preserve">Com fundamento na Lei nº 12.527/2011, solicito, quanto ao Programa Pé-de-Meia (Lei nº 14.818/2024):</w:t>
            </w:r>
          </w:p>
          <w:p>
            <w:pPr>
              <w:spacing w:after="100" w:line="290"/>
              <w:jc w:val="both"/>
            </w:pPr>
            <w:r>
              <w:t xml:space="preserve">1. Valores pagos aos estudantes, por mês, de 2024 até a data da resposta, discriminados por fonte (dotação da Lei Orçamentária Anual ou recursos do Fipem).</w:t>
            </w:r>
          </w:p>
          <w:p>
            <w:pPr>
              <w:spacing w:after="100" w:line="290"/>
              <w:jc w:val="both"/>
            </w:pPr>
            <w:r>
              <w:t xml:space="preserve">2. Número de beneficiários por mês e por ano, em dados agregados, sem dados pessoais.</w:t>
            </w:r>
          </w:p>
          <w:p>
            <w:pPr>
              <w:spacing w:after="100" w:line="290"/>
              <w:jc w:val="both"/>
            </w:pPr>
            <w:r>
              <w:t xml:space="preserve">3. Notas técnicas, pareceres e demais documentos que fundamentaram a adoção do modelo de financiamento por meio do Fipem.</w:t>
            </w:r>
          </w:p>
          <w:p>
            <w:pPr>
              <w:spacing w:after="100" w:line="290"/>
              <w:jc w:val="both"/>
            </w:pPr>
            <w:r>
              <w:t xml:space="preserve">4. Cópia das manifestações encaminhadas ao TCU no processo TC 024.312/2024-0, especialmente em resposta aos Acórdãos nº 61/2025, nº 297/2025 e nº 2.261/2026-TCU-Plenário.</w:t>
            </w:r>
          </w:p>
          <w:p>
            <w:pPr>
              <w:spacing w:after="100" w:line="290"/>
              <w:jc w:val="both"/>
            </w:pPr>
            <w:r>
              <w:t xml:space="preserve">5. Providências adotadas em relação aos pagamentos indevidos apontados pelo TCU em 2026, conforme noticiado (beneficiários com CPF de pessoas falecidas e com renda acima do limite), com valores envolvidos e valores recuperados.</w:t>
            </w:r>
          </w:p>
          <w:p>
            <w:pPr>
              <w:spacing w:after="100" w:line="290"/>
              <w:jc w:val="both"/>
            </w:pPr>
            <w:r>
              <w:t xml:space="preserve">Os documentos preparatórios devem ser disponibilizados, pois os atos decisórios correspondentes já foram editados (Lei nº 12.527/2011, art. 7º, § 3º; Decreto nº 7.724/2012, art. 20).</w:t>
            </w:r>
          </w:p>
          <w:p>
            <w:pPr>
              <w:spacing w:after="100" w:line="290"/>
              <w:jc w:val="both"/>
            </w:pPr>
            <w:r>
              <w:t xml:space="preserve">Solicito que as informações sejam fornecidas em formato aberto (planilha CSV ou XLSX) quando se tratar de dados, e em PDF quando se tratar de documentos. Caso alguma informação seja sigilosa, solicito acesso à parte não sigilosa (Lei nº 12.527/2011, art. 7º, § 2º), com indicação do fundamento legal, da classificação e da autoridade que a classificou. Caso o órgão não detenha alguma informação, solicito a indicação do órgão que a detém (art. 11, § 1º, III).</w:t>
            </w:r>
          </w:p>
        </w:tc>
      </w:tr>
    </w:tbl>
    <w:p>
      <w:pPr>
        <w:pStyle w:val="Heading1"/>
        <w:pageBreakBefore/>
      </w:pPr>
      <w:r>
        <w:t xml:space="preserve">Pedido 5: Caixa Econômica Federal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Órgão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Caixa Econômica Federal (agente operador do Fipem)</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Canal</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Plataforma Fala.BR ou Serviço de Informação ao Cidadão da Caixa</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Assunto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Movimentação financeira do Fipem</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Objetivo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Obter os números do fundo diretamente de quem o administra, para conferir com os do governo.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F7F9FC" w:color="auto" w:val="clear"/>
            <w:tcMar>
              <w:top w:type="dxa" w:w="140"/>
              <w:left w:type="dxa" w:w="200"/>
              <w:bottom w:type="dxa" w:w="140"/>
              <w:right w:type="dxa" w:w="200"/>
            </w:tcMar>
          </w:tcPr>
          <w:p>
            <w:pPr>
              <w:spacing w:after="120"/>
            </w:pPr>
            <w:r>
              <w:rPr>
                <w:b/>
                <w:bCs/>
                <w:color w:val="1F3864"/>
                <w:sz w:val="18"/>
                <w:szCs w:val="18"/>
              </w:rPr>
              <w:t xml:space="preserve">TEXTO DO PEDIDO (copiar e colar)</w:t>
            </w:r>
          </w:p>
          <w:p>
            <w:pPr>
              <w:spacing w:after="100" w:line="290"/>
              <w:jc w:val="both"/>
            </w:pPr>
            <w:r>
              <w:t xml:space="preserve">Com fundamento na Lei nº 12.527/2011, solicito, quanto ao Fundo de Incentivo à Permanência no Ensino Médio (Fipem), do qual a Caixa é agente operador:</w:t>
            </w:r>
          </w:p>
          <w:p>
            <w:pPr>
              <w:spacing w:after="100" w:line="290"/>
              <w:jc w:val="both"/>
            </w:pPr>
            <w:r>
              <w:t xml:space="preserve">1. Demonstrações financeiras do Fipem dos exercícios de 2024 e 2025 e o balancete mais recente de 2026.</w:t>
            </w:r>
          </w:p>
          <w:p>
            <w:pPr>
              <w:spacing w:after="100" w:line="290"/>
              <w:jc w:val="both"/>
            </w:pPr>
            <w:r>
              <w:t xml:space="preserve">2. Aportes recebidos pelo fundo, com datas, valores e origem (Fundo Social, FGO, Fgeduc, União).</w:t>
            </w:r>
          </w:p>
          <w:p>
            <w:pPr>
              <w:spacing w:after="100" w:line="290"/>
              <w:jc w:val="both"/>
            </w:pPr>
            <w:r>
              <w:t xml:space="preserve">3. Total de pagamentos efetuados aos estudantes, por mês, de 2024 até a data da resposta.</w:t>
            </w:r>
          </w:p>
          <w:p>
            <w:pPr>
              <w:spacing w:after="100" w:line="290"/>
              <w:jc w:val="both"/>
            </w:pPr>
            <w:r>
              <w:t xml:space="preserve">4. Estatuto ou regulamento do Fipem e contrato ou instrumento firmado com a União para sua administração.</w:t>
            </w:r>
          </w:p>
          <w:p>
            <w:pPr>
              <w:spacing w:after="100" w:line="290"/>
              <w:jc w:val="both"/>
            </w:pPr>
            <w:r>
              <w:t xml:space="preserve">Os dados solicitados são agregados e referem-se a recursos públicos, não estando protegidos por sigilo bancário. Solicito que as informações sejam fornecidas em formato aberto (planilha CSV ou XLSX) quando se tratar de dados, e em PDF quando se tratar de documentos. Caso alguma informação seja sigilosa, solicito acesso à parte não sigilosa (Lei nº 12.527/2011, art. 7º, § 2º), com indicação do fundamento legal, da classificação e da autoridade que a classificou. Caso o órgão não detenha alguma informação, solicito a indicação do órgão que a detém (art. 11, § 1º, III).</w:t>
            </w:r>
          </w:p>
        </w:tc>
      </w:tr>
    </w:tbl>
    <w:p>
      <w:pPr>
        <w:pStyle w:val="Heading1"/>
        <w:pageBreakBefore/>
      </w:pPr>
      <w:r>
        <w:t xml:space="preserve">Pedido 6: Tribunal de Contas da União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Órgão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Tribunal de Contas da União</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Canal</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Ouvidoria do TCU, opção de acesso à informação no portal do TCU (o TCU não utiliza o Fala.BR)</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Assunto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Inteiro teor dos acórdãos sobre o Pé-de-Meia e relação das leis apontadas nas Contas de 2024</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60"/>
              <w:left w:type="dxa" w:w="110"/>
              <w:bottom w:type="dxa" w:w="60"/>
              <w:right w:type="dxa" w:w="110"/>
            </w:tcMar>
          </w:tcPr>
          <w:p>
            <w:r>
              <w:rPr>
                <w:b/>
                <w:bCs/>
              </w:rPr>
              <w:t xml:space="preserve">Objetivo</w:t>
            </w:r>
          </w:p>
        </w:tc>
        <w:tc>
          <w:tcPr>
            <w:tcW w:type="dxa" w:w="6826"/>
            <w:tcBorders>
              <w:top w:val="single" w:color="BFBFBF" w:sz="4"/>
              <w:left w:val="single" w:color="BFBFBF" w:sz="4"/>
              <w:bottom w:val="single" w:color="BFBFBF" w:sz="4"/>
              <w:right w:val="single" w:color="BFBFBF" w:sz="4"/>
            </w:tcBorders>
            <w:tcMar>
              <w:top w:type="dxa" w:w="60"/>
              <w:left w:type="dxa" w:w="110"/>
              <w:bottom w:type="dxa" w:w="60"/>
              <w:right w:type="dxa" w:w="110"/>
            </w:tcMar>
          </w:tcPr>
          <w:p>
            <w:r>
              <w:t xml:space="preserve">Obter o texto completo do Acórdão 2.261/2026, que não pôde ser lido, e a lista exata das leis do Fato 2.</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F7F9FC" w:color="auto" w:val="clear"/>
            <w:tcMar>
              <w:top w:type="dxa" w:w="140"/>
              <w:left w:type="dxa" w:w="200"/>
              <w:bottom w:type="dxa" w:w="140"/>
              <w:right w:type="dxa" w:w="200"/>
            </w:tcMar>
          </w:tcPr>
          <w:p>
            <w:pPr>
              <w:spacing w:after="120"/>
            </w:pPr>
            <w:r>
              <w:rPr>
                <w:b/>
                <w:bCs/>
                <w:color w:val="1F3864"/>
                <w:sz w:val="18"/>
                <w:szCs w:val="18"/>
              </w:rPr>
              <w:t xml:space="preserve">TEXTO DO PEDIDO (copiar e colar)</w:t>
            </w:r>
          </w:p>
          <w:p>
            <w:pPr>
              <w:spacing w:after="100" w:line="290"/>
              <w:jc w:val="both"/>
            </w:pPr>
            <w:r>
              <w:t xml:space="preserve">Com fundamento na Lei nº 12.527/2011, solicito:</w:t>
            </w:r>
          </w:p>
          <w:p>
            <w:pPr>
              <w:spacing w:after="100" w:line="290"/>
              <w:jc w:val="both"/>
            </w:pPr>
            <w:r>
              <w:t xml:space="preserve">1. Inteiro teor (relatório, voto, declarações de voto e acórdão) dos Acórdãos nº 61/2025, nº 297/2025 e nº 2.261/2026-TCU-Plenário, proferidos no processo TC 024.312/2024-0, incluindo as ponderações do Ministro Revisor no último.</w:t>
            </w:r>
          </w:p>
          <w:p>
            <w:pPr>
              <w:spacing w:after="100" w:line="290"/>
              <w:jc w:val="both"/>
            </w:pPr>
            <w:r>
              <w:t xml:space="preserve">2. Relação dos atos normativos de 2024 considerados em desconformidade com a Lei Complementar nº 101/2000, a LDO e a Constituição no relatório das Contas do Presidente da República de 2024 (Acórdão nº 1.326/2025-TCU-Plenário, TC 008.437/2025-4).</w:t>
            </w:r>
          </w:p>
          <w:p>
            <w:pPr>
              <w:spacing w:after="100" w:line="290"/>
              <w:jc w:val="both"/>
            </w:pPr>
            <w:r>
              <w:t xml:space="preserve">3. Situação atual do monitoramento do cumprimento das determinações dos Acórdãos nº 297/2025 e nº 2.261/2026.</w:t>
            </w:r>
          </w:p>
          <w:p>
            <w:pPr>
              <w:spacing w:after="100" w:line="290"/>
              <w:jc w:val="both"/>
            </w:pPr>
            <w:r>
              <w:t xml:space="preserve">4. Número do acórdão que aprovou o parecer prévio sobre as Contas do Presidente da República de 2023 (TC 010.005/2024-2).</w:t>
            </w:r>
          </w:p>
          <w:p>
            <w:pPr>
              <w:spacing w:after="100" w:line="290"/>
              <w:jc w:val="both"/>
            </w:pPr>
            <w:r>
              <w:t xml:space="preserve">Solicito que as informações sejam fornecidas em formato aberto (planilha CSV ou XLSX) quando se tratar de dados, e em PDF quando se tratar de documentos. Caso alguma informação seja sigilosa, solicito acesso à parte não sigilosa (Lei nº 12.527/2011, art. 7º, § 2º), com indicação do fundamento legal, da classificação e da autoridade que a classificou. Caso o órgão não detenha alguma informação, solicito a indicação do órgão que a detém (art. 11, § 1º, III).</w:t>
            </w:r>
          </w:p>
        </w:tc>
      </w:tr>
    </w:tbl>
    <w:p>
      <w:pPr>
        <w:pStyle w:val="Heading1"/>
        <w:pageBreakBefore/>
      </w:pPr>
      <w:r>
        <w:t xml:space="preserve">Quadro de controle</w:t>
      </w:r>
    </w:p>
    <w:p>
      <w:pPr>
        <w:spacing w:after="140" w:line="300"/>
        <w:jc w:val="both"/>
      </w:pPr>
      <w:r>
        <w:t xml:space="preserve">Preencha à medida que enviar os pedidos e receber as respostas.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300"/>
        <w:gridCol w:w="1700"/>
        <w:gridCol w:w="15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Pedido</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Data de envio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Nº de protocolo</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Prazo final</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Resposta (data / resumo)</w:t>
            </w:r>
          </w:p>
        </w:tc>
        <w:tc>
          <w:tcPr>
            <w:tcW w:type="dxa" w:w="1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Recurso?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 Casa Civil da Presidência da República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 Ministério da Fazenda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 Ministério do Planejamento e Orçamento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4. Ministério da Educação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 Caixa Econômica Federal</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6. Tribunal de Contas da União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r>
    </w:tbl>
    <w:p>
      <w:pPr>
        <w:spacing w:after="160"/>
      </w:pPr>
    </w:p>
    <w:p>
      <w:pPr>
        <w:pStyle w:val="Heading1"/>
      </w:pPr>
      <w:r>
        <w:t xml:space="preserve">Modelo de recurso (1ª instância)</w:t>
      </w:r>
    </w:p>
    <w:p>
      <w:pPr>
        <w:spacing w:after="140" w:line="300"/>
        <w:jc w:val="both"/>
      </w:pPr>
      <w:r>
        <w:t xml:space="preserve">Use em até 10 dias após a resposta, se o acesso for negado, a resposta for incompleta ou não corresponder ao que foi pedido.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F7F9FC" w:color="auto" w:val="clear"/>
            <w:tcMar>
              <w:top w:type="dxa" w:w="140"/>
              <w:left w:type="dxa" w:w="200"/>
              <w:bottom w:type="dxa" w:w="140"/>
              <w:right w:type="dxa" w:w="200"/>
            </w:tcMar>
          </w:tcPr>
          <w:p>
            <w:pPr>
              <w:spacing w:after="120"/>
            </w:pPr>
            <w:r>
              <w:rPr>
                <w:b/>
                <w:bCs/>
                <w:color w:val="1F3864"/>
                <w:sz w:val="18"/>
                <w:szCs w:val="18"/>
              </w:rPr>
              <w:t xml:space="preserve">TEXTO DO PEDIDO (copiar e colar)</w:t>
            </w:r>
          </w:p>
          <w:p>
            <w:pPr>
              <w:spacing w:after="100" w:line="290"/>
              <w:jc w:val="both"/>
            </w:pPr>
            <w:r>
              <w:t xml:space="preserve">Recurso referente ao pedido de acesso à informação nº </w:t>
            </w:r>
            <w:r>
              <w:rPr>
                <w:shd w:fill="FFF2A8" w:color="auto" w:val="clear"/>
              </w:rPr>
              <w:t xml:space="preserve">[protocolo]</w:t>
            </w:r>
            <w:r>
              <w:t xml:space="preserve">, com fundamento no art. 15 da Lei nº 12.527/2011.</w:t>
            </w:r>
          </w:p>
          <w:p>
            <w:pPr>
              <w:spacing w:after="100" w:line="290"/>
              <w:jc w:val="both"/>
            </w:pPr>
            <w:r>
              <w:t xml:space="preserve">A resposta </w:t>
            </w:r>
            <w:r>
              <w:rPr>
                <w:shd w:fill="FFF2A8" w:color="auto" w:val="clear"/>
              </w:rPr>
              <w:t xml:space="preserve">[negou o acesso / não forneceu os itens X e Y / não indicou o fundamento do sigilo]</w:t>
            </w:r>
            <w:r>
              <w:t xml:space="preserve">. As informações pedidas referem-se à gestão de recursos públicos e a atos administrativos já editados. Por isso o acesso deve ser garantido (arts. 7º, VI e § 3º, e 8º da Lei nº 12.527/2011; Decreto nº 7.724/2012, art. 20).</w:t>
            </w:r>
          </w:p>
          <w:p>
            <w:pPr>
              <w:spacing w:after="100" w:line="290"/>
              <w:jc w:val="both"/>
            </w:pPr>
            <w:r>
              <w:t xml:space="preserve">Caso haja informação sigilosa, requeiro o acesso à parte não sigilosa (art. 7º, § 2º), com indicação do fundamento legal, da classificação e da autoridade classificadora.</w:t>
            </w:r>
          </w:p>
          <w:p>
            <w:pPr>
              <w:spacing w:after="100" w:line="290"/>
              <w:jc w:val="both"/>
            </w:pPr>
            <w:r>
              <w:t xml:space="preserve">Requeiro a reforma da decisão e o fornecimento integral das informações solicitadas.</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Pedidos de acesso à informação</dc:title>
  <dc:creator>Un-named</dc:creator>
  <cp:lastModifiedBy>Un-named</cp:lastModifiedBy>
  <cp:revision>1</cp:revision>
  <dcterms:created xsi:type="dcterms:W3CDTF">2026-10-26T01:21:01.970Z</dcterms:created>
  <dcterms:modified xsi:type="dcterms:W3CDTF">2026-10-26T01:21:01.970Z</dcterms:modified>
</cp:coreProperties>
</file>

<file path=docProps/custom.xml><?xml version="1.0" encoding="utf-8"?>
<Properties xmlns="http://schemas.openxmlformats.org/officeDocument/2006/custom-properties" xmlns:vt="http://schemas.openxmlformats.org/officeDocument/2006/docPropsVTypes"/>
</file>