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C98" w:rsidRDefault="008F7C98" w:rsidP="008F7C98">
      <w:pPr>
        <w:pStyle w:val="NormalWeb"/>
        <w:shd w:val="clear" w:color="auto" w:fill="FFFFFF"/>
        <w:rPr>
          <w:rFonts w:ascii="Segoe UI" w:hAnsi="Segoe UI" w:cs="Segoe UI"/>
          <w:color w:val="171717"/>
        </w:rPr>
      </w:pPr>
      <w:r>
        <w:rPr>
          <w:rFonts w:ascii="Segoe UI" w:hAnsi="Segoe UI" w:cs="Segoe UI"/>
          <w:color w:val="171717"/>
        </w:rPr>
        <w:t>Data Analysis Expressions (DAX) provides many functions for creating aggregations such as sums, counts, and averages. These functions are very similar to aggregation functions used by Microsoft Excel. This section lists the statistical and aggregation functions provided in DAX.</w:t>
      </w:r>
    </w:p>
    <w:tbl>
      <w:tblPr>
        <w:tblW w:w="6540" w:type="dxa"/>
        <w:tblLook w:val="04A0" w:firstRow="1" w:lastRow="0" w:firstColumn="1" w:lastColumn="0" w:noHBand="0" w:noVBand="1"/>
      </w:tblPr>
      <w:tblGrid>
        <w:gridCol w:w="1980"/>
        <w:gridCol w:w="4560"/>
      </w:tblGrid>
      <w:tr w:rsidR="002F3C75" w:rsidRPr="002F3C75" w:rsidTr="002F3C75">
        <w:trPr>
          <w:trHeight w:val="340"/>
        </w:trPr>
        <w:tc>
          <w:tcPr>
            <w:tcW w:w="1980" w:type="dxa"/>
            <w:tcBorders>
              <w:top w:val="nil"/>
              <w:left w:val="nil"/>
              <w:bottom w:val="nil"/>
              <w:right w:val="nil"/>
            </w:tcBorders>
            <w:shd w:val="clear" w:color="000000" w:fill="FFFFFF"/>
            <w:vAlign w:val="bottom"/>
            <w:hideMark/>
          </w:tcPr>
          <w:p w:rsidR="002F3C75" w:rsidRPr="002F3C75" w:rsidRDefault="002F3C75" w:rsidP="002F3C75">
            <w:pPr>
              <w:spacing w:after="0" w:line="240" w:lineRule="auto"/>
              <w:rPr>
                <w:rFonts w:ascii="Segoe UI" w:eastAsia="Times New Roman" w:hAnsi="Segoe UI" w:cs="Segoe UI"/>
                <w:b/>
                <w:bCs/>
                <w:color w:val="171717"/>
              </w:rPr>
            </w:pPr>
            <w:r w:rsidRPr="002F3C75">
              <w:rPr>
                <w:rFonts w:ascii="Segoe UI" w:eastAsia="Times New Roman" w:hAnsi="Segoe UI" w:cs="Segoe UI"/>
                <w:b/>
                <w:bCs/>
                <w:color w:val="171717"/>
              </w:rPr>
              <w:t>Function</w:t>
            </w:r>
          </w:p>
        </w:tc>
        <w:tc>
          <w:tcPr>
            <w:tcW w:w="4560" w:type="dxa"/>
            <w:tcBorders>
              <w:top w:val="nil"/>
              <w:left w:val="nil"/>
              <w:bottom w:val="nil"/>
              <w:right w:val="nil"/>
            </w:tcBorders>
            <w:shd w:val="clear" w:color="000000" w:fill="FFFFFF"/>
            <w:vAlign w:val="bottom"/>
            <w:hideMark/>
          </w:tcPr>
          <w:p w:rsidR="002F3C75" w:rsidRPr="002F3C75" w:rsidRDefault="002F3C75" w:rsidP="002F3C75">
            <w:pPr>
              <w:spacing w:after="0" w:line="240" w:lineRule="auto"/>
              <w:rPr>
                <w:rFonts w:ascii="Segoe UI" w:eastAsia="Times New Roman" w:hAnsi="Segoe UI" w:cs="Segoe UI"/>
                <w:b/>
                <w:bCs/>
                <w:color w:val="171717"/>
              </w:rPr>
            </w:pPr>
            <w:r w:rsidRPr="002F3C75">
              <w:rPr>
                <w:rFonts w:ascii="Segoe UI" w:eastAsia="Times New Roman" w:hAnsi="Segoe UI" w:cs="Segoe UI"/>
                <w:b/>
                <w:bCs/>
                <w:color w:val="171717"/>
              </w:rPr>
              <w:t>Description</w:t>
            </w:r>
          </w:p>
        </w:tc>
      </w:tr>
      <w:tr w:rsidR="002F3C75" w:rsidRPr="002F3C75" w:rsidTr="002F3C75">
        <w:trPr>
          <w:trHeight w:val="67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4" w:history="1">
              <w:r w:rsidRPr="002F3C75">
                <w:rPr>
                  <w:rFonts w:ascii="Calibri" w:eastAsia="Times New Roman" w:hAnsi="Calibri" w:cs="Calibri"/>
                  <w:color w:val="0563C1"/>
                  <w:u w:val="single"/>
                </w:rPr>
                <w:t>AVERAGE</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Returns the average (arithmetic mean) of all the numbers in a column.</w:t>
            </w:r>
          </w:p>
        </w:tc>
      </w:tr>
      <w:tr w:rsidR="002F3C75" w:rsidRPr="002F3C75" w:rsidTr="002F3C75">
        <w:trPr>
          <w:trHeight w:val="67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5" w:history="1">
              <w:r w:rsidRPr="002F3C75">
                <w:rPr>
                  <w:rFonts w:ascii="Calibri" w:eastAsia="Times New Roman" w:hAnsi="Calibri" w:cs="Calibri"/>
                  <w:color w:val="0563C1"/>
                  <w:u w:val="single"/>
                </w:rPr>
                <w:t>AVERAGEX</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Calculates the average (arithmetic mean) of a set of expressions evaluated over a table.</w:t>
            </w:r>
          </w:p>
        </w:tc>
      </w:tr>
      <w:tr w:rsidR="002F3C75" w:rsidRPr="002F3C75" w:rsidTr="002F3C75">
        <w:trPr>
          <w:trHeight w:val="67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6" w:history="1">
              <w:r w:rsidRPr="002F3C75">
                <w:rPr>
                  <w:rFonts w:ascii="Calibri" w:eastAsia="Times New Roman" w:hAnsi="Calibri" w:cs="Calibri"/>
                  <w:color w:val="0563C1"/>
                  <w:u w:val="single"/>
                </w:rPr>
                <w:t>COUNT</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The COUNT function counts the number of cells in a column that contain numbers.</w:t>
            </w:r>
          </w:p>
        </w:tc>
      </w:tr>
      <w:tr w:rsidR="002F3C75" w:rsidRPr="002F3C75" w:rsidTr="002F3C75">
        <w:trPr>
          <w:trHeight w:val="100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7" w:history="1">
              <w:r w:rsidRPr="002F3C75">
                <w:rPr>
                  <w:rFonts w:ascii="Calibri" w:eastAsia="Times New Roman" w:hAnsi="Calibri" w:cs="Calibri"/>
                  <w:color w:val="0563C1"/>
                  <w:u w:val="single"/>
                </w:rPr>
                <w:t>COUNTROWS</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The COUNTROWS function counts the number of rows in the specified table, or in a table defined by an expression.</w:t>
            </w:r>
          </w:p>
        </w:tc>
      </w:tr>
      <w:tr w:rsidR="002F3C75" w:rsidRPr="002F3C75" w:rsidTr="002F3C75">
        <w:trPr>
          <w:trHeight w:val="67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8" w:history="1">
              <w:r w:rsidRPr="002F3C75">
                <w:rPr>
                  <w:rFonts w:ascii="Calibri" w:eastAsia="Times New Roman" w:hAnsi="Calibri" w:cs="Calibri"/>
                  <w:color w:val="0563C1"/>
                  <w:u w:val="single"/>
                </w:rPr>
                <w:t>MAX</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Returns the largest numeric value in a column, or between two scalar expressions.</w:t>
            </w:r>
          </w:p>
        </w:tc>
      </w:tr>
      <w:tr w:rsidR="002F3C75" w:rsidRPr="002F3C75" w:rsidTr="002F3C75">
        <w:trPr>
          <w:trHeight w:val="67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9" w:history="1">
              <w:r w:rsidRPr="002F3C75">
                <w:rPr>
                  <w:rFonts w:ascii="Calibri" w:eastAsia="Times New Roman" w:hAnsi="Calibri" w:cs="Calibri"/>
                  <w:color w:val="0563C1"/>
                  <w:u w:val="single"/>
                </w:rPr>
                <w:t>MAXX</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Evaluates an expression for each row of a table and returns the largest numeric value.</w:t>
            </w:r>
          </w:p>
        </w:tc>
      </w:tr>
      <w:tr w:rsidR="002F3C75" w:rsidRPr="002F3C75" w:rsidTr="002F3C75">
        <w:trPr>
          <w:trHeight w:val="67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10" w:history="1">
              <w:r w:rsidRPr="002F3C75">
                <w:rPr>
                  <w:rFonts w:ascii="Calibri" w:eastAsia="Times New Roman" w:hAnsi="Calibri" w:cs="Calibri"/>
                  <w:color w:val="0563C1"/>
                  <w:u w:val="single"/>
                </w:rPr>
                <w:t>MIN</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Returns the smallest numeric value in a column, or between two scalar expressions.</w:t>
            </w:r>
          </w:p>
        </w:tc>
      </w:tr>
      <w:tr w:rsidR="002F3C75" w:rsidRPr="002F3C75" w:rsidTr="002F3C75">
        <w:trPr>
          <w:trHeight w:val="100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11" w:history="1">
              <w:r w:rsidRPr="002F3C75">
                <w:rPr>
                  <w:rFonts w:ascii="Calibri" w:eastAsia="Times New Roman" w:hAnsi="Calibri" w:cs="Calibri"/>
                  <w:color w:val="0563C1"/>
                  <w:u w:val="single"/>
                </w:rPr>
                <w:t>MINX</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 xml:space="preserve">Returns the smallest numeric value </w:t>
            </w:r>
            <w:proofErr w:type="gramStart"/>
            <w:r w:rsidRPr="002F3C75">
              <w:rPr>
                <w:rFonts w:ascii="Segoe UI" w:eastAsia="Times New Roman" w:hAnsi="Segoe UI" w:cs="Segoe UI"/>
                <w:color w:val="171717"/>
              </w:rPr>
              <w:t>that results</w:t>
            </w:r>
            <w:proofErr w:type="gramEnd"/>
            <w:r w:rsidRPr="002F3C75">
              <w:rPr>
                <w:rFonts w:ascii="Segoe UI" w:eastAsia="Times New Roman" w:hAnsi="Segoe UI" w:cs="Segoe UI"/>
                <w:color w:val="171717"/>
              </w:rPr>
              <w:t xml:space="preserve"> from evaluating an expression for each row of a table.</w:t>
            </w:r>
          </w:p>
        </w:tc>
      </w:tr>
      <w:tr w:rsidR="002F3C75" w:rsidRPr="002F3C75" w:rsidTr="002F3C75">
        <w:trPr>
          <w:trHeight w:val="660"/>
        </w:trPr>
        <w:tc>
          <w:tcPr>
            <w:tcW w:w="198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Calibri" w:eastAsia="Times New Roman" w:hAnsi="Calibri" w:cs="Calibri"/>
                <w:color w:val="0563C1"/>
                <w:u w:val="single"/>
              </w:rPr>
            </w:pPr>
            <w:hyperlink r:id="rId12" w:history="1">
              <w:r w:rsidRPr="002F3C75">
                <w:rPr>
                  <w:rFonts w:ascii="Calibri" w:eastAsia="Times New Roman" w:hAnsi="Calibri" w:cs="Calibri"/>
                  <w:color w:val="0563C1"/>
                  <w:u w:val="single"/>
                </w:rPr>
                <w:t>RANKX</w:t>
              </w:r>
            </w:hyperlink>
          </w:p>
        </w:tc>
        <w:tc>
          <w:tcPr>
            <w:tcW w:w="4560" w:type="dxa"/>
            <w:tcBorders>
              <w:top w:val="single" w:sz="8" w:space="0" w:color="000000"/>
              <w:left w:val="nil"/>
              <w:bottom w:val="nil"/>
              <w:right w:val="nil"/>
            </w:tcBorders>
            <w:shd w:val="clear" w:color="000000" w:fill="FFFFFF"/>
            <w:hideMark/>
          </w:tcPr>
          <w:p w:rsidR="002F3C75" w:rsidRPr="002F3C75" w:rsidRDefault="002F3C75" w:rsidP="002F3C75">
            <w:pPr>
              <w:spacing w:after="0" w:line="240" w:lineRule="auto"/>
              <w:rPr>
                <w:rFonts w:ascii="Segoe UI" w:eastAsia="Times New Roman" w:hAnsi="Segoe UI" w:cs="Segoe UI"/>
                <w:color w:val="171717"/>
              </w:rPr>
            </w:pPr>
            <w:r w:rsidRPr="002F3C75">
              <w:rPr>
                <w:rFonts w:ascii="Segoe UI" w:eastAsia="Times New Roman" w:hAnsi="Segoe UI" w:cs="Segoe UI"/>
                <w:color w:val="171717"/>
              </w:rPr>
              <w:t>Returns the ranking of a number in a list of numbers for each row in the </w:t>
            </w:r>
            <w:r w:rsidRPr="002F3C75">
              <w:rPr>
                <w:rFonts w:ascii="Segoe UI" w:eastAsia="Times New Roman" w:hAnsi="Segoe UI" w:cs="Segoe UI"/>
                <w:i/>
                <w:iCs/>
                <w:color w:val="171717"/>
              </w:rPr>
              <w:t>table</w:t>
            </w:r>
            <w:r w:rsidRPr="002F3C75">
              <w:rPr>
                <w:rFonts w:ascii="Segoe UI" w:eastAsia="Times New Roman" w:hAnsi="Segoe UI" w:cs="Segoe UI"/>
                <w:color w:val="171717"/>
              </w:rPr>
              <w:t> argument.</w:t>
            </w:r>
          </w:p>
        </w:tc>
      </w:tr>
    </w:tbl>
    <w:p w:rsidR="008F7C98" w:rsidRDefault="008F7C98" w:rsidP="008F7C98">
      <w:pPr>
        <w:pStyle w:val="NormalWeb"/>
        <w:shd w:val="clear" w:color="auto" w:fill="FFFFFF"/>
        <w:rPr>
          <w:rFonts w:ascii="Segoe UI" w:hAnsi="Segoe UI" w:cs="Segoe UI"/>
          <w:color w:val="171717"/>
        </w:rPr>
      </w:pPr>
      <w:bookmarkStart w:id="0" w:name="_GoBack"/>
      <w:bookmarkEnd w:id="0"/>
    </w:p>
    <w:tbl>
      <w:tblPr>
        <w:tblW w:w="9925" w:type="dxa"/>
        <w:tblCellMar>
          <w:top w:w="15" w:type="dxa"/>
          <w:left w:w="15" w:type="dxa"/>
          <w:bottom w:w="15" w:type="dxa"/>
          <w:right w:w="15" w:type="dxa"/>
        </w:tblCellMar>
        <w:tblLook w:val="04A0" w:firstRow="1" w:lastRow="0" w:firstColumn="1" w:lastColumn="0" w:noHBand="0" w:noVBand="1"/>
      </w:tblPr>
      <w:tblGrid>
        <w:gridCol w:w="2824"/>
        <w:gridCol w:w="7101"/>
      </w:tblGrid>
      <w:tr w:rsidR="008F7C98" w:rsidTr="008F7C98">
        <w:trPr>
          <w:tblHeader/>
        </w:trPr>
        <w:tc>
          <w:tcPr>
            <w:tcW w:w="0" w:type="auto"/>
            <w:gridSpan w:val="2"/>
            <w:tcBorders>
              <w:top w:val="nil"/>
              <w:left w:val="nil"/>
              <w:bottom w:val="nil"/>
              <w:right w:val="nil"/>
            </w:tcBorders>
            <w:vAlign w:val="center"/>
            <w:hideMark/>
          </w:tcPr>
          <w:p w:rsidR="008F7C98" w:rsidRDefault="008F7C98">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w:t>
            </w:r>
            <w:r>
              <w:rPr>
                <w:b/>
                <w:bCs/>
                <w:caps/>
                <w:spacing w:val="30"/>
              </w:rPr>
              <w:t>ABLE 1</w:t>
            </w:r>
          </w:p>
        </w:tc>
      </w:tr>
      <w:tr w:rsidR="008F7C98" w:rsidTr="008F7C98">
        <w:trPr>
          <w:tblHeader/>
        </w:trPr>
        <w:tc>
          <w:tcPr>
            <w:tcW w:w="0" w:type="auto"/>
            <w:tcBorders>
              <w:top w:val="nil"/>
              <w:left w:val="single" w:sz="2" w:space="0" w:color="auto"/>
              <w:bottom w:val="nil"/>
              <w:right w:val="single" w:sz="2" w:space="0" w:color="auto"/>
            </w:tcBorders>
            <w:vAlign w:val="bottom"/>
            <w:hideMark/>
          </w:tcPr>
          <w:p w:rsidR="008F7C98" w:rsidRDefault="008F7C98">
            <w:pPr>
              <w:rPr>
                <w:b/>
                <w:bCs/>
              </w:rPr>
            </w:pPr>
            <w:r>
              <w:rPr>
                <w:b/>
                <w:bCs/>
              </w:rPr>
              <w:t>Function</w:t>
            </w:r>
          </w:p>
        </w:tc>
        <w:tc>
          <w:tcPr>
            <w:tcW w:w="0" w:type="auto"/>
            <w:tcBorders>
              <w:top w:val="nil"/>
              <w:left w:val="single" w:sz="2" w:space="0" w:color="auto"/>
              <w:bottom w:val="nil"/>
              <w:right w:val="single" w:sz="2" w:space="0" w:color="auto"/>
            </w:tcBorders>
            <w:vAlign w:val="bottom"/>
            <w:hideMark/>
          </w:tcPr>
          <w:p w:rsidR="008F7C98" w:rsidRDefault="008F7C98">
            <w:pPr>
              <w:rPr>
                <w:b/>
                <w:bCs/>
              </w:rPr>
            </w:pPr>
            <w:r>
              <w:rPr>
                <w:b/>
                <w:bCs/>
              </w:rPr>
              <w:t>Description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13" w:history="1">
              <w:r>
                <w:rPr>
                  <w:rStyle w:val="Hyperlink"/>
                </w:rPr>
                <w:t>ADDCOLUMNS</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Adds calculated columns to the given table or table expression.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14" w:history="1">
              <w:r>
                <w:rPr>
                  <w:rStyle w:val="Hyperlink"/>
                </w:rPr>
                <w:t>APPROXIMATEDISTINCTCOUNT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w:t>
            </w:r>
            <w:r>
              <w:rPr>
                <w:rStyle w:val="Emphasis"/>
              </w:rPr>
              <w:t>approximate</w:t>
            </w:r>
            <w:r>
              <w:t> number of rows that contain distinct values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15" w:history="1">
              <w:r>
                <w:rPr>
                  <w:rStyle w:val="Hyperlink"/>
                </w:rPr>
                <w:t>AVERAGE</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average (arithmetic mean) of all the numbers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16" w:history="1">
              <w:r>
                <w:rPr>
                  <w:rStyle w:val="Hyperlink"/>
                </w:rPr>
                <w:t>AVERAGEA</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average (arithmetic mean) of the values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17" w:history="1">
              <w:r>
                <w:rPr>
                  <w:rStyle w:val="Hyperlink"/>
                </w:rPr>
                <w:t>AVERAGEX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Calculates the average (arithmetic mean) of a set of expressions evaluated over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18" w:history="1">
              <w:r>
                <w:rPr>
                  <w:rStyle w:val="Hyperlink"/>
                </w:rPr>
                <w:t>BETA.DIST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beta 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19" w:history="1">
              <w:r>
                <w:rPr>
                  <w:rStyle w:val="Hyperlink"/>
                </w:rPr>
                <w:t>BETA.INV</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inverse of the beta cumulative probability density function (BETA.DIST).</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0" w:history="1">
              <w:r>
                <w:rPr>
                  <w:rStyle w:val="Hyperlink"/>
                </w:rPr>
                <w:t>CHISQ.INV</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inverse of the left-tailed probability of the chi-squared 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1" w:history="1">
              <w:r>
                <w:rPr>
                  <w:rStyle w:val="Hyperlink"/>
                </w:rPr>
                <w:t>CHISQ.INV.RT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inverse of the right-tailed probability of the chi-squared 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2" w:history="1">
              <w:r>
                <w:rPr>
                  <w:rStyle w:val="Hyperlink"/>
                </w:rPr>
                <w:t>CONFIDENCE.NORM</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The confidence interval is a range of values.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3" w:history="1">
              <w:r>
                <w:rPr>
                  <w:rStyle w:val="Hyperlink"/>
                </w:rPr>
                <w:t>CONFIDENCE.T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confidence interval for a population mean, using a Student's t 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4" w:history="1">
              <w:r>
                <w:rPr>
                  <w:rStyle w:val="Hyperlink"/>
                </w:rPr>
                <w:t>COUNT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The COUNT function counts the number of cells in a column that contain numbers.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5" w:history="1">
              <w:r>
                <w:rPr>
                  <w:rStyle w:val="Hyperlink"/>
                </w:rPr>
                <w:t>COUNTA</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The COUNTA function counts the number of cells in a column that are not empty.</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6" w:history="1">
              <w:r>
                <w:rPr>
                  <w:rStyle w:val="Hyperlink"/>
                </w:rPr>
                <w:t>COUNTAX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The COUNTAX function counts nonblank results when evaluating the result of an expression over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7" w:history="1">
              <w:r>
                <w:rPr>
                  <w:rStyle w:val="Hyperlink"/>
                </w:rPr>
                <w:t>COUNTBLANK</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Counts the number of blank cells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8" w:history="1">
              <w:r>
                <w:rPr>
                  <w:rStyle w:val="Hyperlink"/>
                </w:rPr>
                <w:t>COUNTROWS</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The COUNTROWS function counts the number of rows in the specified table, or in a table defined by an expression.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29" w:history="1">
              <w:r>
                <w:rPr>
                  <w:rStyle w:val="Hyperlink"/>
                </w:rPr>
                <w:t>COUNTX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Counts the number of rows that contain a number or an expression that evaluates to a number, when evaluating an expression over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0" w:history="1">
              <w:r>
                <w:rPr>
                  <w:rStyle w:val="Hyperlink"/>
                </w:rPr>
                <w:t>CROSSJOIN</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a table that contains the Cartesian product of all rows from all tables in the arguments.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1" w:history="1">
              <w:r>
                <w:rPr>
                  <w:rStyle w:val="Hyperlink"/>
                </w:rPr>
                <w:t>DATATABLE</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Provides a mechanism for declaring an inline set of data values.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2" w:history="1">
              <w:r>
                <w:rPr>
                  <w:rStyle w:val="Hyperlink"/>
                </w:rPr>
                <w:t>DISTINCTCOUNT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Counts the number of distinct values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3" w:history="1">
              <w:r>
                <w:rPr>
                  <w:rStyle w:val="Hyperlink"/>
                </w:rPr>
                <w:t>DISTINCTCOUNTNOBLANK</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Counts the number of distinct values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4" w:history="1">
              <w:r>
                <w:rPr>
                  <w:rStyle w:val="Hyperlink"/>
                </w:rPr>
                <w:t>EXPON.DIST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exponential 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5" w:history="1">
              <w:r>
                <w:rPr>
                  <w:rStyle w:val="Hyperlink"/>
                </w:rPr>
                <w:t>GENERATE</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a table with the Cartesian product between each row in </w:t>
            </w:r>
            <w:r>
              <w:rPr>
                <w:rStyle w:val="Emphasis"/>
              </w:rPr>
              <w:t>table1</w:t>
            </w:r>
            <w:r>
              <w:t> and the table that results from evaluating </w:t>
            </w:r>
            <w:r>
              <w:rPr>
                <w:rStyle w:val="Emphasis"/>
              </w:rPr>
              <w:t>table2</w:t>
            </w:r>
            <w:r>
              <w:t> in the context of the current row from </w:t>
            </w:r>
            <w:r>
              <w:rPr>
                <w:rStyle w:val="Emphasis"/>
              </w:rPr>
              <w:t>table1</w:t>
            </w:r>
            <w:r>
              <w:t>.</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6" w:history="1">
              <w:r>
                <w:rPr>
                  <w:rStyle w:val="Hyperlink"/>
                </w:rPr>
                <w:t>GENERATEALL</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a table with the Cartesian product between each row in </w:t>
            </w:r>
            <w:r>
              <w:rPr>
                <w:rStyle w:val="Emphasis"/>
              </w:rPr>
              <w:t>table1</w:t>
            </w:r>
            <w:r>
              <w:t> and the table that results from evaluating </w:t>
            </w:r>
            <w:r>
              <w:rPr>
                <w:rStyle w:val="Emphasis"/>
              </w:rPr>
              <w:t>table2</w:t>
            </w:r>
            <w:r>
              <w:t> in the context of the current row from </w:t>
            </w:r>
            <w:r>
              <w:rPr>
                <w:rStyle w:val="Emphasis"/>
              </w:rPr>
              <w:t>table1</w:t>
            </w:r>
            <w:r>
              <w:t>.</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7" w:history="1">
              <w:r>
                <w:rPr>
                  <w:rStyle w:val="Hyperlink"/>
                </w:rPr>
                <w:t>GEOMEAN</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geometric mean of the numbers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8" w:history="1">
              <w:r>
                <w:rPr>
                  <w:rStyle w:val="Hyperlink"/>
                </w:rPr>
                <w:t>GEOMEANX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geometric mean of an expression evaluated for each row in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39" w:history="1">
              <w:r>
                <w:rPr>
                  <w:rStyle w:val="Hyperlink"/>
                </w:rPr>
                <w:t>MAX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largest numeric value in a column, or between two scalar expressions.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0" w:history="1">
              <w:r>
                <w:rPr>
                  <w:rStyle w:val="Hyperlink"/>
                </w:rPr>
                <w:t>MAXA</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largest value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1" w:history="1">
              <w:r>
                <w:rPr>
                  <w:rStyle w:val="Hyperlink"/>
                </w:rPr>
                <w:t>MAXX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Evaluates an expression for each row of a table and returns the largest numeric value.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2" w:history="1">
              <w:r>
                <w:rPr>
                  <w:rStyle w:val="Hyperlink"/>
                </w:rPr>
                <w:t>MEDIAN</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median of numbers in a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3" w:history="1">
              <w:r>
                <w:rPr>
                  <w:rStyle w:val="Hyperlink"/>
                </w:rPr>
                <w:t>MEDIANX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median number of an expression evaluated for each row in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4" w:history="1">
              <w:r>
                <w:rPr>
                  <w:rStyle w:val="Hyperlink"/>
                </w:rPr>
                <w:t>MIN</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smallest numeric value in a column, or between two scalar expressions.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5" w:history="1">
              <w:r>
                <w:rPr>
                  <w:rStyle w:val="Hyperlink"/>
                </w:rPr>
                <w:t>MINA</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smallest value in a column, including any logical values and numbers represented as text.</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6" w:history="1">
              <w:r>
                <w:rPr>
                  <w:rStyle w:val="Hyperlink"/>
                </w:rPr>
                <w:t>MINX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 xml:space="preserve">Returns the smallest numeric value </w:t>
            </w:r>
            <w:proofErr w:type="gramStart"/>
            <w:r>
              <w:t>that results</w:t>
            </w:r>
            <w:proofErr w:type="gramEnd"/>
            <w:r>
              <w:t xml:space="preserve"> from evaluating an expression for each row of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7" w:history="1">
              <w:r>
                <w:rPr>
                  <w:rStyle w:val="Hyperlink"/>
                </w:rPr>
                <w:t>NORM.DIST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normal distribution for the specified mean and standard deviation.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8" w:history="1">
              <w:r>
                <w:rPr>
                  <w:rStyle w:val="Hyperlink"/>
                </w:rPr>
                <w:t>NORM.INV</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The inverse of the normal cumulative distribution for the specified mean and standard deviation.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49" w:history="1">
              <w:r>
                <w:rPr>
                  <w:rStyle w:val="Hyperlink"/>
                </w:rPr>
                <w:t>NORM.S.DIST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standard normal distribution (has a mean of zero and a standard deviation of one).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0" w:history="1">
              <w:r>
                <w:rPr>
                  <w:rStyle w:val="Hyperlink"/>
                </w:rPr>
                <w:t>NORM.S.INV</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inverse of the standard normal cumulative 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1" w:history="1">
              <w:r>
                <w:rPr>
                  <w:rStyle w:val="Hyperlink"/>
                </w:rPr>
                <w:t>PERCENTILE.EXC</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k-</w:t>
            </w:r>
            <w:proofErr w:type="spellStart"/>
            <w:r>
              <w:t>th</w:t>
            </w:r>
            <w:proofErr w:type="spellEnd"/>
            <w:r>
              <w:t xml:space="preserve"> percentile of values in a range, where k is in the range 0</w:t>
            </w:r>
            <w:proofErr w:type="gramStart"/>
            <w:r>
              <w:t>..1</w:t>
            </w:r>
            <w:proofErr w:type="gramEnd"/>
            <w:r>
              <w:t>, exclusive.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2" w:history="1">
              <w:r>
                <w:rPr>
                  <w:rStyle w:val="Hyperlink"/>
                </w:rPr>
                <w:t>PERCENTILE.INC</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k-</w:t>
            </w:r>
            <w:proofErr w:type="spellStart"/>
            <w:r>
              <w:t>th</w:t>
            </w:r>
            <w:proofErr w:type="spellEnd"/>
            <w:r>
              <w:t xml:space="preserve"> percentile of values in a range, where k is in the range 0</w:t>
            </w:r>
            <w:proofErr w:type="gramStart"/>
            <w:r>
              <w:t>..1</w:t>
            </w:r>
            <w:proofErr w:type="gramEnd"/>
            <w:r>
              <w:t>, inclusive.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3" w:history="1">
              <w:r>
                <w:rPr>
                  <w:rStyle w:val="Hyperlink"/>
                </w:rPr>
                <w:t>PERCENTILEX.EXC</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percentile number of an expression evaluated for each row in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4" w:history="1">
              <w:r>
                <w:rPr>
                  <w:rStyle w:val="Hyperlink"/>
                </w:rPr>
                <w:t>PERCENTILEX.INC</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percentile number of an expression evaluated for each row in a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5" w:history="1">
              <w:r>
                <w:rPr>
                  <w:rStyle w:val="Hyperlink"/>
                </w:rPr>
                <w:t>POISSON.DIST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Poisson 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6" w:history="1">
              <w:r>
                <w:rPr>
                  <w:rStyle w:val="Hyperlink"/>
                </w:rPr>
                <w:t>RANK.EQ</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ranking of a number in a list of numbers.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7" w:history="1">
              <w:r>
                <w:rPr>
                  <w:rStyle w:val="Hyperlink"/>
                </w:rPr>
                <w:t>RANKX</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ranking of a number in a list of numbers for each row in the </w:t>
            </w:r>
            <w:r>
              <w:rPr>
                <w:rStyle w:val="Emphasis"/>
              </w:rPr>
              <w:t>table</w:t>
            </w:r>
            <w:r>
              <w:t> argument.</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8" w:history="1">
              <w:r>
                <w:rPr>
                  <w:rStyle w:val="Hyperlink"/>
                </w:rPr>
                <w:t>ROW</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a table with a single row containing values that result from the expressions given to each column.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59" w:history="1">
              <w:r>
                <w:rPr>
                  <w:rStyle w:val="Hyperlink"/>
                </w:rPr>
                <w:t>SAMPLE</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a sample of N rows from the specified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0" w:history="1">
              <w:r>
                <w:rPr>
                  <w:rStyle w:val="Hyperlink"/>
                </w:rPr>
                <w:t>SELECTCOLUMNS</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Adds calculated columns to the given table or table expression.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1" w:history="1">
              <w:r>
                <w:rPr>
                  <w:rStyle w:val="Hyperlink"/>
                </w:rPr>
                <w:t>SIN</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sine of the given angle.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2" w:history="1">
              <w:r>
                <w:rPr>
                  <w:rStyle w:val="Hyperlink"/>
                </w:rPr>
                <w:t>SINH</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hyperbolic sine of a number.</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3" w:history="1">
              <w:r>
                <w:rPr>
                  <w:rStyle w:val="Hyperlink"/>
                </w:rPr>
                <w:t>STDEV.P</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standard deviation of the entire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4" w:history="1">
              <w:r>
                <w:rPr>
                  <w:rStyle w:val="Hyperlink"/>
                </w:rPr>
                <w:t>STDEV.S</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standard deviation of a sample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5" w:history="1">
              <w:r>
                <w:rPr>
                  <w:rStyle w:val="Hyperlink"/>
                </w:rPr>
                <w:t>STDEVX.P</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standard deviation of the entire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6" w:history="1">
              <w:r>
                <w:rPr>
                  <w:rStyle w:val="Hyperlink"/>
                </w:rPr>
                <w:t>STDEVX.S</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standard deviation of a sample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7" w:history="1">
              <w:r>
                <w:rPr>
                  <w:rStyle w:val="Hyperlink"/>
                </w:rPr>
                <w:t>SQRTPI</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square root of (number * pi).</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8" w:history="1">
              <w:r>
                <w:rPr>
                  <w:rStyle w:val="Hyperlink"/>
                </w:rPr>
                <w:t>SUMMARIZE</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a summary table for the requested totals over a set of groups.</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69" w:history="1">
              <w:r>
                <w:rPr>
                  <w:rStyle w:val="Hyperlink"/>
                </w:rPr>
                <w:t>T.DIST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Student's left-tailed t-distribution.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0" w:history="1">
              <w:r>
                <w:rPr>
                  <w:rStyle w:val="Hyperlink"/>
                </w:rPr>
                <w:t>T.DIST.2T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two-tailed Student's t-distribution.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1" w:history="1">
              <w:r>
                <w:rPr>
                  <w:rStyle w:val="Hyperlink"/>
                </w:rPr>
                <w:t>T.DIST.RT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right-tailed Student's t-distribution.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2" w:history="1">
              <w:r>
                <w:rPr>
                  <w:rStyle w:val="Hyperlink"/>
                </w:rPr>
                <w:t>T.INV</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left-tailed inverse of the Student's t-distribution.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3" w:history="1">
              <w:r>
                <w:rPr>
                  <w:rStyle w:val="Hyperlink"/>
                </w:rPr>
                <w:t>T.INV.2t</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two-tailed inverse of the Student's t-distribution.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4" w:history="1">
              <w:r>
                <w:rPr>
                  <w:rStyle w:val="Hyperlink"/>
                </w:rPr>
                <w:t>TAN</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tangent of the given angle.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5" w:history="1">
              <w:r>
                <w:rPr>
                  <w:rStyle w:val="Hyperlink"/>
                </w:rPr>
                <w:t>TANH</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hyperbolic tangent of a number.</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6" w:history="1">
              <w:r>
                <w:rPr>
                  <w:rStyle w:val="Hyperlink"/>
                </w:rPr>
                <w:t>TOPN</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top N rows of the specified table.</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7" w:history="1">
              <w:r>
                <w:rPr>
                  <w:rStyle w:val="Hyperlink"/>
                </w:rPr>
                <w:t>VAR.P</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variance of the entire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8" w:history="1">
              <w:r>
                <w:rPr>
                  <w:rStyle w:val="Hyperlink"/>
                </w:rPr>
                <w:t>VAR.S</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variance of a sample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79" w:history="1">
              <w:r>
                <w:rPr>
                  <w:rStyle w:val="Hyperlink"/>
                </w:rPr>
                <w:t>VARX.P</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variance of the entire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80" w:history="1">
              <w:r>
                <w:rPr>
                  <w:rStyle w:val="Hyperlink"/>
                </w:rPr>
                <w:t>VARX.S</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variance of a sample population.</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81" w:history="1">
              <w:r>
                <w:rPr>
                  <w:rStyle w:val="Hyperlink"/>
                </w:rPr>
                <w:t>XIRR</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internal rate of return for a schedule of cash flows that is not necessarily periodic.</w:t>
            </w:r>
          </w:p>
        </w:tc>
      </w:tr>
      <w:tr w:rsidR="008F7C98" w:rsidTr="008F7C98">
        <w:tc>
          <w:tcPr>
            <w:tcW w:w="0" w:type="auto"/>
            <w:tcBorders>
              <w:top w:val="single" w:sz="24" w:space="0" w:color="auto"/>
              <w:left w:val="single" w:sz="2" w:space="0" w:color="auto"/>
              <w:bottom w:val="single" w:sz="2" w:space="0" w:color="auto"/>
              <w:right w:val="single" w:sz="2" w:space="0" w:color="auto"/>
            </w:tcBorders>
            <w:hideMark/>
          </w:tcPr>
          <w:p w:rsidR="008F7C98" w:rsidRDefault="008F7C98">
            <w:hyperlink r:id="rId82" w:history="1">
              <w:r>
                <w:rPr>
                  <w:rStyle w:val="Hyperlink"/>
                </w:rPr>
                <w:t>XNPV</w:t>
              </w:r>
            </w:hyperlink>
          </w:p>
        </w:tc>
        <w:tc>
          <w:tcPr>
            <w:tcW w:w="0" w:type="auto"/>
            <w:tcBorders>
              <w:top w:val="single" w:sz="24" w:space="0" w:color="auto"/>
              <w:left w:val="single" w:sz="2" w:space="0" w:color="auto"/>
              <w:bottom w:val="single" w:sz="2" w:space="0" w:color="auto"/>
              <w:right w:val="single" w:sz="2" w:space="0" w:color="auto"/>
            </w:tcBorders>
            <w:hideMark/>
          </w:tcPr>
          <w:p w:rsidR="008F7C98" w:rsidRDefault="008F7C98">
            <w:r>
              <w:t>Returns the present value for a schedule of cash flows that is not necessarily periodic.</w:t>
            </w:r>
          </w:p>
        </w:tc>
      </w:tr>
    </w:tbl>
    <w:p w:rsidR="00033115" w:rsidRPr="008F7C98" w:rsidRDefault="00033115" w:rsidP="008F7C98"/>
    <w:sectPr w:rsidR="00033115" w:rsidRPr="008F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15"/>
    <w:rsid w:val="00033115"/>
    <w:rsid w:val="0019325E"/>
    <w:rsid w:val="002F3C75"/>
    <w:rsid w:val="00380093"/>
    <w:rsid w:val="00452529"/>
    <w:rsid w:val="008F7C98"/>
    <w:rsid w:val="009F5965"/>
    <w:rsid w:val="00A40A11"/>
    <w:rsid w:val="00B94240"/>
    <w:rsid w:val="00BD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F2D1"/>
  <w15:chartTrackingRefBased/>
  <w15:docId w15:val="{98FF5D6D-0BF0-462C-915E-F4DCD651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7C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033115"/>
  </w:style>
  <w:style w:type="character" w:styleId="Hyperlink">
    <w:name w:val="Hyperlink"/>
    <w:basedOn w:val="DefaultParagraphFont"/>
    <w:uiPriority w:val="99"/>
    <w:semiHidden/>
    <w:unhideWhenUsed/>
    <w:rsid w:val="00033115"/>
    <w:rPr>
      <w:color w:val="0000FF"/>
      <w:u w:val="single"/>
    </w:rPr>
  </w:style>
  <w:style w:type="character" w:customStyle="1" w:styleId="Heading2Char">
    <w:name w:val="Heading 2 Char"/>
    <w:basedOn w:val="DefaultParagraphFont"/>
    <w:link w:val="Heading2"/>
    <w:uiPriority w:val="9"/>
    <w:rsid w:val="008F7C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7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7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069">
      <w:bodyDiv w:val="1"/>
      <w:marLeft w:val="0"/>
      <w:marRight w:val="0"/>
      <w:marTop w:val="0"/>
      <w:marBottom w:val="0"/>
      <w:divBdr>
        <w:top w:val="none" w:sz="0" w:space="0" w:color="auto"/>
        <w:left w:val="none" w:sz="0" w:space="0" w:color="auto"/>
        <w:bottom w:val="none" w:sz="0" w:space="0" w:color="auto"/>
        <w:right w:val="none" w:sz="0" w:space="0" w:color="auto"/>
      </w:divBdr>
    </w:div>
    <w:div w:id="466358173">
      <w:bodyDiv w:val="1"/>
      <w:marLeft w:val="0"/>
      <w:marRight w:val="0"/>
      <w:marTop w:val="0"/>
      <w:marBottom w:val="0"/>
      <w:divBdr>
        <w:top w:val="none" w:sz="0" w:space="0" w:color="auto"/>
        <w:left w:val="none" w:sz="0" w:space="0" w:color="auto"/>
        <w:bottom w:val="none" w:sz="0" w:space="0" w:color="auto"/>
        <w:right w:val="none" w:sz="0" w:space="0" w:color="auto"/>
      </w:divBdr>
    </w:div>
    <w:div w:id="800541931">
      <w:bodyDiv w:val="1"/>
      <w:marLeft w:val="0"/>
      <w:marRight w:val="0"/>
      <w:marTop w:val="0"/>
      <w:marBottom w:val="0"/>
      <w:divBdr>
        <w:top w:val="none" w:sz="0" w:space="0" w:color="auto"/>
        <w:left w:val="none" w:sz="0" w:space="0" w:color="auto"/>
        <w:bottom w:val="none" w:sz="0" w:space="0" w:color="auto"/>
        <w:right w:val="none" w:sz="0" w:space="0" w:color="auto"/>
      </w:divBdr>
    </w:div>
    <w:div w:id="886067070">
      <w:bodyDiv w:val="1"/>
      <w:marLeft w:val="0"/>
      <w:marRight w:val="0"/>
      <w:marTop w:val="0"/>
      <w:marBottom w:val="0"/>
      <w:divBdr>
        <w:top w:val="none" w:sz="0" w:space="0" w:color="auto"/>
        <w:left w:val="none" w:sz="0" w:space="0" w:color="auto"/>
        <w:bottom w:val="none" w:sz="0" w:space="0" w:color="auto"/>
        <w:right w:val="none" w:sz="0" w:space="0" w:color="auto"/>
      </w:divBdr>
      <w:divsChild>
        <w:div w:id="992416093">
          <w:marLeft w:val="0"/>
          <w:marRight w:val="0"/>
          <w:marTop w:val="0"/>
          <w:marBottom w:val="0"/>
          <w:divBdr>
            <w:top w:val="none" w:sz="0" w:space="0" w:color="auto"/>
            <w:left w:val="none" w:sz="0" w:space="0" w:color="auto"/>
            <w:bottom w:val="none" w:sz="0" w:space="0" w:color="auto"/>
            <w:right w:val="none" w:sz="0" w:space="0" w:color="auto"/>
          </w:divBdr>
        </w:div>
      </w:divsChild>
    </w:div>
    <w:div w:id="15298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ax/addcolumns-function-dax" TargetMode="External"/><Relationship Id="rId18" Type="http://schemas.openxmlformats.org/officeDocument/2006/relationships/hyperlink" Target="https://docs.microsoft.com/en-us/dax/beta-dist-function-dax" TargetMode="External"/><Relationship Id="rId26" Type="http://schemas.openxmlformats.org/officeDocument/2006/relationships/hyperlink" Target="https://docs.microsoft.com/en-us/dax/countax-function-dax" TargetMode="External"/><Relationship Id="rId39" Type="http://schemas.openxmlformats.org/officeDocument/2006/relationships/hyperlink" Target="https://docs.microsoft.com/en-us/dax/max-function-dax" TargetMode="External"/><Relationship Id="rId21" Type="http://schemas.openxmlformats.org/officeDocument/2006/relationships/hyperlink" Target="https://docs.microsoft.com/en-us/dax/chisq-inv-rt-function-dax" TargetMode="External"/><Relationship Id="rId34" Type="http://schemas.openxmlformats.org/officeDocument/2006/relationships/hyperlink" Target="https://docs.microsoft.com/en-us/dax/expon-dist-function-dax" TargetMode="External"/><Relationship Id="rId42" Type="http://schemas.openxmlformats.org/officeDocument/2006/relationships/hyperlink" Target="https://docs.microsoft.com/en-us/dax/median-function-dax" TargetMode="External"/><Relationship Id="rId47" Type="http://schemas.openxmlformats.org/officeDocument/2006/relationships/hyperlink" Target="https://docs.microsoft.com/en-us/dax/norm-dist-dax" TargetMode="External"/><Relationship Id="rId50" Type="http://schemas.openxmlformats.org/officeDocument/2006/relationships/hyperlink" Target="https://docs.microsoft.com/en-us/dax/norm-s-inv-dax" TargetMode="External"/><Relationship Id="rId55" Type="http://schemas.openxmlformats.org/officeDocument/2006/relationships/hyperlink" Target="https://docs.microsoft.com/en-us/dax/poisson-dist-function-dax" TargetMode="External"/><Relationship Id="rId63" Type="http://schemas.openxmlformats.org/officeDocument/2006/relationships/hyperlink" Target="https://docs.microsoft.com/en-us/dax/stdev-p-function-dax" TargetMode="External"/><Relationship Id="rId68" Type="http://schemas.openxmlformats.org/officeDocument/2006/relationships/hyperlink" Target="https://docs.microsoft.com/en-us/dax/summarize-function-dax" TargetMode="External"/><Relationship Id="rId76" Type="http://schemas.openxmlformats.org/officeDocument/2006/relationships/hyperlink" Target="https://docs.microsoft.com/en-us/dax/topn-function-dax" TargetMode="External"/><Relationship Id="rId84" Type="http://schemas.openxmlformats.org/officeDocument/2006/relationships/theme" Target="theme/theme1.xml"/><Relationship Id="rId7" Type="http://schemas.openxmlformats.org/officeDocument/2006/relationships/hyperlink" Target="https://docs.microsoft.com/en-us/dax/countrows-function-dax" TargetMode="External"/><Relationship Id="rId71" Type="http://schemas.openxmlformats.org/officeDocument/2006/relationships/hyperlink" Target="https://docs.microsoft.com/en-us/dax/t-dist-rt-dax" TargetMode="External"/><Relationship Id="rId2" Type="http://schemas.openxmlformats.org/officeDocument/2006/relationships/settings" Target="settings.xml"/><Relationship Id="rId16" Type="http://schemas.openxmlformats.org/officeDocument/2006/relationships/hyperlink" Target="https://docs.microsoft.com/en-us/dax/averagea-function-dax" TargetMode="External"/><Relationship Id="rId29" Type="http://schemas.openxmlformats.org/officeDocument/2006/relationships/hyperlink" Target="https://docs.microsoft.com/en-us/dax/countx-function-dax" TargetMode="External"/><Relationship Id="rId11" Type="http://schemas.openxmlformats.org/officeDocument/2006/relationships/hyperlink" Target="https://docs.microsoft.com/en-us/dax/minx-function-dax" TargetMode="External"/><Relationship Id="rId24" Type="http://schemas.openxmlformats.org/officeDocument/2006/relationships/hyperlink" Target="https://docs.microsoft.com/en-us/dax/count-function-dax" TargetMode="External"/><Relationship Id="rId32" Type="http://schemas.openxmlformats.org/officeDocument/2006/relationships/hyperlink" Target="https://docs.microsoft.com/en-us/dax/distinctcount-function-dax" TargetMode="External"/><Relationship Id="rId37" Type="http://schemas.openxmlformats.org/officeDocument/2006/relationships/hyperlink" Target="https://docs.microsoft.com/en-us/dax/geomean-function-dax" TargetMode="External"/><Relationship Id="rId40" Type="http://schemas.openxmlformats.org/officeDocument/2006/relationships/hyperlink" Target="https://docs.microsoft.com/en-us/dax/maxa-function-dax" TargetMode="External"/><Relationship Id="rId45" Type="http://schemas.openxmlformats.org/officeDocument/2006/relationships/hyperlink" Target="https://docs.microsoft.com/en-us/dax/mina-function-dax" TargetMode="External"/><Relationship Id="rId53" Type="http://schemas.openxmlformats.org/officeDocument/2006/relationships/hyperlink" Target="https://docs.microsoft.com/en-us/dax/percentilex-exc-function-dax" TargetMode="External"/><Relationship Id="rId58" Type="http://schemas.openxmlformats.org/officeDocument/2006/relationships/hyperlink" Target="https://docs.microsoft.com/en-us/dax/row-function-dax" TargetMode="External"/><Relationship Id="rId66" Type="http://schemas.openxmlformats.org/officeDocument/2006/relationships/hyperlink" Target="https://docs.microsoft.com/en-us/dax/stdevx-s-function-dax" TargetMode="External"/><Relationship Id="rId74" Type="http://schemas.openxmlformats.org/officeDocument/2006/relationships/hyperlink" Target="https://docs.microsoft.com/en-us/dax/tan-function-dax" TargetMode="External"/><Relationship Id="rId79" Type="http://schemas.openxmlformats.org/officeDocument/2006/relationships/hyperlink" Target="https://docs.microsoft.com/en-us/dax/varx-p-function-dax" TargetMode="External"/><Relationship Id="rId5" Type="http://schemas.openxmlformats.org/officeDocument/2006/relationships/hyperlink" Target="https://docs.microsoft.com/en-us/dax/averagex-function-dax" TargetMode="External"/><Relationship Id="rId61" Type="http://schemas.openxmlformats.org/officeDocument/2006/relationships/hyperlink" Target="https://docs.microsoft.com/en-us/dax/sin-function-dax" TargetMode="External"/><Relationship Id="rId82" Type="http://schemas.openxmlformats.org/officeDocument/2006/relationships/hyperlink" Target="https://docs.microsoft.com/en-us/dax/xnpv-function-dax" TargetMode="External"/><Relationship Id="rId10" Type="http://schemas.openxmlformats.org/officeDocument/2006/relationships/hyperlink" Target="https://docs.microsoft.com/en-us/dax/min-function-dax" TargetMode="External"/><Relationship Id="rId19" Type="http://schemas.openxmlformats.org/officeDocument/2006/relationships/hyperlink" Target="https://docs.microsoft.com/en-us/dax/beta-inv-function-dax" TargetMode="External"/><Relationship Id="rId31" Type="http://schemas.openxmlformats.org/officeDocument/2006/relationships/hyperlink" Target="https://docs.microsoft.com/en-us/dax/datatable-function" TargetMode="External"/><Relationship Id="rId44" Type="http://schemas.openxmlformats.org/officeDocument/2006/relationships/hyperlink" Target="https://docs.microsoft.com/en-us/dax/min-function-dax" TargetMode="External"/><Relationship Id="rId52" Type="http://schemas.openxmlformats.org/officeDocument/2006/relationships/hyperlink" Target="https://docs.microsoft.com/en-us/dax/percentile-inc-function-dax" TargetMode="External"/><Relationship Id="rId60" Type="http://schemas.openxmlformats.org/officeDocument/2006/relationships/hyperlink" Target="https://docs.microsoft.com/en-us/dax/selectcolumns-function-dax" TargetMode="External"/><Relationship Id="rId65" Type="http://schemas.openxmlformats.org/officeDocument/2006/relationships/hyperlink" Target="https://docs.microsoft.com/en-us/dax/stdevx-p-function-dax" TargetMode="External"/><Relationship Id="rId73" Type="http://schemas.openxmlformats.org/officeDocument/2006/relationships/hyperlink" Target="https://docs.microsoft.com/en-us/dax/t-inv-2t-dax" TargetMode="External"/><Relationship Id="rId78" Type="http://schemas.openxmlformats.org/officeDocument/2006/relationships/hyperlink" Target="https://docs.microsoft.com/en-us/dax/var-s-function-dax" TargetMode="External"/><Relationship Id="rId81" Type="http://schemas.openxmlformats.org/officeDocument/2006/relationships/hyperlink" Target="https://docs.microsoft.com/en-us/dax/xirr-function-dax" TargetMode="External"/><Relationship Id="rId4" Type="http://schemas.openxmlformats.org/officeDocument/2006/relationships/hyperlink" Target="https://docs.microsoft.com/en-us/dax/average-function-dax" TargetMode="External"/><Relationship Id="rId9" Type="http://schemas.openxmlformats.org/officeDocument/2006/relationships/hyperlink" Target="https://docs.microsoft.com/en-us/dax/maxx-function-dax" TargetMode="External"/><Relationship Id="rId14" Type="http://schemas.openxmlformats.org/officeDocument/2006/relationships/hyperlink" Target="https://docs.microsoft.com/en-us/dax/approximate-distinctcount-function-dax" TargetMode="External"/><Relationship Id="rId22" Type="http://schemas.openxmlformats.org/officeDocument/2006/relationships/hyperlink" Target="https://docs.microsoft.com/en-us/dax/confidence-norm-function-dax" TargetMode="External"/><Relationship Id="rId27" Type="http://schemas.openxmlformats.org/officeDocument/2006/relationships/hyperlink" Target="https://docs.microsoft.com/en-us/dax/countblank-function-dax" TargetMode="External"/><Relationship Id="rId30" Type="http://schemas.openxmlformats.org/officeDocument/2006/relationships/hyperlink" Target="https://docs.microsoft.com/en-us/dax/crossjoin-function-dax" TargetMode="External"/><Relationship Id="rId35" Type="http://schemas.openxmlformats.org/officeDocument/2006/relationships/hyperlink" Target="https://docs.microsoft.com/en-us/dax/generate-function-dax" TargetMode="External"/><Relationship Id="rId43" Type="http://schemas.openxmlformats.org/officeDocument/2006/relationships/hyperlink" Target="https://docs.microsoft.com/en-us/dax/medianx-function-dax" TargetMode="External"/><Relationship Id="rId48" Type="http://schemas.openxmlformats.org/officeDocument/2006/relationships/hyperlink" Target="https://docs.microsoft.com/en-us/dax/norm-inv-dax" TargetMode="External"/><Relationship Id="rId56" Type="http://schemas.openxmlformats.org/officeDocument/2006/relationships/hyperlink" Target="https://docs.microsoft.com/en-us/dax/rank-eq-function-dax" TargetMode="External"/><Relationship Id="rId64" Type="http://schemas.openxmlformats.org/officeDocument/2006/relationships/hyperlink" Target="https://docs.microsoft.com/en-us/dax/stdev-s-function-dax" TargetMode="External"/><Relationship Id="rId69" Type="http://schemas.openxmlformats.org/officeDocument/2006/relationships/hyperlink" Target="https://docs.microsoft.com/en-us/dax/t-dist-dax" TargetMode="External"/><Relationship Id="rId77" Type="http://schemas.openxmlformats.org/officeDocument/2006/relationships/hyperlink" Target="https://docs.microsoft.com/en-us/dax/var-p-function-dax" TargetMode="External"/><Relationship Id="rId8" Type="http://schemas.openxmlformats.org/officeDocument/2006/relationships/hyperlink" Target="https://docs.microsoft.com/en-us/dax/max-function-dax" TargetMode="External"/><Relationship Id="rId51" Type="http://schemas.openxmlformats.org/officeDocument/2006/relationships/hyperlink" Target="https://docs.microsoft.com/en-us/dax/percentile-exc-function-dax" TargetMode="External"/><Relationship Id="rId72" Type="http://schemas.openxmlformats.org/officeDocument/2006/relationships/hyperlink" Target="https://docs.microsoft.com/en-us/dax/t-inv-dax" TargetMode="External"/><Relationship Id="rId80" Type="http://schemas.openxmlformats.org/officeDocument/2006/relationships/hyperlink" Target="https://docs.microsoft.com/en-us/dax/varx-s-function-dax" TargetMode="External"/><Relationship Id="rId3" Type="http://schemas.openxmlformats.org/officeDocument/2006/relationships/webSettings" Target="webSettings.xml"/><Relationship Id="rId12" Type="http://schemas.openxmlformats.org/officeDocument/2006/relationships/hyperlink" Target="https://docs.microsoft.com/en-us/dax/rankx-function-dax" TargetMode="External"/><Relationship Id="rId17" Type="http://schemas.openxmlformats.org/officeDocument/2006/relationships/hyperlink" Target="https://docs.microsoft.com/en-us/dax/averagex-function-dax" TargetMode="External"/><Relationship Id="rId25" Type="http://schemas.openxmlformats.org/officeDocument/2006/relationships/hyperlink" Target="https://docs.microsoft.com/en-us/dax/counta-function-dax" TargetMode="External"/><Relationship Id="rId33" Type="http://schemas.openxmlformats.org/officeDocument/2006/relationships/hyperlink" Target="https://docs.microsoft.com/en-us/dax/distinctcountnoblank-function-dax" TargetMode="External"/><Relationship Id="rId38" Type="http://schemas.openxmlformats.org/officeDocument/2006/relationships/hyperlink" Target="https://docs.microsoft.com/en-us/dax/geomeanx-function-dax" TargetMode="External"/><Relationship Id="rId46" Type="http://schemas.openxmlformats.org/officeDocument/2006/relationships/hyperlink" Target="https://docs.microsoft.com/en-us/dax/minx-function-dax" TargetMode="External"/><Relationship Id="rId59" Type="http://schemas.openxmlformats.org/officeDocument/2006/relationships/hyperlink" Target="https://docs.microsoft.com/en-us/dax/sample-function-dax" TargetMode="External"/><Relationship Id="rId67" Type="http://schemas.openxmlformats.org/officeDocument/2006/relationships/hyperlink" Target="https://docs.microsoft.com/en-us/dax/sqrtpi-function-dax" TargetMode="External"/><Relationship Id="rId20" Type="http://schemas.openxmlformats.org/officeDocument/2006/relationships/hyperlink" Target="https://docs.microsoft.com/en-us/dax/chisq-inv-function-dax" TargetMode="External"/><Relationship Id="rId41" Type="http://schemas.openxmlformats.org/officeDocument/2006/relationships/hyperlink" Target="https://docs.microsoft.com/en-us/dax/maxx-function-dax" TargetMode="External"/><Relationship Id="rId54" Type="http://schemas.openxmlformats.org/officeDocument/2006/relationships/hyperlink" Target="https://docs.microsoft.com/en-us/dax/percentilex-inc-function-dax" TargetMode="External"/><Relationship Id="rId62" Type="http://schemas.openxmlformats.org/officeDocument/2006/relationships/hyperlink" Target="https://docs.microsoft.com/en-us/dax/sinh-function-dax" TargetMode="External"/><Relationship Id="rId70" Type="http://schemas.openxmlformats.org/officeDocument/2006/relationships/hyperlink" Target="https://docs.microsoft.com/en-us/dax/t-dist-2t-dax" TargetMode="External"/><Relationship Id="rId75" Type="http://schemas.openxmlformats.org/officeDocument/2006/relationships/hyperlink" Target="https://docs.microsoft.com/en-us/dax/tanh-function-dax" TargetMode="External"/><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microsoft.com/en-us/dax/count-function-dax" TargetMode="External"/><Relationship Id="rId15" Type="http://schemas.openxmlformats.org/officeDocument/2006/relationships/hyperlink" Target="https://docs.microsoft.com/en-us/dax/average-function-dax" TargetMode="External"/><Relationship Id="rId23" Type="http://schemas.openxmlformats.org/officeDocument/2006/relationships/hyperlink" Target="https://docs.microsoft.com/en-us/dax/confidence-t-function-dax" TargetMode="External"/><Relationship Id="rId28" Type="http://schemas.openxmlformats.org/officeDocument/2006/relationships/hyperlink" Target="https://docs.microsoft.com/en-us/dax/countrows-function-dax" TargetMode="External"/><Relationship Id="rId36" Type="http://schemas.openxmlformats.org/officeDocument/2006/relationships/hyperlink" Target="https://docs.microsoft.com/en-us/dax/generateall-function-dax" TargetMode="External"/><Relationship Id="rId49" Type="http://schemas.openxmlformats.org/officeDocument/2006/relationships/hyperlink" Target="https://docs.microsoft.com/en-us/dax/norm-s-dist-dax" TargetMode="External"/><Relationship Id="rId57" Type="http://schemas.openxmlformats.org/officeDocument/2006/relationships/hyperlink" Target="https://docs.microsoft.com/en-us/dax/rankx-function-d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Singh</dc:creator>
  <cp:keywords/>
  <dc:description/>
  <cp:lastModifiedBy>Bill Singh</cp:lastModifiedBy>
  <cp:revision>4</cp:revision>
  <dcterms:created xsi:type="dcterms:W3CDTF">2020-03-19T11:31:00Z</dcterms:created>
  <dcterms:modified xsi:type="dcterms:W3CDTF">2020-03-20T10:31:00Z</dcterms:modified>
</cp:coreProperties>
</file>