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68ACA" w14:textId="77777777" w:rsidR="0061750C" w:rsidRDefault="00423DAD">
      <w:pPr>
        <w:pStyle w:val="Heading1"/>
      </w:pPr>
      <w:bookmarkStart w:id="0" w:name="X458ba2b6db134bb4c23ebb591caebc2012f4cdc"/>
      <w:r>
        <w:t>Hemagglutination Inhibition Assay (HI) Dataset</w:t>
      </w:r>
      <w:bookmarkEnd w:id="0"/>
    </w:p>
    <w:p w14:paraId="215765DD" w14:textId="7B664322" w:rsidR="0061750C" w:rsidRDefault="00423DAD">
      <w:pPr>
        <w:pStyle w:val="Heading2"/>
      </w:pPr>
      <w:bookmarkStart w:id="1" w:name="the-incentive-grant"/>
      <w:r>
        <w:t xml:space="preserve">INCENTIVE </w:t>
      </w:r>
      <w:bookmarkEnd w:id="1"/>
      <w:r w:rsidR="00555F53">
        <w:t>Project</w:t>
      </w:r>
    </w:p>
    <w:p w14:paraId="30EB9A24" w14:textId="46B75A72" w:rsidR="0061750C" w:rsidRDefault="00423DAD">
      <w:pPr>
        <w:pStyle w:val="FirstParagraph"/>
      </w:pPr>
      <w:hyperlink r:id="rId7">
        <w:r>
          <w:rPr>
            <w:rStyle w:val="Hyperlink"/>
          </w:rPr>
          <w:t>INCENTIV</w:t>
        </w:r>
        <w:r>
          <w:rPr>
            <w:rStyle w:val="Hyperlink"/>
          </w:rPr>
          <w:t>E</w:t>
        </w:r>
        <w:r>
          <w:rPr>
            <w:rStyle w:val="Hyperlink"/>
          </w:rPr>
          <w:t xml:space="preserve"> Grant</w:t>
        </w:r>
      </w:hyperlink>
      <w:r>
        <w:t xml:space="preserve"> </w:t>
      </w:r>
      <w:r w:rsidR="00555F53">
        <w:t xml:space="preserve">is </w:t>
      </w:r>
      <w:r>
        <w:t xml:space="preserve">an </w:t>
      </w:r>
      <w:r w:rsidRPr="00555F53">
        <w:rPr>
          <w:color w:val="000000" w:themeColor="text1"/>
        </w:rPr>
        <w:t xml:space="preserve">EU Horizon </w:t>
      </w:r>
      <w:r w:rsidR="00555F53" w:rsidRPr="005779F4">
        <w:t>H2020 (grant no. 874866) and the Dept. of Biotechnology, Govt. of India (project no. BT/IN/EU-INF/16/AP/19-20/11746)</w:t>
      </w:r>
      <w:r w:rsidRPr="005779F4">
        <w:t xml:space="preserve">It is a </w:t>
      </w:r>
      <w:proofErr w:type="gramStart"/>
      <w:r w:rsidRPr="005779F4">
        <w:t>5 year</w:t>
      </w:r>
      <w:proofErr w:type="gramEnd"/>
      <w:r w:rsidRPr="005779F4">
        <w:t xml:space="preserve"> grant for studying the response to influenza vaccination in India and Europe</w:t>
      </w:r>
      <w:r w:rsidR="00555F53" w:rsidRPr="005779F4">
        <w:t xml:space="preserve"> risk</w:t>
      </w:r>
      <w:r w:rsidR="00555F53">
        <w:t xml:space="preserve"> populations (infants, children and elderly)</w:t>
      </w:r>
      <w:r>
        <w:t>. T</w:t>
      </w:r>
      <w:r w:rsidR="00555F53">
        <w:t>he aim is t</w:t>
      </w:r>
      <w:r>
        <w:t xml:space="preserve">o study the </w:t>
      </w:r>
      <w:r w:rsidR="00555F53">
        <w:t>immunol</w:t>
      </w:r>
      <w:r>
        <w:t xml:space="preserve">ogical response to </w:t>
      </w:r>
      <w:r w:rsidR="00555F53">
        <w:t xml:space="preserve">licensed quadrivalent inactivated  influenza </w:t>
      </w:r>
      <w:r>
        <w:t>vaccine and to identify biomarkers that predict vaccine respons</w:t>
      </w:r>
      <w:r w:rsidR="00555F53">
        <w:t>e. B</w:t>
      </w:r>
      <w:r>
        <w:t xml:space="preserve">lood samples were </w:t>
      </w:r>
      <w:r w:rsidR="00555F53">
        <w:t>collect</w:t>
      </w:r>
      <w:r>
        <w:t>ed from the trial subjects, both before and after vaccination.</w:t>
      </w:r>
    </w:p>
    <w:p w14:paraId="59851C29" w14:textId="77777777" w:rsidR="0061750C" w:rsidRDefault="00423DAD">
      <w:pPr>
        <w:pStyle w:val="Heading2"/>
      </w:pPr>
      <w:bookmarkStart w:id="2" w:name="this-dataset-in-context"/>
      <w:r>
        <w:t>This Dataset in Context</w:t>
      </w:r>
      <w:bookmarkEnd w:id="2"/>
    </w:p>
    <w:p w14:paraId="62963CDD" w14:textId="6F507ABC" w:rsidR="0061750C" w:rsidRDefault="00423DAD">
      <w:pPr>
        <w:pStyle w:val="FirstParagraph"/>
      </w:pPr>
      <w:r>
        <w:t xml:space="preserve">Serology measures are a series of classic techniques for measuring the immune response in blood samples. </w:t>
      </w:r>
      <w:r w:rsidR="00555F53">
        <w:t>A</w:t>
      </w:r>
      <w:r>
        <w:t xml:space="preserve"> common techniques </w:t>
      </w:r>
      <w:r w:rsidR="00555F53">
        <w:t>for measuring influenza virus is</w:t>
      </w:r>
      <w:r>
        <w:t xml:space="preserve"> the </w:t>
      </w:r>
      <w:hyperlink r:id="rId8">
        <w:r>
          <w:rPr>
            <w:rStyle w:val="Hyperlink"/>
          </w:rPr>
          <w:t xml:space="preserve"> Hemagglutin</w:t>
        </w:r>
        <w:r>
          <w:rPr>
            <w:rStyle w:val="Hyperlink"/>
          </w:rPr>
          <w:t>a</w:t>
        </w:r>
        <w:r>
          <w:rPr>
            <w:rStyle w:val="Hyperlink"/>
          </w:rPr>
          <w:t>tion Assay</w:t>
        </w:r>
      </w:hyperlink>
      <w:r>
        <w:t xml:space="preserve"> which relies on the influenza virus </w:t>
      </w:r>
      <w:r w:rsidR="00555F53">
        <w:t xml:space="preserve">haemagglutinins ability </w:t>
      </w:r>
      <w:r>
        <w:t>to agg</w:t>
      </w:r>
      <w:r w:rsidR="00555F53">
        <w:t>lutinate</w:t>
      </w:r>
      <w:r>
        <w:t xml:space="preserve"> red blood cells</w:t>
      </w:r>
      <w:r>
        <w:t xml:space="preserve"> An extension of this assay relies on the </w:t>
      </w:r>
      <w:r w:rsidR="00555F53">
        <w:t xml:space="preserve">ability of serum antibodies to prevent </w:t>
      </w:r>
      <w:r>
        <w:t xml:space="preserve">agglutination and </w:t>
      </w:r>
      <w:r w:rsidR="00555F53">
        <w:t xml:space="preserve">this </w:t>
      </w:r>
      <w:r>
        <w:t>gives an indirect measure of the subject’s antibodies against the virus. It is called the Hemagglutination Inhibition Assay (HI). This dataset contains the results of the INCENTIVE HI assay.</w:t>
      </w:r>
    </w:p>
    <w:p w14:paraId="38A9E0AC" w14:textId="4A848829" w:rsidR="0061750C" w:rsidRDefault="00423DAD">
      <w:pPr>
        <w:pStyle w:val="BodyText"/>
      </w:pPr>
      <w:r>
        <w:t xml:space="preserve">In the case of the INCENTIVE Grant, the HI assay will form the </w:t>
      </w:r>
      <w:r w:rsidR="00555F53">
        <w:t xml:space="preserve">cornerstone </w:t>
      </w:r>
      <w:r>
        <w:t>for determining which subjects responded to the influenza vaccine. Other studies will rely, at least initially, on the responder/non-responder status for the detection of biomarkers that might predict responder status prior to vaccination.</w:t>
      </w:r>
    </w:p>
    <w:p w14:paraId="681D0006" w14:textId="7D8181B8" w:rsidR="0061750C" w:rsidRDefault="00423DAD">
      <w:pPr>
        <w:pStyle w:val="Heading2"/>
      </w:pPr>
      <w:bookmarkStart w:id="3" w:name="details-of-this-assay"/>
      <w:r>
        <w:t xml:space="preserve">Details of </w:t>
      </w:r>
      <w:bookmarkEnd w:id="3"/>
      <w:r w:rsidR="00C473EB">
        <w:t>Ha</w:t>
      </w:r>
      <w:r w:rsidR="004C4684">
        <w:t>e</w:t>
      </w:r>
      <w:r w:rsidR="00C473EB">
        <w:t>magglutination inhibition assay</w:t>
      </w:r>
    </w:p>
    <w:p w14:paraId="3B96C258" w14:textId="4103FA03" w:rsidR="0061750C" w:rsidRDefault="00E74E91">
      <w:pPr>
        <w:pStyle w:val="FirstParagraph"/>
      </w:pPr>
      <w:r>
        <w:t>To ensure standardized results we used</w:t>
      </w:r>
      <w:r w:rsidR="00423DAD">
        <w:t xml:space="preserve"> </w:t>
      </w:r>
      <w:r w:rsidR="00423DAD">
        <w:t>the FLUCOP consortium</w:t>
      </w:r>
      <w:r>
        <w:t xml:space="preserve"> consensus protocol</w:t>
      </w:r>
      <w:r w:rsidR="00423DAD">
        <w:t xml:space="preserve"> (Waldock, et al, Haemagglutination inhibition and virus microneutralisation serology assays: use of harmonised protocols and biological standards in seasonal influenza serology testing and their impact on inter-laboratory variation and assay correlation: A FLUCOP collaborative study. Frontiers in immunology, 14: 1155552. DOI: 10.3389/fimmu.2023.1155552)</w:t>
      </w:r>
      <w:r w:rsidR="00C473EB">
        <w:t>.</w:t>
      </w:r>
    </w:p>
    <w:p w14:paraId="5F4564FA" w14:textId="0AEC4924" w:rsidR="00E74E91" w:rsidRDefault="00E74E91">
      <w:pPr>
        <w:pStyle w:val="BodyText"/>
      </w:pPr>
      <w:r>
        <w:rPr>
          <w:color w:val="000000"/>
        </w:rPr>
        <w:t>O</w:t>
      </w:r>
      <w:r>
        <w:rPr>
          <w:color w:val="000000"/>
        </w:rPr>
        <w:t xml:space="preserve">ne volume of serum was incubated with four volumes of receptor-destroying </w:t>
      </w:r>
      <w:r w:rsidR="004C4684">
        <w:rPr>
          <w:color w:val="000000"/>
        </w:rPr>
        <w:t>enzyme</w:t>
      </w:r>
      <w:r>
        <w:rPr>
          <w:color w:val="000000"/>
        </w:rPr>
        <w:t xml:space="preserve"> (RDE) (Seiken, Japan) at 37°C overnight and subsequently heat-inactivated at 56°C for 30 minutes. </w:t>
      </w:r>
      <w:r>
        <w:rPr>
          <w:color w:val="000000"/>
        </w:rPr>
        <w:t>All RDE treated s</w:t>
      </w:r>
      <w:r>
        <w:rPr>
          <w:color w:val="000000"/>
        </w:rPr>
        <w:t xml:space="preserve">era </w:t>
      </w:r>
      <w:r>
        <w:rPr>
          <w:color w:val="000000"/>
        </w:rPr>
        <w:t>were pretreated with</w:t>
      </w:r>
      <w:r>
        <w:rPr>
          <w:color w:val="000000"/>
        </w:rPr>
        <w:t xml:space="preserve"> turkey red blood cells at 4°C for 1 hour, </w:t>
      </w:r>
      <w:r>
        <w:rPr>
          <w:color w:val="000000"/>
        </w:rPr>
        <w:t>to remove nonspecific binding</w:t>
      </w:r>
      <w:r>
        <w:rPr>
          <w:color w:val="000000"/>
        </w:rPr>
        <w:t>.</w:t>
      </w:r>
      <w:r>
        <w:rPr>
          <w:color w:val="000000"/>
        </w:rPr>
        <w:t xml:space="preserve"> Duplicate s</w:t>
      </w:r>
      <w:r>
        <w:rPr>
          <w:color w:val="000000"/>
        </w:rPr>
        <w:t xml:space="preserve">erial </w:t>
      </w:r>
      <w:r>
        <w:rPr>
          <w:color w:val="000000"/>
        </w:rPr>
        <w:t>double</w:t>
      </w:r>
      <w:r>
        <w:rPr>
          <w:color w:val="000000"/>
        </w:rPr>
        <w:t xml:space="preserve"> dilutions of the treated sera were prepared </w:t>
      </w:r>
      <w:r>
        <w:rPr>
          <w:color w:val="000000"/>
        </w:rPr>
        <w:t>from 1/5</w:t>
      </w:r>
      <w:r>
        <w:rPr>
          <w:color w:val="000000"/>
        </w:rPr>
        <w:t xml:space="preserve">. Each dilution was mixed with 4 hemagglutinating units of influenza virus </w:t>
      </w:r>
      <w:r w:rsidR="00C473EB">
        <w:rPr>
          <w:color w:val="000000"/>
        </w:rPr>
        <w:t xml:space="preserve">from the </w:t>
      </w:r>
      <w:r>
        <w:rPr>
          <w:color w:val="000000"/>
        </w:rPr>
        <w:t xml:space="preserve">National Institute for Biological Standards and Control, UK) and 0.7% turkey red blood cells. The HI </w:t>
      </w:r>
      <w:r w:rsidR="004C4684">
        <w:rPr>
          <w:color w:val="000000"/>
        </w:rPr>
        <w:t>titre</w:t>
      </w:r>
      <w:r>
        <w:rPr>
          <w:color w:val="000000"/>
        </w:rPr>
        <w:t xml:space="preserve"> was determined as the reciprocal of the highest serum dilution that inhibited 100% of hemagglutination. Seroprotection was defined as having an HI titer ≥ 40</w:t>
      </w:r>
      <w:r>
        <w:rPr>
          <w:color w:val="000000"/>
        </w:rPr>
        <w:t>.</w:t>
      </w:r>
    </w:p>
    <w:p w14:paraId="36432A38" w14:textId="77777777" w:rsidR="0061750C" w:rsidRDefault="00423DAD">
      <w:pPr>
        <w:pStyle w:val="Heading2"/>
      </w:pPr>
      <w:bookmarkStart w:id="4" w:name="specific-details-of-the-data-processing"/>
      <w:r>
        <w:t>Specific Details of the Data Processing</w:t>
      </w:r>
      <w:bookmarkEnd w:id="4"/>
    </w:p>
    <w:p w14:paraId="49B77FBC" w14:textId="6FDAABD9" w:rsidR="0061750C" w:rsidRDefault="00423DAD">
      <w:pPr>
        <w:pStyle w:val="FirstParagraph"/>
      </w:pPr>
      <w:r>
        <w:t xml:space="preserve">All data points are the result of two replicates; a geometric mean </w:t>
      </w:r>
      <w:proofErr w:type="spellStart"/>
      <w:r w:rsidR="00555F53">
        <w:t>titre</w:t>
      </w:r>
      <w:proofErr w:type="spellEnd"/>
      <w:r w:rsidR="00555F53">
        <w:t xml:space="preserve"> </w:t>
      </w:r>
      <w:r>
        <w:t>was used to calculate the reported result ( 10^((log(A) + log(B))/2) ) where ‘A’ and ‘B’ are the two measured values.</w:t>
      </w:r>
    </w:p>
    <w:p w14:paraId="1FAC1D86" w14:textId="77777777" w:rsidR="0061750C" w:rsidRDefault="00423DAD">
      <w:pPr>
        <w:pStyle w:val="BodyText"/>
      </w:pPr>
      <w:r>
        <w:t>All raw data points with a value of zero were converted to a value of 5 so that logs could be computed.</w:t>
      </w:r>
    </w:p>
    <w:p w14:paraId="28F5696F" w14:textId="77777777" w:rsidR="0061750C" w:rsidRDefault="00423DAD">
      <w:pPr>
        <w:pStyle w:val="Heading1"/>
      </w:pPr>
      <w:bookmarkStart w:id="5" w:name="files-uploaded"/>
      <w:r>
        <w:t>Files Uploaded</w:t>
      </w:r>
      <w:bookmarkEnd w:id="5"/>
    </w:p>
    <w:p w14:paraId="69DA934D" w14:textId="77777777" w:rsidR="0061750C" w:rsidRDefault="00423DAD">
      <w:pPr>
        <w:pStyle w:val="DefinitionTerm"/>
      </w:pPr>
      <w:r>
        <w:rPr>
          <w:rStyle w:val="VerbatimChar"/>
        </w:rPr>
        <w:t>README.md</w:t>
      </w:r>
    </w:p>
    <w:p w14:paraId="0151D1DC" w14:textId="77777777" w:rsidR="0061750C" w:rsidRDefault="00423DAD">
      <w:pPr>
        <w:pStyle w:val="Definition"/>
      </w:pPr>
      <w:r>
        <w:t xml:space="preserve">This file. Uses </w:t>
      </w:r>
      <w:r>
        <w:rPr>
          <w:i/>
        </w:rPr>
        <w:t>Markdown</w:t>
      </w:r>
      <w:r>
        <w:t xml:space="preserve">, a text format that is readable directly or in a nicely formatted style. See: </w:t>
      </w:r>
      <w:hyperlink r:id="rId9">
        <w:r>
          <w:rPr>
            <w:rStyle w:val="Hyperlink"/>
            <w:i/>
          </w:rPr>
          <w:t>Markdown Guide</w:t>
        </w:r>
      </w:hyperlink>
      <w:r>
        <w:t>.</w:t>
      </w:r>
    </w:p>
    <w:p w14:paraId="3AEC9314" w14:textId="77777777" w:rsidR="0061750C" w:rsidRDefault="00423DAD">
      <w:pPr>
        <w:pStyle w:val="DefinitionTerm"/>
      </w:pPr>
      <w:r>
        <w:rPr>
          <w:rStyle w:val="VerbatimChar"/>
        </w:rPr>
        <w:t>Incentive QIV1,2,3-HI 2024-07-17.xlsx</w:t>
      </w:r>
    </w:p>
    <w:p w14:paraId="20D33BE9" w14:textId="77777777" w:rsidR="0061750C" w:rsidRDefault="00423DAD">
      <w:pPr>
        <w:pStyle w:val="Definition"/>
      </w:pPr>
      <w:r>
        <w:t>File containing the HI data for clinical trials known as QIV1, QIV2, and QIV3 (older adults, children and infants, respectively).</w:t>
      </w:r>
    </w:p>
    <w:p w14:paraId="62AE302F" w14:textId="77777777" w:rsidR="0061750C" w:rsidRDefault="00423DAD">
      <w:pPr>
        <w:pStyle w:val="DefinitionTerm"/>
      </w:pPr>
      <w:r>
        <w:rPr>
          <w:rStyle w:val="VerbatimChar"/>
        </w:rPr>
        <w:t>Dictionary.xlsx</w:t>
      </w:r>
    </w:p>
    <w:p w14:paraId="4F7B7369" w14:textId="77777777" w:rsidR="0061750C" w:rsidRDefault="00423DAD">
      <w:pPr>
        <w:pStyle w:val="Definition"/>
      </w:pPr>
      <w:r>
        <w:t xml:space="preserve">A data dictionary describing the contents of the file, </w:t>
      </w:r>
      <w:r>
        <w:rPr>
          <w:rStyle w:val="VerbatimChar"/>
        </w:rPr>
        <w:t>Incentive QIV1,2,3-HI 2024-07-17.xlsx</w:t>
      </w:r>
      <w:r>
        <w:t>.</w:t>
      </w:r>
    </w:p>
    <w:p w14:paraId="4E07520B" w14:textId="77777777" w:rsidR="0061750C" w:rsidRDefault="00423DAD">
      <w:pPr>
        <w:pStyle w:val="Heading1"/>
      </w:pPr>
      <w:bookmarkStart w:id="6" w:name="contact"/>
      <w:r>
        <w:t>Contact</w:t>
      </w:r>
      <w:bookmarkEnd w:id="6"/>
    </w:p>
    <w:p w14:paraId="09E3541B" w14:textId="77777777" w:rsidR="0061750C" w:rsidRDefault="00423DAD">
      <w:pPr>
        <w:pStyle w:val="FirstParagraph"/>
      </w:pPr>
      <w:r>
        <w:t>For questions about this dataset, please contact:</w:t>
      </w:r>
    </w:p>
    <w:p w14:paraId="24416DB8" w14:textId="4D4A9696" w:rsidR="00AD6061" w:rsidRDefault="00AD6061" w:rsidP="00AD6061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Professor </w:t>
      </w:r>
      <w:r w:rsidR="00423DAD">
        <w:rPr>
          <w:rStyle w:val="VerbatimChar"/>
        </w:rPr>
        <w:t>R</w:t>
      </w:r>
      <w:r>
        <w:rPr>
          <w:rStyle w:val="VerbatimChar"/>
        </w:rPr>
        <w:t xml:space="preserve">ebecca </w:t>
      </w:r>
      <w:r w:rsidR="00555F53">
        <w:rPr>
          <w:rStyle w:val="VerbatimChar"/>
        </w:rPr>
        <w:t>J</w:t>
      </w:r>
      <w:r>
        <w:rPr>
          <w:rStyle w:val="VerbatimChar"/>
        </w:rPr>
        <w:t>ane</w:t>
      </w:r>
      <w:r w:rsidR="00423DAD">
        <w:rPr>
          <w:rStyle w:val="VerbatimChar"/>
        </w:rPr>
        <w:t xml:space="preserve"> Cox</w:t>
      </w:r>
      <w:r w:rsidR="00423DAD">
        <w:br/>
      </w:r>
      <w:r w:rsidR="00423DAD">
        <w:rPr>
          <w:rStyle w:val="VerbatimChar"/>
        </w:rPr>
        <w:t xml:space="preserve">The </w:t>
      </w:r>
      <w:r w:rsidR="00423DAD">
        <w:rPr>
          <w:rStyle w:val="VerbatimChar"/>
        </w:rPr>
        <w:t xml:space="preserve">Influenza </w:t>
      </w:r>
      <w:r>
        <w:rPr>
          <w:rStyle w:val="VerbatimChar"/>
        </w:rPr>
        <w:t>Centre</w:t>
      </w:r>
    </w:p>
    <w:p w14:paraId="711E36B2" w14:textId="6555B659" w:rsidR="0061750C" w:rsidRPr="00AD6061" w:rsidRDefault="00AD6061">
      <w:pPr>
        <w:pStyle w:val="SourceCode"/>
        <w:rPr>
          <w:rFonts w:ascii="Consolas" w:hAnsi="Consolas"/>
          <w:sz w:val="22"/>
        </w:rPr>
      </w:pPr>
      <w:r>
        <w:rPr>
          <w:rStyle w:val="VerbatimChar"/>
        </w:rPr>
        <w:t>Department of Clinical Science</w:t>
      </w:r>
      <w:r w:rsidR="00423DAD">
        <w:br/>
      </w:r>
      <w:r w:rsidR="00423DAD">
        <w:rPr>
          <w:rStyle w:val="VerbatimChar"/>
        </w:rPr>
        <w:t>University of Bergen</w:t>
      </w:r>
      <w:r w:rsidR="00423DAD">
        <w:br/>
      </w:r>
      <w:r w:rsidR="00423DAD">
        <w:rPr>
          <w:rStyle w:val="VerbatimChar"/>
        </w:rPr>
        <w:t>Bergen</w:t>
      </w:r>
      <w:r w:rsidR="00423DAD">
        <w:br/>
      </w:r>
      <w:r w:rsidR="00423DAD">
        <w:rPr>
          <w:rStyle w:val="VerbatimChar"/>
        </w:rPr>
        <w:t>Norway</w:t>
      </w:r>
      <w:r w:rsidR="00423DAD">
        <w:br/>
      </w:r>
      <w:r w:rsidR="00423DAD">
        <w:br/>
      </w:r>
      <w:r w:rsidR="00423DAD">
        <w:rPr>
          <w:rStyle w:val="VerbatimChar"/>
        </w:rPr>
        <w:t>Email: R.Cox@</w:t>
      </w:r>
      <w:r w:rsidR="00555F53">
        <w:rPr>
          <w:rStyle w:val="VerbatimChar"/>
        </w:rPr>
        <w:t>uib.no</w:t>
      </w:r>
      <w:r w:rsidR="00423DAD">
        <w:br/>
      </w:r>
      <w:r w:rsidR="00423DAD">
        <w:rPr>
          <w:rStyle w:val="VerbatimChar"/>
        </w:rPr>
        <w:t xml:space="preserve">Phone: </w:t>
      </w:r>
      <w:r w:rsidR="00555F53">
        <w:rPr>
          <w:rStyle w:val="VerbatimChar"/>
        </w:rPr>
        <w:t>+47 45242974</w:t>
      </w:r>
    </w:p>
    <w:sectPr w:rsidR="0061750C" w:rsidRPr="00AD606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29676" w14:textId="77777777" w:rsidR="00423DAD" w:rsidRDefault="00423DAD">
      <w:pPr>
        <w:spacing w:after="0"/>
      </w:pPr>
      <w:r>
        <w:separator/>
      </w:r>
    </w:p>
  </w:endnote>
  <w:endnote w:type="continuationSeparator" w:id="0">
    <w:p w14:paraId="0E4A7198" w14:textId="77777777" w:rsidR="00423DAD" w:rsidRDefault="00423D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88A48" w14:textId="77777777" w:rsidR="00423DAD" w:rsidRDefault="00423DAD">
      <w:r>
        <w:separator/>
      </w:r>
    </w:p>
  </w:footnote>
  <w:footnote w:type="continuationSeparator" w:id="0">
    <w:p w14:paraId="2EE9ABFD" w14:textId="77777777" w:rsidR="00423DAD" w:rsidRDefault="00423D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E401"/>
    <w:multiLevelType w:val="multilevel"/>
    <w:tmpl w:val="E330325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465591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07295"/>
    <w:rsid w:val="00423DAD"/>
    <w:rsid w:val="004C4684"/>
    <w:rsid w:val="004E29B3"/>
    <w:rsid w:val="00555F53"/>
    <w:rsid w:val="005779F4"/>
    <w:rsid w:val="00590D07"/>
    <w:rsid w:val="0061750C"/>
    <w:rsid w:val="00662162"/>
    <w:rsid w:val="00784D58"/>
    <w:rsid w:val="008D6863"/>
    <w:rsid w:val="00AD6061"/>
    <w:rsid w:val="00B86B75"/>
    <w:rsid w:val="00BC48D5"/>
    <w:rsid w:val="00C36279"/>
    <w:rsid w:val="00C473EB"/>
    <w:rsid w:val="00E315A3"/>
    <w:rsid w:val="00E74E9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AD361C"/>
  <w15:docId w15:val="{8C5FEDE7-C97F-C148-B9C7-3EB54D3E1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555F5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Hemagglutination_assa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dis.europa.eu/project/id/8748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arkdownguid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.~WRD1428</Template>
  <TotalTime>1</TotalTime>
  <Pages>1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Rebecca Jane Cox Brokstad</dc:creator>
  <cp:keywords/>
  <cp:lastModifiedBy>Rebecca Jane Cox Brokstad</cp:lastModifiedBy>
  <cp:revision>3</cp:revision>
  <dcterms:created xsi:type="dcterms:W3CDTF">2024-07-20T16:27:00Z</dcterms:created>
  <dcterms:modified xsi:type="dcterms:W3CDTF">2024-07-20T16:28:00Z</dcterms:modified>
</cp:coreProperties>
</file>