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uminex-dataset-soluble-factors-hzi"/>
      <w:r>
        <w:t xml:space="preserve">Luminex Dataset Soluble Factors HZI</w:t>
      </w:r>
      <w:bookmarkEnd w:id="20"/>
    </w:p>
    <w:p>
      <w:pPr>
        <w:pStyle w:val="Heading2"/>
      </w:pPr>
      <w:bookmarkStart w:id="21" w:name="incentive-project"/>
      <w:r>
        <w:t xml:space="preserve">INCENTIVE Project</w:t>
      </w:r>
      <w:bookmarkEnd w:id="21"/>
    </w:p>
    <w:p>
      <w:pPr>
        <w:pStyle w:val="FirstParagraph"/>
      </w:pPr>
      <w:r>
        <w:t xml:space="preserve">INCENTIVE is a 5-year project funded by an EU Horizon H2020 grant</w:t>
      </w:r>
      <w:r>
        <w:t xml:space="preserve"> </w:t>
      </w:r>
      <w:r>
        <w:t xml:space="preserve">(</w:t>
      </w:r>
      <w:hyperlink r:id="rId22">
        <w:r>
          <w:rPr>
            <w:rStyle w:val="Hyperlink"/>
            <w:i/>
          </w:rPr>
          <w:t xml:space="preserve">Indo-European Consortium for Next Generation Influenza Vaccine</w:t>
        </w:r>
        <w:r>
          <w:rPr>
            <w:rStyle w:val="Hyperlink"/>
            <w:i/>
          </w:rPr>
          <w:t xml:space="preserve"> </w:t>
        </w:r>
        <w:r>
          <w:rPr>
            <w:rStyle w:val="Hyperlink"/>
            <w:i/>
          </w:rPr>
          <w:t xml:space="preserve">Innovation</w:t>
        </w:r>
      </w:hyperlink>
      <w:r>
        <w:t xml:space="preserve">). One of the</w:t>
      </w:r>
      <w:r>
        <w:t xml:space="preserve"> </w:t>
      </w:r>
      <w:r>
        <w:t xml:space="preserve">main goals is to advance knowledge of the underlying mechanisms of</w:t>
      </w:r>
      <w:r>
        <w:t xml:space="preserve"> </w:t>
      </w:r>
      <w:r>
        <w:t xml:space="preserve">poor responsiveness to influenza vaccines. This goal will be achieved</w:t>
      </w:r>
      <w:r>
        <w:t xml:space="preserve"> </w:t>
      </w:r>
      <w:r>
        <w:t xml:space="preserve">by performing comprehensive immune profiling of responders and</w:t>
      </w:r>
      <w:r>
        <w:t xml:space="preserve"> </w:t>
      </w:r>
      <w:r>
        <w:t xml:space="preserve">non-responders to a licensed, quadrivalent, inactivated, influenza</w:t>
      </w:r>
      <w:r>
        <w:t xml:space="preserve"> </w:t>
      </w:r>
      <w:r>
        <w:t xml:space="preserve">vaccine (QIV) in vulnerable populations: elderly (</w:t>
      </w:r>
      <m:oMath>
        <m:r>
          <m:t>≥</m:t>
        </m:r>
      </m:oMath>
      <w:r>
        <w:t xml:space="preserve"> </w:t>
      </w:r>
      <w:r>
        <w:t xml:space="preserve">60 years;</w:t>
      </w:r>
      <w:r>
        <w:t xml:space="preserve"> </w:t>
      </w:r>
      <w:r>
        <w:t xml:space="preserve">QIV1), children (3-8 years; QIV2) and in infants (6-7 months born to</w:t>
      </w:r>
      <w:r>
        <w:t xml:space="preserve"> </w:t>
      </w:r>
      <w:r>
        <w:t xml:space="preserve">mothers immunized during pregnancy; QIV3), participating in phase IV</w:t>
      </w:r>
      <w:r>
        <w:t xml:space="preserve"> </w:t>
      </w:r>
      <w:r>
        <w:t xml:space="preserve">trials in Europe and India. Blood samples were collected from the</w:t>
      </w:r>
      <w:r>
        <w:t xml:space="preserve"> </w:t>
      </w:r>
      <w:r>
        <w:t xml:space="preserve">trials’ subjects before and after vaccination. The consortia aims to</w:t>
      </w:r>
      <w:r>
        <w:t xml:space="preserve"> </w:t>
      </w:r>
      <w:r>
        <w:t xml:space="preserve">identify the mechanisms and biomarkers of vaccine responsiveness.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1) I believe QIV2 was modified to age 3-11. 2)</w:t>
      </w:r>
      <w:r>
        <w:t xml:space="preserve"> </w:t>
      </w:r>
      <w:r>
        <w:t xml:space="preserve">“</w:t>
      </w:r>
      <w:r>
        <w:t xml:space="preserve">mothers</w:t>
      </w:r>
      <w:r>
        <w:t xml:space="preserve"> </w:t>
      </w:r>
      <w:r>
        <w:t xml:space="preserve">immunized during pregancy</w:t>
      </w:r>
      <w:r>
        <w:t xml:space="preserve">”</w:t>
      </w:r>
      <w:r>
        <w:t xml:space="preserve">. Really? I totally missed that and thought</w:t>
      </w:r>
      <w:r>
        <w:t xml:space="preserve"> </w:t>
      </w:r>
      <w:r>
        <w:t xml:space="preserve">we had infants directly immunized. Can you confirm this for me?</w:t>
      </w:r>
    </w:p>
    <w:p>
      <w:pPr>
        <w:pStyle w:val="Heading3"/>
      </w:pPr>
      <w:bookmarkStart w:id="23" w:name="summary-of-the-study-design"/>
      <w:r>
        <w:t xml:space="preserve">Summary of the study design:</w:t>
      </w:r>
      <w:bookmarkEnd w:id="23"/>
    </w:p>
    <w:p>
      <w:pPr>
        <w:numPr>
          <w:ilvl w:val="0"/>
          <w:numId w:val="1001"/>
        </w:numPr>
      </w:pPr>
      <w:r>
        <w:t xml:space="preserve">Study duration: elderly 1 month; children and infants: 2 months</w:t>
      </w:r>
    </w:p>
    <w:p>
      <w:pPr>
        <w:numPr>
          <w:ilvl w:val="0"/>
          <w:numId w:val="1001"/>
        </w:numPr>
      </w:pPr>
      <w:r>
        <w:t xml:space="preserve">Visits: Screening, D0, D3, D28, (+ D7: adults; + D56: children and</w:t>
      </w:r>
      <w:r>
        <w:t xml:space="preserve"> </w:t>
      </w:r>
      <w:r>
        <w:t xml:space="preserve">infants)</w:t>
      </w:r>
    </w:p>
    <w:p>
      <w:pPr>
        <w:numPr>
          <w:ilvl w:val="0"/>
          <w:numId w:val="1001"/>
        </w:numPr>
      </w:pPr>
      <w:r>
        <w:t xml:space="preserve">Vaccination: at D0, (+D28: children and infants)</w:t>
      </w:r>
    </w:p>
    <w:p>
      <w:pPr>
        <w:numPr>
          <w:ilvl w:val="0"/>
          <w:numId w:val="1001"/>
        </w:numPr>
      </w:pPr>
      <w:r>
        <w:t xml:space="preserve">Blood draw clinical at screening; immunology at D0, D3, D28 (+ D7:</w:t>
      </w:r>
      <w:r>
        <w:t xml:space="preserve"> </w:t>
      </w:r>
      <w:r>
        <w:t xml:space="preserve">elderly; + D56: children and infants)</w:t>
      </w:r>
    </w:p>
    <w:p>
      <w:pPr>
        <w:pStyle w:val="Heading2"/>
      </w:pPr>
      <w:bookmarkStart w:id="24" w:name="this-dataset-in-context"/>
      <w:r>
        <w:t xml:space="preserve">This Dataset in Context</w:t>
      </w:r>
      <w:bookmarkEnd w:id="24"/>
    </w:p>
    <w:p>
      <w:pPr>
        <w:pStyle w:val="FirstParagraph"/>
      </w:pPr>
      <w:r>
        <w:t xml:space="preserve">This dataset contains levels of soluble factors measured in samples</w:t>
      </w:r>
      <w:r>
        <w:t xml:space="preserve"> </w:t>
      </w:r>
      <w:r>
        <w:t xml:space="preserve">derived from children (QIV2) and infants (QIV3). For this, whole blood</w:t>
      </w:r>
      <w:r>
        <w:t xml:space="preserve"> </w:t>
      </w:r>
      <w:r>
        <w:t xml:space="preserve">samples were stimulated with influenza antigens for the assessment of</w:t>
      </w:r>
      <w:r>
        <w:t xml:space="preserve"> </w:t>
      </w:r>
      <w:r>
        <w:t xml:space="preserve">antigen-specific memory T cell responses.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Others have specified the antigen as</w:t>
      </w:r>
      <w:r>
        <w:t xml:space="preserve"> </w:t>
      </w:r>
      <w:r>
        <w:t xml:space="preserve">“</w:t>
      </w:r>
      <w:r>
        <w:t xml:space="preserve">HA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. Is</w:t>
      </w:r>
      <w:r>
        <w:t xml:space="preserve"> </w:t>
      </w:r>
      <w:r>
        <w:t xml:space="preserve">that appropriate here or is this some kind of whole virus stim?</w:t>
      </w:r>
    </w:p>
    <w:p>
      <w:pPr>
        <w:pStyle w:val="BodyText"/>
      </w:pPr>
      <w:r>
        <w:t xml:space="preserve">Stimulation was performed using the following vaccine antigens</w:t>
      </w:r>
      <w:r>
        <w:t xml:space="preserve"> </w:t>
      </w:r>
      <w:r>
        <w:t xml:space="preserve">(supplied by NIBSC):</w:t>
      </w:r>
    </w:p>
    <w:p>
      <w:pPr>
        <w:numPr>
          <w:ilvl w:val="0"/>
          <w:numId w:val="1002"/>
        </w:numPr>
      </w:pPr>
      <w:r>
        <w:t xml:space="preserve">A/Victoria/2570/2019 (NIBSC # 20/232)</w:t>
      </w:r>
    </w:p>
    <w:p>
      <w:pPr>
        <w:numPr>
          <w:ilvl w:val="0"/>
          <w:numId w:val="1002"/>
        </w:numPr>
      </w:pPr>
      <w:r>
        <w:t xml:space="preserve">A/Tasmania/503/2020 (NIBSC # 21/116)</w:t>
      </w:r>
    </w:p>
    <w:p>
      <w:pPr>
        <w:numPr>
          <w:ilvl w:val="0"/>
          <w:numId w:val="1002"/>
        </w:numPr>
      </w:pPr>
      <w:r>
        <w:t xml:space="preserve">B/Washington/02/2019 (NIBSC # 19/238)</w:t>
      </w:r>
    </w:p>
    <w:p>
      <w:pPr>
        <w:numPr>
          <w:ilvl w:val="0"/>
          <w:numId w:val="1002"/>
        </w:numPr>
      </w:pPr>
      <w:r>
        <w:t xml:space="preserve">B/Phuket/3073/2013 (NIBSC # 21/136)</w:t>
      </w:r>
    </w:p>
    <w:p>
      <w:pPr>
        <w:pStyle w:val="Heading2"/>
      </w:pPr>
      <w:bookmarkStart w:id="25" w:name="X339fad9beb1447ed2aaaad6bba3e548fea2ba58"/>
      <w:r>
        <w:t xml:space="preserve">Details of the soluble factor Luminex</w:t>
      </w:r>
      <w:r>
        <w:rPr>
          <w:vertAlign w:val="superscript"/>
        </w:rPr>
        <w:t xml:space="preserve">®</w:t>
      </w:r>
      <w:r>
        <w:t xml:space="preserve"> </w:t>
      </w:r>
      <w:r>
        <w:t xml:space="preserve">assay</w:t>
      </w:r>
      <w:bookmarkEnd w:id="25"/>
    </w:p>
    <w:p>
      <w:pPr>
        <w:pStyle w:val="FirstParagraph"/>
      </w:pPr>
      <w:r>
        <w:t xml:space="preserve">For the stimulation, heparinized whole blood is diluted in culture</w:t>
      </w:r>
      <w:r>
        <w:t xml:space="preserve"> </w:t>
      </w:r>
      <w:r>
        <w:t xml:space="preserve">medium and incubated individually with each of the influenza virus</w:t>
      </w:r>
      <w:r>
        <w:t xml:space="preserve"> </w:t>
      </w:r>
      <w:r>
        <w:t xml:space="preserve">antigens. Positive (SEB; staphylococcal enterotoxin B) and negative</w:t>
      </w:r>
      <w:r>
        <w:t xml:space="preserve"> </w:t>
      </w:r>
      <w:r>
        <w:t xml:space="preserve">controls are also included in the assay. Culture supernatants are</w:t>
      </w:r>
      <w:r>
        <w:t xml:space="preserve"> </w:t>
      </w:r>
      <w:r>
        <w:t xml:space="preserve">collected after 5 days and are stored at -80° C to be tested for</w:t>
      </w:r>
      <w:r>
        <w:t xml:space="preserve"> </w:t>
      </w:r>
      <w:r>
        <w:t xml:space="preserve">soluble factors by Luminex</w:t>
      </w:r>
      <w:r>
        <w:rPr>
          <w:vertAlign w:val="superscript"/>
        </w:rPr>
        <w:t xml:space="preserve">®</w:t>
      </w:r>
      <w:r>
        <w:t xml:space="preserve"> </w:t>
      </w:r>
      <w:r>
        <w:t xml:space="preserve">System Assay according to the respective</w:t>
      </w:r>
      <w:r>
        <w:t xml:space="preserve"> </w:t>
      </w:r>
      <w:r>
        <w:t xml:space="preserve">protocol. In brief, supernatants are mixed with beads possessing</w:t>
      </w:r>
      <w:r>
        <w:t xml:space="preserve"> </w:t>
      </w:r>
      <w:r>
        <w:t xml:space="preserve">specific binding sites for 35 analytes. Beads with specific binding</w:t>
      </w:r>
      <w:r>
        <w:t xml:space="preserve"> </w:t>
      </w:r>
      <w:r>
        <w:t xml:space="preserve">sites are discernable by their inherent fluorescence and bound</w:t>
      </w:r>
      <w:r>
        <w:t xml:space="preserve"> </w:t>
      </w:r>
      <w:r>
        <w:t xml:space="preserve">analytes are detected by fluorescence labeling. Results are given as</w:t>
      </w:r>
      <w:r>
        <w:t xml:space="preserve"> </w:t>
      </w:r>
      <w:r>
        <w:t xml:space="preserve">concentration (pg/ml) and mean fluorescence intensities (MFI).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1) Is it</w:t>
      </w:r>
      <w:r>
        <w:t xml:space="preserve"> </w:t>
      </w:r>
      <w:r>
        <w:t xml:space="preserve">“</w:t>
      </w:r>
      <w:r>
        <w:t xml:space="preserve">mean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median</w:t>
      </w:r>
      <w:r>
        <w:t xml:space="preserve">”</w:t>
      </w:r>
      <w:r>
        <w:t xml:space="preserve"> </w:t>
      </w:r>
      <w:r>
        <w:t xml:space="preserve">fluorescence intensity? 2) I</w:t>
      </w:r>
      <w:r>
        <w:t xml:space="preserve"> </w:t>
      </w:r>
      <w:r>
        <w:t xml:space="preserve">believe that this assay is</w:t>
      </w:r>
      <w:r>
        <w:t xml:space="preserve"> </w:t>
      </w:r>
      <w:r>
        <w:t xml:space="preserve">“</w:t>
      </w:r>
      <w:r>
        <w:t xml:space="preserve">fully multiplexed</w:t>
      </w:r>
      <w:r>
        <w:t xml:space="preserve">”</w:t>
      </w:r>
      <w:r>
        <w:t xml:space="preserve">, which from an analysis</w:t>
      </w:r>
      <w:r>
        <w:t xml:space="preserve"> </w:t>
      </w:r>
      <w:r>
        <w:t xml:space="preserve">aspect means that if you, for example, add half the amount of sample</w:t>
      </w:r>
      <w:r>
        <w:t xml:space="preserve"> </w:t>
      </w:r>
      <w:r>
        <w:t xml:space="preserve">as you intended, then all 35 MFI values will be halved together. If</w:t>
      </w:r>
      <w:r>
        <w:t xml:space="preserve"> </w:t>
      </w:r>
      <w:r>
        <w:t xml:space="preserve">that is true, we should try to concisely say so above.</w:t>
      </w:r>
    </w:p>
    <w:p>
      <w:pPr>
        <w:pStyle w:val="BodyText"/>
      </w:pPr>
      <w:r>
        <w:t xml:space="preserve">The assay contained beads specific for the detection of the following</w:t>
      </w:r>
      <w:r>
        <w:t xml:space="preserve"> </w:t>
      </w:r>
      <w:r>
        <w:t xml:space="preserve">analytes: APRIL, EGF, ENA-78 (CXCL5), Eotaxin (CCL11), FGF-2, G-CSF</w:t>
      </w:r>
      <w:r>
        <w:t xml:space="preserve"> </w:t>
      </w:r>
      <w:r>
        <w:t xml:space="preserve">(CSF-3), GM-CSF, HGF, IFN-</w:t>
      </w:r>
      <m:oMath>
        <m:r>
          <m:t>α</m:t>
        </m:r>
      </m:oMath>
      <w:r>
        <w:t xml:space="preserve">, IFN-</w:t>
      </w:r>
      <m:oMath>
        <m:r>
          <m:t>γ</m:t>
        </m:r>
      </m:oMath>
      <w:r>
        <w:t xml:space="preserve">, IL-1-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IL-1RA, IL-2, IL-2R, IL-4, IL-5, IL-6, IL-7, IL-8 (CXCL8), IL-10,</w:t>
      </w:r>
      <w:r>
        <w:t xml:space="preserve"> </w:t>
      </w:r>
      <w:r>
        <w:t xml:space="preserve">IL-12/IL-23p40, IL-13, IL-15, IL-17A (CTLA-8), IL-18, IL-21, IL-27,</w:t>
      </w:r>
      <w:r>
        <w:t xml:space="preserve"> </w:t>
      </w:r>
      <w:r>
        <w:t xml:space="preserve">IP-10 (CXCL10), MCP-1 (CCL2), MIG (CXCL9), MIP-1</w:t>
      </w:r>
      <m:oMath>
        <m:r>
          <m:t>α</m:t>
        </m:r>
      </m:oMath>
      <w:r>
        <w:t xml:space="preserve"> </w:t>
      </w:r>
      <w:r>
        <w:t xml:space="preserve">(CCL3),</w:t>
      </w:r>
      <w:r>
        <w:t xml:space="preserve"> </w:t>
      </w:r>
      <w:r>
        <w:t xml:space="preserve">MIP-1</w:t>
      </w:r>
      <m:oMath>
        <m:r>
          <m:t>β</m:t>
        </m:r>
      </m:oMath>
      <w:r>
        <w:t xml:space="preserve"> </w:t>
      </w:r>
      <w:r>
        <w:t xml:space="preserve">(CCL4), SDF-1</w:t>
      </w:r>
      <m:oMath>
        <m:r>
          <m:t>α</m:t>
        </m:r>
      </m:oMath>
      <w:r>
        <w:t xml:space="preserve"> </w:t>
      </w:r>
      <w:r>
        <w:t xml:space="preserve">(CXCL12a), TNF-</w:t>
      </w:r>
      <m:oMath>
        <m:r>
          <m:t>α</m:t>
        </m:r>
      </m:oMath>
      <w:r>
        <w:t xml:space="preserve">, VEGF-A.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I’ve re-written the analyte names as I understand them</w:t>
      </w:r>
      <w:r>
        <w:t xml:space="preserve"> </w:t>
      </w:r>
      <w:r>
        <w:t xml:space="preserve">to be canonically written (i.e. suitable for JBC’s picky editors). Let</w:t>
      </w:r>
      <w:r>
        <w:t xml:space="preserve"> </w:t>
      </w:r>
      <w:r>
        <w:t xml:space="preserve">me know which are wrong and should be written differently.</w:t>
      </w:r>
    </w:p>
    <w:p>
      <w:pPr>
        <w:pStyle w:val="BodyText"/>
      </w:pPr>
      <w:r>
        <w:t xml:space="preserve">A 7-point standard curve (XY dilution) as well as a blank sample (assay</w:t>
      </w:r>
      <w:r>
        <w:t xml:space="preserve"> </w:t>
      </w:r>
      <w:r>
        <w:t xml:space="preserve">buffer and beads) and 2-3 bridging samples (BS) were measured for each</w:t>
      </w:r>
      <w:r>
        <w:t xml:space="preserve"> </w:t>
      </w:r>
      <w:r>
        <w:t xml:space="preserve">plate in order to assess measurement consistency. Samples were diluted</w:t>
      </w:r>
      <w:r>
        <w:t xml:space="preserve"> </w:t>
      </w:r>
      <w:r>
        <w:t xml:space="preserve">according to the protocol and soluble factors were measured in a total</w:t>
      </w:r>
      <w:r>
        <w:t xml:space="preserve"> </w:t>
      </w:r>
      <w:r>
        <w:t xml:space="preserve">volume of 50 µl.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1) I don’t know the term</w:t>
      </w:r>
      <w:r>
        <w:t xml:space="preserve"> </w:t>
      </w:r>
      <w:r>
        <w:t xml:space="preserve">“</w:t>
      </w:r>
      <w:r>
        <w:t xml:space="preserve">XY dilution</w:t>
      </w:r>
      <w:r>
        <w:t xml:space="preserve">”</w:t>
      </w:r>
      <w:r>
        <w:t xml:space="preserve">. Is that a</w:t>
      </w:r>
      <w:r>
        <w:t xml:space="preserve"> </w:t>
      </w:r>
      <w:r>
        <w:t xml:space="preserve">different way of saying</w:t>
      </w:r>
      <w:r>
        <w:t xml:space="preserve"> </w:t>
      </w:r>
      <w:r>
        <w:t xml:space="preserve">“</w:t>
      </w:r>
      <w:r>
        <w:t xml:space="preserve">serial dilution</w:t>
      </w:r>
      <w:r>
        <w:t xml:space="preserve">”</w:t>
      </w:r>
      <w:r>
        <w:t xml:space="preserve"> </w:t>
      </w:r>
      <w:r>
        <w:t xml:space="preserve">or is this some new lab</w:t>
      </w:r>
      <w:r>
        <w:t xml:space="preserve"> </w:t>
      </w:r>
      <w:r>
        <w:t xml:space="preserve">terminology that I have missed on?</w:t>
      </w:r>
    </w:p>
    <w:p>
      <w:pPr>
        <w:pStyle w:val="BodyText"/>
      </w:pPr>
      <w:r>
        <w:t xml:space="preserve">For all samples and all antigens, the following conditions were</w:t>
      </w:r>
      <w:r>
        <w:t xml:space="preserve"> </w:t>
      </w:r>
      <w:r>
        <w:t xml:space="preserve">measured:</w:t>
      </w:r>
    </w:p>
    <w:p>
      <w:pPr>
        <w:pStyle w:val="DefinitionTerm"/>
      </w:pPr>
      <w:r>
        <w:t xml:space="preserve">VIC</w:t>
      </w:r>
    </w:p>
    <w:p>
      <w:pPr>
        <w:pStyle w:val="Definition"/>
      </w:pPr>
      <w:r>
        <w:t xml:space="preserve">A/Victoria/2570/2019 (NIBSC # 20/232)</w:t>
      </w:r>
    </w:p>
    <w:p>
      <w:pPr>
        <w:pStyle w:val="DefinitionTerm"/>
      </w:pPr>
      <w:r>
        <w:t xml:space="preserve">TAS</w:t>
      </w:r>
    </w:p>
    <w:p>
      <w:pPr>
        <w:pStyle w:val="Definition"/>
      </w:pPr>
      <w:r>
        <w:t xml:space="preserve">A/Tasmania/503/2020 (NIBSC # 21/116)</w:t>
      </w:r>
    </w:p>
    <w:p>
      <w:pPr>
        <w:pStyle w:val="DefinitionTerm"/>
      </w:pPr>
      <w:r>
        <w:t xml:space="preserve">WAS</w:t>
      </w:r>
    </w:p>
    <w:p>
      <w:pPr>
        <w:pStyle w:val="Definition"/>
      </w:pPr>
      <w:r>
        <w:t xml:space="preserve">B/Washington/02/2019 (NIBSC # 19/238)</w:t>
      </w:r>
    </w:p>
    <w:p>
      <w:pPr>
        <w:pStyle w:val="DefinitionTerm"/>
      </w:pPr>
      <w:r>
        <w:t xml:space="preserve">PUK</w:t>
      </w:r>
    </w:p>
    <w:p>
      <w:pPr>
        <w:pStyle w:val="Definition"/>
      </w:pPr>
      <w:r>
        <w:t xml:space="preserve">B/Phuket/3073/2013 (NIBSC # 21/136)</w:t>
      </w:r>
    </w:p>
    <w:p>
      <w:pPr>
        <w:pStyle w:val="DefinitionTerm"/>
      </w:pPr>
      <w:r>
        <w:t xml:space="preserve">NEG</w:t>
      </w:r>
    </w:p>
    <w:p>
      <w:pPr>
        <w:pStyle w:val="Definition"/>
      </w:pPr>
      <w:r>
        <w:t xml:space="preserve">Unstimulated</w:t>
      </w:r>
    </w:p>
    <w:p>
      <w:pPr>
        <w:pStyle w:val="DefinitionTerm"/>
      </w:pPr>
      <w:r>
        <w:t xml:space="preserve">MIX</w:t>
      </w:r>
    </w:p>
    <w:p>
      <w:pPr>
        <w:pStyle w:val="Definition"/>
      </w:pPr>
      <w:r>
        <w:t xml:space="preserve">Mix of all four antigens</w:t>
      </w:r>
    </w:p>
    <w:p>
      <w:pPr>
        <w:pStyle w:val="FirstParagraph"/>
      </w:pPr>
      <w:r>
        <w:rPr>
          <w:b/>
        </w:rPr>
        <w:t xml:space="preserve">COMMENTS:</w:t>
      </w:r>
      <w:r>
        <w:t xml:space="preserve"> </w:t>
      </w:r>
      <w:r>
        <w:t xml:space="preserve">1) When rendering into</w:t>
      </w:r>
      <w:r>
        <w:t xml:space="preserve"> </w:t>
      </w:r>
      <w:r>
        <w:t xml:space="preserve">“</w:t>
      </w:r>
      <w:r>
        <w:t xml:space="preserve">DOCX</w:t>
      </w:r>
      <w:r>
        <w:t xml:space="preserve">”</w:t>
      </w:r>
      <w:r>
        <w:t xml:space="preserve"> </w:t>
      </w:r>
      <w:r>
        <w:t xml:space="preserve">this definition style of</w:t>
      </w:r>
      <w:r>
        <w:t xml:space="preserve"> </w:t>
      </w:r>
      <w:r>
        <w:t xml:space="preserve">list fails to render correctly. See the PDF for the correct</w:t>
      </w:r>
      <w:r>
        <w:t xml:space="preserve"> </w:t>
      </w:r>
      <w:r>
        <w:t xml:space="preserve">appearence. 2) The lead in sentence,</w:t>
      </w:r>
      <w:r>
        <w:t xml:space="preserve"> </w:t>
      </w:r>
      <w:r>
        <w:t xml:space="preserve">“</w:t>
      </w:r>
      <w:r>
        <w:t xml:space="preserve">For all samples …, the</w:t>
      </w:r>
      <w:r>
        <w:t xml:space="preserve"> </w:t>
      </w:r>
      <w:r>
        <w:t xml:space="preserve">following conditions were measured:</w:t>
      </w:r>
      <w:r>
        <w:t xml:space="preserve">”</w:t>
      </w:r>
      <w:r>
        <w:t xml:space="preserve"> </w:t>
      </w:r>
      <w:r>
        <w:t xml:space="preserve">seems not quite right. Or, I</w:t>
      </w:r>
      <w:r>
        <w:t xml:space="preserve"> </w:t>
      </w:r>
      <w:r>
        <w:t xml:space="preserve">don’t understand it. Can you rephrase it for me?</w:t>
      </w:r>
    </w:p>
    <w:p>
      <w:pPr>
        <w:pStyle w:val="BodyText"/>
      </w:pPr>
      <w:r>
        <w:t xml:space="preserve">For an unspecific stimulation control, wells were stimulated using</w:t>
      </w:r>
      <w:r>
        <w:t xml:space="preserve"> </w:t>
      </w:r>
      <w:r>
        <w:t xml:space="preserve">staphylococcal enterotoxin B (SEB). SEB samples were measured for</w:t>
      </w:r>
      <w:r>
        <w:t xml:space="preserve"> </w:t>
      </w:r>
      <w:r>
        <w:t xml:space="preserve">selected samples. All conditions and all time points of one sample</w:t>
      </w:r>
      <w:r>
        <w:t xml:space="preserve"> </w:t>
      </w:r>
      <w:r>
        <w:t xml:space="preserve">were measured on the same plate.</w:t>
      </w:r>
    </w:p>
    <w:p>
      <w:pPr>
        <w:pStyle w:val="Heading2"/>
      </w:pPr>
      <w:bookmarkStart w:id="26" w:name="specific-details-of-the-data-processing"/>
      <w:r>
        <w:t xml:space="preserve">Specific Details of the Data Processing</w:t>
      </w:r>
      <w:bookmarkEnd w:id="26"/>
    </w:p>
    <w:p>
      <w:pPr>
        <w:pStyle w:val="FirstParagraph"/>
      </w:pPr>
      <w:r>
        <w:t xml:space="preserve">Raw data files generated by the Luminex</w:t>
      </w:r>
      <w:r>
        <w:rPr>
          <w:vertAlign w:val="superscript"/>
        </w:rPr>
        <w:t xml:space="preserve">®</w:t>
      </w:r>
      <w:r>
        <w:t xml:space="preserve"> </w:t>
      </w:r>
      <w:r>
        <w:t xml:space="preserve">System are exported as</w:t>
      </w:r>
      <w:r>
        <w:t xml:space="preserve"> </w:t>
      </w:r>
      <w:hyperlink r:id="rId27">
        <w:r>
          <w:rPr>
            <w:rStyle w:val="Hyperlink"/>
          </w:rPr>
          <w:t xml:space="preserve">CSV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files</w:t>
        </w:r>
      </w:hyperlink>
      <w:r>
        <w:t xml:space="preserve">. For</w:t>
      </w:r>
      <w:r>
        <w:t xml:space="preserve"> </w:t>
      </w:r>
      <w:r>
        <w:t xml:space="preserve">further processing, the raw data files are loaded into the</w:t>
      </w:r>
      <w:r>
        <w:t xml:space="preserve"> </w:t>
      </w:r>
      <w:r>
        <w:t xml:space="preserve">ProcartaPlex</w:t>
      </w:r>
      <w:r>
        <w:rPr>
          <w:vertAlign w:val="superscript"/>
        </w:rPr>
        <w:t xml:space="preserve">®</w:t>
      </w:r>
      <w:r>
        <w:t xml:space="preserve"> </w:t>
      </w:r>
      <w:r>
        <w:t xml:space="preserve">Analysis App (Thermo Fisher Scientific). Here a</w:t>
      </w:r>
      <w:r>
        <w:t xml:space="preserve"> </w:t>
      </w:r>
      <w:r>
        <w:t xml:space="preserve">five-parameter logistic fit is used to calculate the standard curve</w:t>
      </w:r>
      <w:r>
        <w:t xml:space="preserve"> </w:t>
      </w:r>
      <w:r>
        <w:t xml:space="preserve">and derive the sample parameters. Parameters are reported as median</w:t>
      </w:r>
      <w:r>
        <w:t xml:space="preserve"> </w:t>
      </w:r>
      <w:r>
        <w:t xml:space="preserve">fluorescence intensity (MFI) and concentrations (pg/ml).</w:t>
      </w:r>
    </w:p>
    <w:p>
      <w:pPr>
        <w:pStyle w:val="BodyText"/>
      </w:pPr>
      <w:r>
        <w:rPr>
          <w:b/>
        </w:rPr>
        <w:t xml:space="preserve">COMMENTS:</w:t>
      </w:r>
      <w:r>
        <w:t xml:space="preserve"> </w:t>
      </w:r>
      <w:r>
        <w:t xml:space="preserve">We should investigate how to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  <w:r>
        <w:t xml:space="preserve"> </w:t>
      </w:r>
      <w:r>
        <w:t xml:space="preserve">the fits. For</w:t>
      </w:r>
      <w:r>
        <w:t xml:space="preserve"> </w:t>
      </w:r>
      <w:r>
        <w:t xml:space="preserve">example, if the ProcartaPlex software outputs plots in a reasonable</w:t>
      </w:r>
      <w:r>
        <w:t xml:space="preserve"> </w:t>
      </w:r>
      <w:r>
        <w:t xml:space="preserve">format, especially if it includes the paramters as well, we should</w:t>
      </w:r>
      <w:r>
        <w:t xml:space="preserve"> </w:t>
      </w:r>
      <w:r>
        <w:t xml:space="preserve">include that data. Even incuding a Mean Squared Error (MSE) or other</w:t>
      </w:r>
      <w:r>
        <w:t xml:space="preserve"> </w:t>
      </w:r>
      <w:r>
        <w:t xml:space="preserve">parameter indicating the goodness of fit is better than nothing. Or,</w:t>
      </w:r>
      <w:r>
        <w:t xml:space="preserve"> </w:t>
      </w:r>
      <w:r>
        <w:t xml:space="preserve">perhaps a small spreadsheet of 35 rows by 6 columns containing the</w:t>
      </w:r>
      <w:r>
        <w:t xml:space="preserve"> </w:t>
      </w:r>
      <w:r>
        <w:t xml:space="preserve">parameters of the fits: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t>B</m:t>
          </m:r>
          <m:r>
            <m:t>+</m:t>
          </m:r>
          <m:f>
            <m:fPr>
              <m:type m:val="bar"/>
            </m:fPr>
            <m:num>
              <m:r>
                <m:t>T</m:t>
              </m:r>
              <m:r>
                <m:t>−</m:t>
              </m:r>
              <m:r>
                <m:t>B</m:t>
              </m:r>
            </m:num>
            <m:den>
              <m:sSup>
                <m:e>
                  <m:d>
                    <m:dPr>
                      <m:begChr m:val="[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t>+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b</m:t>
                          </m:r>
                          <m: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i</m:t>
                              </m:r>
                              <m:r>
                                <m:t>d</m:t>
                              </m:r>
                            </m:sub>
                          </m:sSub>
                          <m:r>
                            <m:t>−</m:t>
                          </m:r>
                          <m:r>
                            <m:t>x</m:t>
                          </m:r>
                          <m:r>
                            <m:t>)</m:t>
                          </m:r>
                        </m:sup>
                      </m:sSup>
                    </m:e>
                  </m:d>
                </m:e>
                <m:sup>
                  <m:r>
                    <m:t>s</m:t>
                  </m:r>
                </m:sup>
              </m:sSup>
            </m:den>
          </m:f>
        </m:oMath>
      </m:oMathPara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 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 x-mid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 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p>
            <w:pPr>
              <w:pStyle w:val="Compact"/>
              <w:jc w:val="left"/>
            </w:pPr>
            <w:r>
              <w:t xml:space="preserve">3245</w:t>
            </w:r>
          </w:p>
        </w:tc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EGF</w:t>
            </w:r>
          </w:p>
        </w:tc>
        <w:tc>
          <w:p>
            <w:pPr>
              <w:pStyle w:val="Compact"/>
              <w:jc w:val="left"/>
            </w:pPr>
            <w:r>
              <w:t xml:space="preserve">etc.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ENA-78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etc.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8" w:name="files-uploaded"/>
      <w:r>
        <w:t xml:space="preserve">Files Uploaded</w:t>
      </w:r>
      <w:bookmarkEnd w:id="28"/>
    </w:p>
    <w:p>
      <w:pPr>
        <w:pStyle w:val="DefinitionTerm"/>
      </w:pPr>
      <w:r>
        <w:rPr>
          <w:rStyle w:val="VerbatimChar"/>
        </w:rPr>
        <w:t xml:space="preserve">README.md</w:t>
      </w:r>
    </w:p>
    <w:p>
      <w:pPr>
        <w:pStyle w:val="Definition"/>
      </w:pPr>
      <w:r>
        <w:t xml:space="preserve">This file. Uses</w:t>
      </w:r>
      <w:r>
        <w:t xml:space="preserve"> </w:t>
      </w:r>
      <w:r>
        <w:rPr>
          <w:i/>
        </w:rPr>
        <w:t xml:space="preserve">Markdown</w:t>
      </w:r>
      <w:r>
        <w:t xml:space="preserve">, a text format that is readable</w:t>
      </w:r>
      <w:r>
        <w:t xml:space="preserve"> </w:t>
      </w:r>
      <w:r>
        <w:t xml:space="preserve">directly or in a nicely formatted style. See:</w:t>
      </w:r>
      <w:r>
        <w:t xml:space="preserve"> </w:t>
      </w:r>
      <w:hyperlink r:id="rId29">
        <w:r>
          <w:rPr>
            <w:rStyle w:val="Hyperlink"/>
            <w:i/>
          </w:rPr>
          <w:t xml:space="preserve">Markdown Guide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INCENTIVE_LuminexHZI_Final.xlsx</w:t>
      </w:r>
    </w:p>
    <w:p>
      <w:pPr>
        <w:pStyle w:val="Definition"/>
      </w:pPr>
      <w:r>
        <w:t xml:space="preserve">File containing the mean fluorescence intensities (MFI) and</w:t>
      </w:r>
      <w:r>
        <w:t xml:space="preserve"> </w:t>
      </w:r>
      <w:r>
        <w:t xml:space="preserve">concentrations (pg/ml) of the measured analytes for samples derived</w:t>
      </w:r>
      <w:r>
        <w:t xml:space="preserve"> </w:t>
      </w:r>
      <w:r>
        <w:t xml:space="preserve">from the clinical trials QIV2 and QIV3. (</w:t>
      </w:r>
      <w:r>
        <w:rPr>
          <w:b/>
        </w:rPr>
        <w:t xml:space="preserve">TO BE DELIVERED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Dictionary.xlsx</w:t>
      </w:r>
    </w:p>
    <w:p>
      <w:pPr>
        <w:pStyle w:val="Definition"/>
      </w:pPr>
      <w:r>
        <w:t xml:space="preserve">A data dictionary describing the contents of the file,</w:t>
      </w:r>
      <w:r>
        <w:t xml:space="preserve"> </w:t>
      </w:r>
      <w:r>
        <w:rPr>
          <w:rStyle w:val="VerbatimChar"/>
        </w:rPr>
        <w:t xml:space="preserve">INCENTIVE_LuminexHZI_Final.xlsx</w:t>
      </w:r>
      <w:r>
        <w:t xml:space="preserve">. (</w:t>
      </w:r>
      <w:r>
        <w:rPr>
          <w:b/>
        </w:rPr>
        <w:t xml:space="preserve">TO BE DELIVERED</w:t>
      </w:r>
      <w:r>
        <w:t xml:space="preserve">)</w:t>
      </w:r>
    </w:p>
    <w:p>
      <w:pPr>
        <w:pStyle w:val="Heading1"/>
      </w:pPr>
      <w:bookmarkStart w:id="30" w:name="contact"/>
      <w:r>
        <w:t xml:space="preserve">Contact</w:t>
      </w:r>
      <w:bookmarkEnd w:id="30"/>
    </w:p>
    <w:p>
      <w:pPr>
        <w:pStyle w:val="FirstParagraph"/>
      </w:pPr>
      <w:r>
        <w:t xml:space="preserve">For questions about this dataset, please contact:</w:t>
      </w:r>
    </w:p>
    <w:p>
      <w:pPr>
        <w:pStyle w:val="SourceCode"/>
      </w:pPr>
      <w:r>
        <w:rPr>
          <w:rStyle w:val="VerbatimChar"/>
        </w:rPr>
        <w:t xml:space="preserve">Stephanie Trittel</w:t>
      </w:r>
      <w:r>
        <w:br/>
      </w:r>
      <w:r>
        <w:rPr>
          <w:rStyle w:val="VerbatimChar"/>
        </w:rPr>
        <w:t xml:space="preserve">Scientist</w:t>
      </w:r>
      <w:r>
        <w:br/>
      </w:r>
      <w:r>
        <w:rPr>
          <w:rStyle w:val="VerbatimChar"/>
        </w:rPr>
        <w:t xml:space="preserve">Helmholtz -- Center for Infection Research</w:t>
      </w:r>
      <w:r>
        <w:br/>
      </w:r>
      <w:r>
        <w:rPr>
          <w:rStyle w:val="VerbatimChar"/>
        </w:rPr>
        <w:t xml:space="preserve">Department of Vaccinology</w:t>
      </w:r>
      <w:r>
        <w:br/>
      </w:r>
      <w:r>
        <w:rPr>
          <w:rStyle w:val="VerbatimChar"/>
        </w:rPr>
        <w:t xml:space="preserve">Inhoffenstraße 7</w:t>
      </w:r>
      <w:r>
        <w:br/>
      </w:r>
      <w:r>
        <w:rPr>
          <w:rStyle w:val="VerbatimChar"/>
        </w:rPr>
        <w:t xml:space="preserve">38124 Braunschweig</w:t>
      </w:r>
      <w:r>
        <w:br/>
      </w:r>
      <w:r>
        <w:rPr>
          <w:rStyle w:val="VerbatimChar"/>
        </w:rPr>
        <w:t xml:space="preserve">Germany</w:t>
      </w:r>
      <w:r>
        <w:br/>
      </w:r>
      <w:r>
        <w:br/>
      </w:r>
      <w:r>
        <w:rPr>
          <w:rStyle w:val="VerbatimChar"/>
        </w:rPr>
        <w:t xml:space="preserve">Tel. +49 531 6181 4609</w:t>
      </w:r>
      <w:r>
        <w:br/>
      </w:r>
      <w:r>
        <w:rPr>
          <w:rStyle w:val="VerbatimChar"/>
        </w:rPr>
        <w:t xml:space="preserve">Email: stephanie.trittel@helmholtz-hzi.de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	<Relationship Type="http://schemas.openxmlformats.org/officeDocument/2006/relationships/numbering" Id="rId1" Target="numbering.xml"/>
	<Relationship Type="http://schemas.openxmlformats.org/officeDocument/2006/relationships/styles" Id="rId2" Target="styles.xml"/>
	<Relationship Type="http://schemas.openxmlformats.org/officeDocument/2006/relationships/settings" Id="rId3" Target="settings.xml"/>
	<Relationship Type="http://schemas.openxmlformats.org/officeDocument/2006/relationships/webSettings" Id="rId4" Target="webSettings.xml"/>
	<Relationship Type="http://schemas.openxmlformats.org/officeDocument/2006/relationships/fontTable" Id="rId5" Target="fontTable.xml"/>
	<Relationship Type="http://schemas.openxmlformats.org/officeDocument/2006/relationships/theme" Id="rId6" Target="theme/theme1.xml"/>
	<Relationship Type="http://schemas.openxmlformats.org/officeDocument/2006/relationships/footnotes" Id="rId7" Target="footnotes.xml"/>
	<Relationship Type="http://schemas.openxmlformats.org/officeDocument/2006/relationships/comments" Id="rId8" Target="comments.xml"/>
	<Relationship Type="http://schemas.openxmlformats.org/officeDocument/2006/relationships/hyperlink" Id="rId22" Target="http://?" TargetMode="External"/>
	<Relationship Type="http://schemas.openxmlformats.org/officeDocument/2006/relationships/hyperlink" Id="rId27" Target="http://?" TargetMode="External"/>
	<Relationship Type="http://schemas.openxmlformats.org/officeDocument/2006/relationships/hyperlink" Id="rId29" Target="http://?" TargetMode="External"/>
</Relationships>
</file>

<file path=word/_rels/footnotes.xml.rels><?xml version="1.0" encoding="UTF-8"?>
<Relationships xmlns="http://schemas.openxmlformats.org/package/2006/relationships">
	<Relationship Type="http://schemas.openxmlformats.org/officeDocument/2006/relationships/hyperlink" Id="rId22" Target="http://?" TargetMode="External"/>
	<Relationship Type="http://schemas.openxmlformats.org/officeDocument/2006/relationships/hyperlink" Id="rId27" Target="http://?" TargetMode="External"/>
	<Relationship Type="http://schemas.openxmlformats.org/officeDocument/2006/relationships/hyperlink" Id="rId29" Target="http://?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2025-01-07T22:41:37Z</dcterms:created>
  <dcterms:modified xsi:type="dcterms:W3CDTF">2025-01-07T22:41:37Z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