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AB559E" w14:textId="77777777" w:rsidR="000D1BD5" w:rsidRDefault="000D1BD5" w:rsidP="000D1BD5">
      <w:pPr>
        <w:pStyle w:val="MdHeading2"/>
        <w:jc w:val="center"/>
      </w:pPr>
      <w:r>
        <w:t>INCT Fungos do Brasil</w:t>
      </w:r>
    </w:p>
    <w:p w14:paraId="6000914C" w14:textId="77777777" w:rsidR="000D1BD5" w:rsidRDefault="000D1BD5" w:rsidP="000D1BD5">
      <w:pPr>
        <w:pStyle w:val="MdHeading1"/>
        <w:jc w:val="center"/>
        <w:rPr>
          <w:color w:val="000000" w:themeColor="text1"/>
          <w:sz w:val="28"/>
          <w:szCs w:val="28"/>
        </w:rPr>
      </w:pPr>
      <w:r w:rsidRPr="00530C92">
        <w:rPr>
          <w:color w:val="EE0000"/>
          <w:sz w:val="28"/>
          <w:szCs w:val="28"/>
        </w:rPr>
        <w:t xml:space="preserve">POP 1: </w:t>
      </w:r>
      <w:r w:rsidRPr="00530C92">
        <w:rPr>
          <w:color w:val="000000" w:themeColor="text1"/>
          <w:sz w:val="28"/>
          <w:szCs w:val="28"/>
        </w:rPr>
        <w:t>Extração</w:t>
      </w:r>
      <w:r>
        <w:rPr>
          <w:color w:val="000000" w:themeColor="text1"/>
          <w:sz w:val="28"/>
          <w:szCs w:val="28"/>
        </w:rPr>
        <w:t xml:space="preserve">, análise de qualidade </w:t>
      </w:r>
      <w:r w:rsidRPr="00530C92">
        <w:rPr>
          <w:color w:val="000000" w:themeColor="text1"/>
          <w:sz w:val="28"/>
          <w:szCs w:val="28"/>
        </w:rPr>
        <w:t xml:space="preserve">e </w:t>
      </w:r>
      <w:r>
        <w:rPr>
          <w:color w:val="000000" w:themeColor="text1"/>
          <w:sz w:val="28"/>
          <w:szCs w:val="28"/>
        </w:rPr>
        <w:t>e</w:t>
      </w:r>
      <w:r w:rsidRPr="00530C92">
        <w:rPr>
          <w:color w:val="000000" w:themeColor="text1"/>
          <w:sz w:val="28"/>
          <w:szCs w:val="28"/>
        </w:rPr>
        <w:t>nvio de DNA</w:t>
      </w:r>
    </w:p>
    <w:p w14:paraId="10D2F70A" w14:textId="77777777" w:rsidR="000D1BD5" w:rsidRPr="00530C92" w:rsidRDefault="000D1BD5" w:rsidP="000D1BD5">
      <w:pPr>
        <w:pStyle w:val="MdHeading1"/>
        <w:jc w:val="center"/>
        <w:rPr>
          <w:color w:val="EE0000"/>
          <w:sz w:val="28"/>
          <w:szCs w:val="28"/>
        </w:rPr>
      </w:pPr>
      <w:r w:rsidRPr="00530C92">
        <w:rPr>
          <w:color w:val="000000" w:themeColor="text1"/>
          <w:sz w:val="28"/>
          <w:szCs w:val="28"/>
        </w:rPr>
        <w:t>Manual do Usuário</w:t>
      </w:r>
    </w:p>
    <w:p w14:paraId="085BF9BA" w14:textId="77777777" w:rsidR="000D1BD5" w:rsidRDefault="000D1BD5" w:rsidP="000D1BD5">
      <w:pPr>
        <w:pStyle w:val="MdParagraph"/>
        <w:jc w:val="both"/>
      </w:pPr>
      <w:r>
        <w:rPr>
          <w:rStyle w:val="MdStrong"/>
        </w:rPr>
        <w:t>Objetivo:</w:t>
      </w:r>
      <w:r>
        <w:t xml:space="preserve"> Orientar os pesquisadores da rede INCT Fungos do Brasil sobre os procedimentos de extração, purificação e os critérios mínimos de qualidade e quantidade para o envio de amostras de DNA genômico destinadas ao sequenciamento (PCR-</w:t>
      </w:r>
      <w:proofErr w:type="spellStart"/>
      <w:r>
        <w:t>free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 prep. </w:t>
      </w:r>
      <w:proofErr w:type="spellStart"/>
      <w:r>
        <w:t>Illumina</w:t>
      </w:r>
      <w:proofErr w:type="spellEnd"/>
      <w:r>
        <w:t>).</w:t>
      </w:r>
    </w:p>
    <w:p w14:paraId="30BF6264" w14:textId="77777777" w:rsidR="00AF6DD8" w:rsidRDefault="00AF6DD8">
      <w:pPr>
        <w:pStyle w:val="MdHr"/>
        <w:pBdr>
          <w:bottom w:val="single" w:sz="6" w:space="1" w:color="auto"/>
        </w:pBdr>
      </w:pPr>
    </w:p>
    <w:p w14:paraId="392E720B" w14:textId="77777777" w:rsidR="00AF6DD8" w:rsidRDefault="00AF6DD8">
      <w:pPr>
        <w:pStyle w:val="MdSpace"/>
        <w:spacing w:after="60"/>
      </w:pPr>
    </w:p>
    <w:p w14:paraId="45D9D00F" w14:textId="77777777" w:rsidR="00AF6DD8" w:rsidRDefault="00000000">
      <w:pPr>
        <w:pStyle w:val="MdHeading3"/>
      </w:pPr>
      <w:r>
        <w:t>1. Verificação da Pureza das Culturas</w:t>
      </w:r>
    </w:p>
    <w:p w14:paraId="500FB4E7" w14:textId="3DB4A76B" w:rsidR="00AF6DD8" w:rsidRDefault="00000000" w:rsidP="000D1BD5">
      <w:pPr>
        <w:pStyle w:val="MdBlockquote"/>
        <w:jc w:val="both"/>
      </w:pPr>
      <w:r w:rsidRPr="000D1BD5">
        <w:rPr>
          <w:rStyle w:val="MdStrong"/>
          <w:color w:val="EE0000"/>
        </w:rPr>
        <w:t>ATENÇÃO:</w:t>
      </w:r>
      <w:r w:rsidRPr="000D1BD5">
        <w:rPr>
          <w:color w:val="EE0000"/>
        </w:rPr>
        <w:t xml:space="preserve"> </w:t>
      </w:r>
      <w:r>
        <w:t xml:space="preserve">Este é </w:t>
      </w:r>
      <w:r w:rsidR="000D1BD5">
        <w:t>um</w:t>
      </w:r>
      <w:r>
        <w:t xml:space="preserve"> passo</w:t>
      </w:r>
      <w:r w:rsidR="000D1BD5">
        <w:t xml:space="preserve"> </w:t>
      </w:r>
      <w:r>
        <w:t xml:space="preserve">importante antes de qualquer extração de DNA. O sequenciamento genômico é extremamente sensível e detectará qualquer contaminante presente na cultura. Um genoma contaminado com DNA de outro microrganismo (bactéria, levedura ou outro fungo) compromete completamente a montagem e a análise, resultando em desperdício de recursos e necessidade de </w:t>
      </w:r>
      <w:proofErr w:type="spellStart"/>
      <w:r>
        <w:t>resequenciamento</w:t>
      </w:r>
      <w:proofErr w:type="spellEnd"/>
      <w:r>
        <w:t>.</w:t>
      </w:r>
    </w:p>
    <w:p w14:paraId="059BD983" w14:textId="77777777" w:rsidR="00AF6DD8" w:rsidRDefault="00AF6DD8">
      <w:pPr>
        <w:pStyle w:val="MdSpace"/>
        <w:spacing w:after="60"/>
      </w:pPr>
    </w:p>
    <w:p w14:paraId="46F43707" w14:textId="00968C31" w:rsidR="00AF6DD8" w:rsidRDefault="00000000">
      <w:pPr>
        <w:pStyle w:val="MdParagraph"/>
      </w:pPr>
      <w:r>
        <w:rPr>
          <w:rStyle w:val="MdStrong"/>
        </w:rPr>
        <w:t xml:space="preserve">1.1. Obtenção de </w:t>
      </w:r>
      <w:r w:rsidR="000D1BD5">
        <w:rPr>
          <w:rStyle w:val="MdStrong"/>
        </w:rPr>
        <w:t>c</w:t>
      </w:r>
      <w:r>
        <w:rPr>
          <w:rStyle w:val="MdStrong"/>
        </w:rPr>
        <w:t xml:space="preserve">ulturas </w:t>
      </w:r>
      <w:proofErr w:type="spellStart"/>
      <w:r w:rsidR="000D1BD5">
        <w:rPr>
          <w:rStyle w:val="MdStrong"/>
        </w:rPr>
        <w:t>m</w:t>
      </w:r>
      <w:r>
        <w:rPr>
          <w:rStyle w:val="MdStrong"/>
        </w:rPr>
        <w:t>onospóricas</w:t>
      </w:r>
      <w:proofErr w:type="spellEnd"/>
      <w:r>
        <w:rPr>
          <w:rStyle w:val="MdStrong"/>
        </w:rPr>
        <w:t xml:space="preserve"> (</w:t>
      </w:r>
      <w:r w:rsidR="000D1BD5">
        <w:rPr>
          <w:rStyle w:val="MdStrong"/>
        </w:rPr>
        <w:t xml:space="preserve">Fortemente </w:t>
      </w:r>
      <w:r>
        <w:rPr>
          <w:rStyle w:val="MdStrong"/>
        </w:rPr>
        <w:t>Recomenda</w:t>
      </w:r>
      <w:r w:rsidR="000D1BD5">
        <w:rPr>
          <w:rStyle w:val="MdStrong"/>
        </w:rPr>
        <w:t>do</w:t>
      </w:r>
      <w:r>
        <w:rPr>
          <w:rStyle w:val="MdStrong"/>
        </w:rPr>
        <w:t>)</w:t>
      </w:r>
    </w:p>
    <w:p w14:paraId="21EFE97A" w14:textId="77777777" w:rsidR="00AF6DD8" w:rsidRDefault="00AF6DD8">
      <w:pPr>
        <w:pStyle w:val="MdSpace"/>
        <w:spacing w:after="60"/>
      </w:pPr>
    </w:p>
    <w:p w14:paraId="0BDCB04F" w14:textId="77777777" w:rsidR="00AF6DD8" w:rsidRDefault="00000000" w:rsidP="000D1BD5">
      <w:pPr>
        <w:pStyle w:val="MdParagraph"/>
        <w:ind w:firstLine="708"/>
        <w:jc w:val="both"/>
      </w:pPr>
      <w:r>
        <w:t xml:space="preserve">Para garantir a pureza genética da amostra, é </w:t>
      </w:r>
      <w:r>
        <w:rPr>
          <w:rStyle w:val="MdStrong"/>
        </w:rPr>
        <w:t>fortemente recomendado</w:t>
      </w:r>
      <w:r>
        <w:t xml:space="preserve"> que o DNA seja extraído a partir de </w:t>
      </w:r>
      <w:r>
        <w:rPr>
          <w:rStyle w:val="MdStrong"/>
        </w:rPr>
        <w:t xml:space="preserve">culturas </w:t>
      </w:r>
      <w:proofErr w:type="spellStart"/>
      <w:r>
        <w:rPr>
          <w:rStyle w:val="MdStrong"/>
        </w:rPr>
        <w:t>monospóricas</w:t>
      </w:r>
      <w:proofErr w:type="spellEnd"/>
      <w:r>
        <w:t xml:space="preserve"> (derivadas de um único esporo). Esse procedimento assegura que todo o material genético pertence a um único indivíduo, eliminando a possibilidade de mistura de genótipos distintos — mesmo dentro da mesma espécie. Culturas originadas de fragmentos de micélio ou de múltiplos esporos podem conter variantes genéticas que dificultam a montagem do genoma.</w:t>
      </w:r>
    </w:p>
    <w:p w14:paraId="2C648903" w14:textId="77777777" w:rsidR="00AF6DD8" w:rsidRDefault="00AF6DD8">
      <w:pPr>
        <w:pStyle w:val="MdSpace"/>
        <w:spacing w:after="60"/>
      </w:pPr>
    </w:p>
    <w:p w14:paraId="27E9086A" w14:textId="43262519" w:rsidR="00AF6DD8" w:rsidRDefault="00000000">
      <w:pPr>
        <w:pStyle w:val="MdParagraph"/>
      </w:pPr>
      <w:r>
        <w:rPr>
          <w:rStyle w:val="MdStrong"/>
        </w:rPr>
        <w:t xml:space="preserve">1.2. Checagem </w:t>
      </w:r>
      <w:r w:rsidR="000D1BD5">
        <w:rPr>
          <w:rStyle w:val="MdStrong"/>
        </w:rPr>
        <w:t>v</w:t>
      </w:r>
      <w:r>
        <w:rPr>
          <w:rStyle w:val="MdStrong"/>
        </w:rPr>
        <w:t xml:space="preserve">isual e </w:t>
      </w:r>
      <w:r w:rsidR="000D1BD5">
        <w:rPr>
          <w:rStyle w:val="MdStrong"/>
        </w:rPr>
        <w:t>m</w:t>
      </w:r>
      <w:r>
        <w:rPr>
          <w:rStyle w:val="MdStrong"/>
        </w:rPr>
        <w:t xml:space="preserve">icrobiológica </w:t>
      </w:r>
      <w:r w:rsidR="000D1BD5">
        <w:rPr>
          <w:rStyle w:val="MdStrong"/>
        </w:rPr>
        <w:t>a</w:t>
      </w:r>
      <w:r>
        <w:rPr>
          <w:rStyle w:val="MdStrong"/>
        </w:rPr>
        <w:t xml:space="preserve">ntes da </w:t>
      </w:r>
      <w:r w:rsidR="000D1BD5">
        <w:rPr>
          <w:rStyle w:val="MdStrong"/>
        </w:rPr>
        <w:t>e</w:t>
      </w:r>
      <w:r>
        <w:rPr>
          <w:rStyle w:val="MdStrong"/>
        </w:rPr>
        <w:t>xtração</w:t>
      </w:r>
    </w:p>
    <w:p w14:paraId="31F4998F" w14:textId="77777777" w:rsidR="00AF6DD8" w:rsidRDefault="00AF6DD8">
      <w:pPr>
        <w:pStyle w:val="MdSpace"/>
        <w:spacing w:after="60"/>
      </w:pPr>
    </w:p>
    <w:p w14:paraId="0FB3CEA1" w14:textId="77777777" w:rsidR="00AF6DD8" w:rsidRDefault="00000000">
      <w:pPr>
        <w:pStyle w:val="MdParagraph"/>
      </w:pPr>
      <w:r>
        <w:t>Antes de iniciar a extração de DNA, o pesquisador deve realizar uma inspeção rigorosa da cultura:</w:t>
      </w:r>
    </w:p>
    <w:p w14:paraId="000ABB80" w14:textId="77777777" w:rsidR="00AF6DD8" w:rsidRDefault="00AF6DD8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5"/>
        <w:gridCol w:w="3118"/>
        <w:gridCol w:w="3923"/>
      </w:tblGrid>
      <w:tr w:rsidR="00AF6DD8" w14:paraId="66DB7728" w14:textId="77777777" w:rsidTr="000D1BD5">
        <w:trPr>
          <w:cantSplit/>
          <w:trHeight w:val="720"/>
          <w:tblHeader/>
        </w:trPr>
        <w:tc>
          <w:tcPr>
            <w:tcW w:w="11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C7DC24" w14:textId="77777777" w:rsidR="00AF6DD8" w:rsidRDefault="00000000">
            <w:pPr>
              <w:pStyle w:val="MdTableHeader"/>
            </w:pPr>
            <w:r>
              <w:t>Tipo de Cultivo</w:t>
            </w:r>
          </w:p>
        </w:tc>
        <w:tc>
          <w:tcPr>
            <w:tcW w:w="1727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55253A" w14:textId="77777777" w:rsidR="00AF6DD8" w:rsidRDefault="00000000">
            <w:pPr>
              <w:pStyle w:val="MdTableHeader"/>
            </w:pPr>
            <w:r>
              <w:t>O que verificar</w:t>
            </w:r>
          </w:p>
        </w:tc>
        <w:tc>
          <w:tcPr>
            <w:tcW w:w="2173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81E282" w14:textId="77777777" w:rsidR="00AF6DD8" w:rsidRDefault="00000000">
            <w:pPr>
              <w:pStyle w:val="MdTableHeader"/>
            </w:pPr>
            <w:r>
              <w:t>Sinais de Contaminação (NÃO extrair)</w:t>
            </w:r>
          </w:p>
        </w:tc>
      </w:tr>
      <w:tr w:rsidR="00AF6DD8" w14:paraId="31A4AE6E" w14:textId="77777777" w:rsidTr="000D1BD5">
        <w:trPr>
          <w:cantSplit/>
          <w:trHeight w:val="576"/>
        </w:trPr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722E2" w14:textId="77777777" w:rsidR="00AF6DD8" w:rsidRDefault="00000000">
            <w:pPr>
              <w:pStyle w:val="MdTableCell"/>
            </w:pPr>
            <w:r>
              <w:rPr>
                <w:rStyle w:val="MdStrong"/>
              </w:rPr>
              <w:t>Meio Sólido (Placa)</w:t>
            </w:r>
          </w:p>
        </w:tc>
        <w:tc>
          <w:tcPr>
            <w:tcW w:w="172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FA6A" w14:textId="77777777" w:rsidR="00AF6DD8" w:rsidRDefault="00000000">
            <w:pPr>
              <w:pStyle w:val="MdTableCell"/>
            </w:pPr>
            <w:r>
              <w:t>Colônia uniforme em morfologia, cor e textura. Ausência de colônias satélites ou zonas com aspecto diferente.</w:t>
            </w:r>
          </w:p>
        </w:tc>
        <w:tc>
          <w:tcPr>
            <w:tcW w:w="217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084D6" w14:textId="77777777" w:rsidR="00AF6DD8" w:rsidRDefault="00000000">
            <w:pPr>
              <w:pStyle w:val="MdTableCell"/>
            </w:pPr>
            <w:r>
              <w:t>Colônias bacterianas (pontos brilhantes, mucoides); crescimento de outro fungo com morfologia distinta; bordas irregulares com coloração diferente.</w:t>
            </w:r>
          </w:p>
        </w:tc>
      </w:tr>
      <w:tr w:rsidR="00AF6DD8" w14:paraId="754CE4B6" w14:textId="77777777" w:rsidTr="000D1BD5">
        <w:trPr>
          <w:cantSplit/>
          <w:trHeight w:val="576"/>
        </w:trPr>
        <w:tc>
          <w:tcPr>
            <w:tcW w:w="1100" w:type="pct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47DA5" w14:textId="77777777" w:rsidR="00AF6DD8" w:rsidRDefault="00000000">
            <w:pPr>
              <w:pStyle w:val="MdTableCell"/>
            </w:pPr>
            <w:r>
              <w:rPr>
                <w:rStyle w:val="MdStrong"/>
              </w:rPr>
              <w:lastRenderedPageBreak/>
              <w:t>Meio Líquido (Caldo)</w:t>
            </w:r>
          </w:p>
        </w:tc>
        <w:tc>
          <w:tcPr>
            <w:tcW w:w="1727" w:type="pct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4D897" w14:textId="77777777" w:rsidR="00AF6DD8" w:rsidRDefault="00000000">
            <w:pPr>
              <w:pStyle w:val="MdTableCell"/>
            </w:pPr>
            <w:r>
              <w:t>Crescimento micelial homogêneo (pellets ou tapete). Meio claro entre as massas miceliais.</w:t>
            </w:r>
          </w:p>
        </w:tc>
        <w:tc>
          <w:tcPr>
            <w:tcW w:w="2173" w:type="pct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5F4CA" w14:textId="77777777" w:rsidR="00AF6DD8" w:rsidRDefault="00000000">
            <w:pPr>
              <w:pStyle w:val="MdTableCell"/>
            </w:pPr>
            <w:r>
              <w:rPr>
                <w:rStyle w:val="MdStrong"/>
              </w:rPr>
              <w:t>Turbidez do meio</w:t>
            </w:r>
            <w:r>
              <w:t xml:space="preserve"> (indicativo clássico de contaminação bacteriana); biofilme na superfície; mudança de cor ou odor atípico do meio; presença de estruturas diferentes do esperado.</w:t>
            </w:r>
          </w:p>
        </w:tc>
      </w:tr>
    </w:tbl>
    <w:p w14:paraId="21EF1993" w14:textId="77777777" w:rsidR="00AF6DD8" w:rsidRDefault="00000000">
      <w:pPr>
        <w:pStyle w:val="MdParagraph"/>
      </w:pPr>
      <w:r>
        <w:rPr>
          <w:rStyle w:val="MdStrong"/>
        </w:rPr>
        <w:t>1.3. Procedimentos em Caso de Suspeita de Contaminação</w:t>
      </w:r>
    </w:p>
    <w:p w14:paraId="6CB4CED4" w14:textId="77777777" w:rsidR="00AF6DD8" w:rsidRDefault="00AF6DD8">
      <w:pPr>
        <w:pStyle w:val="MdSpace"/>
        <w:spacing w:after="60"/>
      </w:pPr>
    </w:p>
    <w:p w14:paraId="6F6F7E38" w14:textId="77777777" w:rsidR="00AF6DD8" w:rsidRDefault="00000000">
      <w:pPr>
        <w:pStyle w:val="MdParagraph"/>
      </w:pPr>
      <w:r>
        <w:t xml:space="preserve">Se houver qualquer suspeita de contaminação, o pesquisador </w:t>
      </w:r>
      <w:r>
        <w:rPr>
          <w:rStyle w:val="MdStrong"/>
        </w:rPr>
        <w:t>não deve prosseguir</w:t>
      </w:r>
      <w:r>
        <w:t xml:space="preserve"> com a extração de DNA. As seguintes ações são recomendadas:</w:t>
      </w:r>
    </w:p>
    <w:p w14:paraId="234A1711" w14:textId="77777777" w:rsidR="00AF6DD8" w:rsidRDefault="00AF6DD8">
      <w:pPr>
        <w:pStyle w:val="MdSpace"/>
        <w:spacing w:after="60"/>
      </w:pPr>
    </w:p>
    <w:p w14:paraId="6C63B03A" w14:textId="77777777" w:rsidR="00AF6DD8" w:rsidRDefault="00000000" w:rsidP="00B76C35">
      <w:pPr>
        <w:pStyle w:val="MdListItem"/>
        <w:numPr>
          <w:ilvl w:val="0"/>
          <w:numId w:val="2"/>
        </w:numPr>
        <w:jc w:val="both"/>
      </w:pPr>
      <w:r>
        <w:t>Repicar a cultura em meio novo a partir de uma região aparentemente pura (ponta de hifa).</w:t>
      </w:r>
    </w:p>
    <w:p w14:paraId="476CA518" w14:textId="77777777" w:rsidR="00AF6DD8" w:rsidRDefault="00000000" w:rsidP="00B76C35">
      <w:pPr>
        <w:pStyle w:val="MdListItem"/>
        <w:numPr>
          <w:ilvl w:val="0"/>
          <w:numId w:val="2"/>
        </w:numPr>
        <w:jc w:val="both"/>
      </w:pPr>
      <w:r>
        <w:t xml:space="preserve">Realizar nova cultura </w:t>
      </w:r>
      <w:proofErr w:type="spellStart"/>
      <w:r>
        <w:t>monospórica</w:t>
      </w:r>
      <w:proofErr w:type="spellEnd"/>
      <w:r>
        <w:t xml:space="preserve"> a partir de esporos isolados.</w:t>
      </w:r>
    </w:p>
    <w:p w14:paraId="2E066582" w14:textId="77777777" w:rsidR="00AF6DD8" w:rsidRDefault="00000000" w:rsidP="00B76C35">
      <w:pPr>
        <w:pStyle w:val="MdListItem"/>
        <w:numPr>
          <w:ilvl w:val="0"/>
          <w:numId w:val="2"/>
        </w:numPr>
        <w:jc w:val="both"/>
      </w:pPr>
      <w:r>
        <w:t xml:space="preserve">Caso o fungo não esporule, realizar diluição seriada de fragmentos de hifa e </w:t>
      </w:r>
      <w:proofErr w:type="spellStart"/>
      <w:r>
        <w:t>replaqueamento</w:t>
      </w:r>
      <w:proofErr w:type="spellEnd"/>
      <w:r>
        <w:t>.</w:t>
      </w:r>
    </w:p>
    <w:p w14:paraId="4670F342" w14:textId="77777777" w:rsidR="00AF6DD8" w:rsidRDefault="00000000" w:rsidP="00B76C35">
      <w:pPr>
        <w:pStyle w:val="MdListItem"/>
        <w:numPr>
          <w:ilvl w:val="0"/>
          <w:numId w:val="2"/>
        </w:numPr>
        <w:jc w:val="both"/>
      </w:pPr>
      <w:r>
        <w:t>Após obter uma nova cultura limpa, aguardar o crescimento completo e repetir a checagem visual antes de extrair.</w:t>
      </w:r>
    </w:p>
    <w:p w14:paraId="76310C4E" w14:textId="77777777" w:rsidR="00AF6DD8" w:rsidRDefault="00AF6DD8">
      <w:pPr>
        <w:pStyle w:val="MdSpace"/>
        <w:spacing w:after="60"/>
      </w:pPr>
    </w:p>
    <w:p w14:paraId="52B20AAA" w14:textId="77777777" w:rsidR="00AF6DD8" w:rsidRDefault="00000000">
      <w:pPr>
        <w:pStyle w:val="MdParagraph"/>
      </w:pPr>
      <w:r>
        <w:rPr>
          <w:rStyle w:val="MdStrong"/>
        </w:rPr>
        <w:t>1.4. Confirmação Opcional por Microscopia</w:t>
      </w:r>
    </w:p>
    <w:p w14:paraId="134FFF0A" w14:textId="77777777" w:rsidR="00AF6DD8" w:rsidRDefault="00AF6DD8">
      <w:pPr>
        <w:pStyle w:val="MdSpace"/>
        <w:spacing w:after="60"/>
      </w:pPr>
    </w:p>
    <w:p w14:paraId="7EF7EFF5" w14:textId="77777777" w:rsidR="00AF6DD8" w:rsidRDefault="00000000" w:rsidP="00B76C35">
      <w:pPr>
        <w:pStyle w:val="MdParagraph"/>
        <w:ind w:firstLine="708"/>
        <w:jc w:val="both"/>
      </w:pPr>
      <w:r>
        <w:t>Para maior segurança, recomenda-se observar uma pequena porção da cultura em microscópio óptico (aumento de 400x a 1000x) para confirmar a ausência de células bacterianas (bastonetes ou cocos) entre as hifas fúngicas.</w:t>
      </w:r>
    </w:p>
    <w:p w14:paraId="08BD753B" w14:textId="77777777" w:rsidR="00AF6DD8" w:rsidRDefault="00AF6DD8">
      <w:pPr>
        <w:pStyle w:val="MdSpace"/>
        <w:spacing w:after="60"/>
      </w:pPr>
    </w:p>
    <w:p w14:paraId="67470936" w14:textId="77777777" w:rsidR="00AF6DD8" w:rsidRDefault="00AF6DD8">
      <w:pPr>
        <w:pStyle w:val="MdHr"/>
        <w:pBdr>
          <w:bottom w:val="single" w:sz="6" w:space="1" w:color="auto"/>
        </w:pBdr>
      </w:pPr>
    </w:p>
    <w:p w14:paraId="2B393FF9" w14:textId="77777777" w:rsidR="00AF6DD8" w:rsidRDefault="00AF6DD8">
      <w:pPr>
        <w:pStyle w:val="MdSpace"/>
        <w:spacing w:after="60"/>
      </w:pPr>
    </w:p>
    <w:p w14:paraId="4E5807C0" w14:textId="35CF9492" w:rsidR="00AF6DD8" w:rsidRDefault="00000000">
      <w:pPr>
        <w:pStyle w:val="MdHeading3"/>
      </w:pPr>
      <w:r>
        <w:t xml:space="preserve">2. Diretrizes para </w:t>
      </w:r>
      <w:r w:rsidR="000D1BD5">
        <w:t>e</w:t>
      </w:r>
      <w:r>
        <w:t>xtração de DNA</w:t>
      </w:r>
    </w:p>
    <w:p w14:paraId="222E37DA" w14:textId="79BC8279" w:rsidR="00AF6DD8" w:rsidRDefault="00000000" w:rsidP="000D1BD5">
      <w:pPr>
        <w:pStyle w:val="MdParagraph"/>
        <w:ind w:firstLine="708"/>
        <w:jc w:val="both"/>
      </w:pPr>
      <w:r>
        <w:t>A obtenção de DNA de qualidade molecular (alto peso molecular, íntegro) é o segundo passo mais crítico para o sucesso do sequenciamento genômico. Os pesquisadores devem adotar protocolos rigorosos para garantir a integridade e pureza do material.</w:t>
      </w:r>
    </w:p>
    <w:p w14:paraId="62217DA3" w14:textId="77777777" w:rsidR="00AF6DD8" w:rsidRDefault="00AF6DD8" w:rsidP="000D1BD5">
      <w:pPr>
        <w:pStyle w:val="MdSpace"/>
        <w:spacing w:after="60"/>
        <w:jc w:val="both"/>
      </w:pPr>
    </w:p>
    <w:p w14:paraId="39DDAF15" w14:textId="77777777" w:rsidR="00AF6DD8" w:rsidRDefault="00000000" w:rsidP="000D1BD5">
      <w:pPr>
        <w:pStyle w:val="MdParagraph"/>
        <w:jc w:val="both"/>
      </w:pPr>
      <w:r>
        <w:rPr>
          <w:rStyle w:val="MdStrong"/>
        </w:rPr>
        <w:t>Método de Extração:</w:t>
      </w:r>
      <w:r>
        <w:t xml:space="preserve"> Não exigimos um kit ou protocolo comercial específico, mas o pesquisador </w:t>
      </w:r>
      <w:r>
        <w:rPr>
          <w:rStyle w:val="MdStrong"/>
        </w:rPr>
        <w:t>deve informar obrigatoriamente</w:t>
      </w:r>
      <w:r>
        <w:t xml:space="preserve"> o método utilizado na planilha de envio (</w:t>
      </w:r>
      <w:proofErr w:type="spellStart"/>
      <w:r>
        <w:t>ex</w:t>
      </w:r>
      <w:proofErr w:type="spellEnd"/>
      <w:r>
        <w:t xml:space="preserve">: CTAB, Kit </w:t>
      </w:r>
      <w:proofErr w:type="spellStart"/>
      <w:r>
        <w:t>Qiagen</w:t>
      </w:r>
      <w:proofErr w:type="spellEnd"/>
      <w:r>
        <w:t xml:space="preserve"> </w:t>
      </w:r>
      <w:proofErr w:type="spellStart"/>
      <w:r>
        <w:t>DNeasy</w:t>
      </w:r>
      <w:proofErr w:type="spellEnd"/>
      <w:r>
        <w:t xml:space="preserve"> Plant, Kit </w:t>
      </w:r>
      <w:proofErr w:type="spellStart"/>
      <w:r>
        <w:t>Zymo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>, fenol-clorofórmio, etc.). Isso auxilia na identificação de possíveis inibidores residuais caso haja falha no sequenciamento.</w:t>
      </w:r>
    </w:p>
    <w:p w14:paraId="08927C71" w14:textId="77777777" w:rsidR="00AF6DD8" w:rsidRDefault="00AF6DD8" w:rsidP="000D1BD5">
      <w:pPr>
        <w:pStyle w:val="MdSpace"/>
        <w:spacing w:after="60"/>
        <w:jc w:val="both"/>
      </w:pPr>
    </w:p>
    <w:p w14:paraId="4FDB2B90" w14:textId="77777777" w:rsidR="000D1BD5" w:rsidRDefault="000D1BD5" w:rsidP="000D1BD5">
      <w:pPr>
        <w:pStyle w:val="MdSpace"/>
        <w:spacing w:after="60"/>
        <w:jc w:val="both"/>
      </w:pPr>
    </w:p>
    <w:p w14:paraId="29F8C020" w14:textId="77777777" w:rsidR="000D1BD5" w:rsidRDefault="000D1BD5" w:rsidP="000D1BD5">
      <w:pPr>
        <w:pStyle w:val="MdSpace"/>
        <w:spacing w:after="60"/>
        <w:jc w:val="both"/>
      </w:pPr>
    </w:p>
    <w:p w14:paraId="678A899E" w14:textId="77777777" w:rsidR="000D1BD5" w:rsidRDefault="000D1BD5" w:rsidP="000D1BD5">
      <w:pPr>
        <w:pStyle w:val="MdSpace"/>
        <w:spacing w:after="60"/>
        <w:jc w:val="both"/>
      </w:pPr>
    </w:p>
    <w:p w14:paraId="315D4326" w14:textId="77777777" w:rsidR="000D1BD5" w:rsidRDefault="000D1BD5" w:rsidP="000D1BD5">
      <w:pPr>
        <w:pStyle w:val="MdSpace"/>
        <w:spacing w:after="60"/>
        <w:jc w:val="both"/>
      </w:pPr>
    </w:p>
    <w:p w14:paraId="46A879FD" w14:textId="77777777" w:rsidR="000D1BD5" w:rsidRDefault="000D1BD5" w:rsidP="000D1BD5">
      <w:pPr>
        <w:pStyle w:val="MdSpace"/>
        <w:spacing w:after="60"/>
        <w:jc w:val="both"/>
      </w:pPr>
    </w:p>
    <w:p w14:paraId="2AFFAEB4" w14:textId="77777777" w:rsidR="000D1BD5" w:rsidRDefault="000D1BD5" w:rsidP="000D1BD5">
      <w:pPr>
        <w:pStyle w:val="MdSpace"/>
        <w:spacing w:after="60"/>
        <w:jc w:val="both"/>
      </w:pPr>
    </w:p>
    <w:p w14:paraId="76BCBD49" w14:textId="77777777" w:rsidR="00AF6DD8" w:rsidRDefault="00000000" w:rsidP="000D1BD5">
      <w:pPr>
        <w:pStyle w:val="MdParagraph"/>
        <w:jc w:val="both"/>
      </w:pPr>
      <w:r>
        <w:rPr>
          <w:rStyle w:val="MdStrong"/>
        </w:rPr>
        <w:lastRenderedPageBreak/>
        <w:t>Recomendações Gerais para Extração:</w:t>
      </w:r>
    </w:p>
    <w:p w14:paraId="41B6893D" w14:textId="77777777" w:rsidR="00AF6DD8" w:rsidRDefault="00AF6DD8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8"/>
        <w:gridCol w:w="6958"/>
      </w:tblGrid>
      <w:tr w:rsidR="00AF6DD8" w14:paraId="3F03417F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BBBC69" w14:textId="77777777" w:rsidR="00AF6DD8" w:rsidRDefault="00000000">
            <w:pPr>
              <w:pStyle w:val="MdTableHeader"/>
            </w:pPr>
            <w:r>
              <w:t>Aspecto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37B40D" w14:textId="77777777" w:rsidR="00AF6DD8" w:rsidRDefault="00000000">
            <w:pPr>
              <w:pStyle w:val="MdTableHeader"/>
            </w:pPr>
            <w:r>
              <w:t>Recomendação</w:t>
            </w:r>
          </w:p>
        </w:tc>
      </w:tr>
      <w:tr w:rsidR="00AF6DD8" w14:paraId="3F3C7C50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478C1" w14:textId="77777777" w:rsidR="00AF6DD8" w:rsidRDefault="00000000">
            <w:pPr>
              <w:pStyle w:val="MdTableCell"/>
            </w:pPr>
            <w:r>
              <w:rPr>
                <w:rStyle w:val="MdStrong"/>
              </w:rPr>
              <w:t>Material de partida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9793B" w14:textId="77777777" w:rsidR="00AF6DD8" w:rsidRDefault="00000000" w:rsidP="000D1BD5">
            <w:pPr>
              <w:pStyle w:val="MdTableCell"/>
              <w:jc w:val="both"/>
            </w:pPr>
            <w:r>
              <w:t>Utilize culturas jovens (3-7 dias para a maioria dos fungos filamentosos) e saudáveis para minimizar a presença de metabólitos secundários e polissacarídeos.</w:t>
            </w:r>
          </w:p>
        </w:tc>
      </w:tr>
      <w:tr w:rsidR="00AF6DD8" w14:paraId="1105B96C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9E587" w14:textId="77777777" w:rsidR="00AF6DD8" w:rsidRDefault="00000000">
            <w:pPr>
              <w:pStyle w:val="MdTableCell"/>
            </w:pPr>
            <w:r>
              <w:rPr>
                <w:rStyle w:val="MdStrong"/>
              </w:rPr>
              <w:t>Lise celular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7250F" w14:textId="77777777" w:rsidR="00AF6DD8" w:rsidRDefault="00000000" w:rsidP="000D1BD5">
            <w:pPr>
              <w:pStyle w:val="MdTableCell"/>
              <w:jc w:val="both"/>
            </w:pPr>
            <w:r>
              <w:t>Evite o excesso de agitação mecânica (</w:t>
            </w:r>
            <w:proofErr w:type="spellStart"/>
            <w:r>
              <w:t>vortex</w:t>
            </w:r>
            <w:proofErr w:type="spellEnd"/>
            <w:r>
              <w:t xml:space="preserve">) prolongada durante a lise para não fragmentar o DNA. Prefira maceração com nitrogênio líquido ou </w:t>
            </w:r>
            <w:proofErr w:type="spellStart"/>
            <w:r>
              <w:t>beads</w:t>
            </w:r>
            <w:proofErr w:type="spellEnd"/>
            <w:r>
              <w:t xml:space="preserve"> com pulsos curtos.</w:t>
            </w:r>
          </w:p>
        </w:tc>
      </w:tr>
      <w:tr w:rsidR="00AF6DD8" w14:paraId="0CD1CE97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71936" w14:textId="77777777" w:rsidR="00AF6DD8" w:rsidRDefault="00000000">
            <w:pPr>
              <w:pStyle w:val="MdTableCell"/>
            </w:pPr>
            <w:r>
              <w:rPr>
                <w:rStyle w:val="MdStrong"/>
              </w:rPr>
              <w:t xml:space="preserve">Fungos </w:t>
            </w:r>
            <w:proofErr w:type="spellStart"/>
            <w:r>
              <w:rPr>
                <w:rStyle w:val="MdStrong"/>
              </w:rPr>
              <w:t>melanizados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EF033" w14:textId="77777777" w:rsidR="00AF6DD8" w:rsidRDefault="00000000" w:rsidP="000D1BD5">
            <w:pPr>
              <w:pStyle w:val="MdTableCell"/>
              <w:jc w:val="both"/>
            </w:pPr>
            <w:r>
              <w:t xml:space="preserve">Para fungos </w:t>
            </w:r>
            <w:proofErr w:type="spellStart"/>
            <w:r>
              <w:t>melanizados</w:t>
            </w:r>
            <w:proofErr w:type="spellEnd"/>
            <w:r>
              <w:t xml:space="preserve"> ou ricos em polissacarídeos, considere etapas adicionais de purificação (</w:t>
            </w:r>
            <w:proofErr w:type="spellStart"/>
            <w:r>
              <w:t>ex</w:t>
            </w:r>
            <w:proofErr w:type="spellEnd"/>
            <w:r>
              <w:t>: precipitação com CTAB/</w:t>
            </w:r>
            <w:proofErr w:type="spellStart"/>
            <w:r>
              <w:t>NaCl</w:t>
            </w:r>
            <w:proofErr w:type="spellEnd"/>
            <w:r>
              <w:t xml:space="preserve"> ou uso de colunas de purificação adicionais).</w:t>
            </w:r>
          </w:p>
        </w:tc>
      </w:tr>
      <w:tr w:rsidR="00AF6DD8" w14:paraId="1027CAA1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F2635" w14:textId="77777777" w:rsidR="00AF6DD8" w:rsidRDefault="00000000">
            <w:pPr>
              <w:pStyle w:val="MdTableCell"/>
            </w:pPr>
            <w:proofErr w:type="spellStart"/>
            <w:r>
              <w:rPr>
                <w:rStyle w:val="MdStrong"/>
              </w:rPr>
              <w:t>RNase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9B7AA" w14:textId="77777777" w:rsidR="00AF6DD8" w:rsidRDefault="00000000" w:rsidP="000D1BD5">
            <w:pPr>
              <w:pStyle w:val="MdTableCell"/>
              <w:jc w:val="both"/>
            </w:pPr>
            <w:r>
              <w:t xml:space="preserve">Trate com </w:t>
            </w:r>
            <w:proofErr w:type="spellStart"/>
            <w:r>
              <w:t>RNase</w:t>
            </w:r>
            <w:proofErr w:type="spellEnd"/>
            <w:r>
              <w:t xml:space="preserve"> A para eliminar RNA, que pode interferir na quantificação e na preparação da biblioteca.</w:t>
            </w:r>
          </w:p>
        </w:tc>
      </w:tr>
      <w:tr w:rsidR="00AF6DD8" w14:paraId="05AA31D8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53C1B" w14:textId="77777777" w:rsidR="00AF6DD8" w:rsidRDefault="00000000">
            <w:pPr>
              <w:pStyle w:val="MdTableCell"/>
            </w:pPr>
            <w:r>
              <w:rPr>
                <w:rStyle w:val="MdStrong"/>
              </w:rPr>
              <w:t>Armazenamento pós-extração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FCBCC" w14:textId="77777777" w:rsidR="00AF6DD8" w:rsidRDefault="00000000" w:rsidP="000D1BD5">
            <w:pPr>
              <w:pStyle w:val="MdTableCell"/>
              <w:jc w:val="both"/>
            </w:pPr>
            <w:r>
              <w:t>Armazene o DNA a -20°C (curto prazo) ou -80°C (longo prazo). Evite ciclos de congelamento/descongelamento repetidos.</w:t>
            </w:r>
          </w:p>
        </w:tc>
      </w:tr>
    </w:tbl>
    <w:p w14:paraId="6D46F20C" w14:textId="77777777" w:rsidR="00AF6DD8" w:rsidRDefault="00AF6DD8">
      <w:pPr>
        <w:pStyle w:val="MdHr"/>
        <w:pBdr>
          <w:bottom w:val="single" w:sz="6" w:space="1" w:color="auto"/>
        </w:pBdr>
      </w:pPr>
    </w:p>
    <w:p w14:paraId="55C0BA9B" w14:textId="77777777" w:rsidR="00AF6DD8" w:rsidRDefault="00AF6DD8">
      <w:pPr>
        <w:pStyle w:val="MdSpace"/>
        <w:spacing w:after="60"/>
      </w:pPr>
    </w:p>
    <w:p w14:paraId="5DC3BD13" w14:textId="77777777" w:rsidR="00AF6DD8" w:rsidRDefault="00000000">
      <w:pPr>
        <w:pStyle w:val="MdHeading3"/>
      </w:pPr>
      <w:r>
        <w:t>3. Condições Mínimas de Qualidade e Quantidade do DNA</w:t>
      </w:r>
    </w:p>
    <w:p w14:paraId="393969E7" w14:textId="77777777" w:rsidR="00AF6DD8" w:rsidRDefault="00000000" w:rsidP="000D1BD5">
      <w:pPr>
        <w:pStyle w:val="MdParagraph"/>
        <w:ind w:firstLine="708"/>
      </w:pPr>
      <w:r>
        <w:t xml:space="preserve">Para que a amostra seja aceita pelo Comitê e enviada à </w:t>
      </w:r>
      <w:proofErr w:type="spellStart"/>
      <w:r>
        <w:t>facility</w:t>
      </w:r>
      <w:proofErr w:type="spellEnd"/>
      <w:r>
        <w:t xml:space="preserve"> nos EUA, ela deve cumprir </w:t>
      </w:r>
      <w:r>
        <w:rPr>
          <w:rStyle w:val="MdStrong"/>
        </w:rPr>
        <w:t>estritamente</w:t>
      </w:r>
      <w:r>
        <w:t xml:space="preserve"> os seguintes parâmetros:</w:t>
      </w:r>
    </w:p>
    <w:p w14:paraId="6AA0A140" w14:textId="77777777" w:rsidR="00AF6DD8" w:rsidRDefault="00AF6DD8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7"/>
        <w:gridCol w:w="2553"/>
        <w:gridCol w:w="4206"/>
      </w:tblGrid>
      <w:tr w:rsidR="00AF6DD8" w14:paraId="0378D139" w14:textId="77777777" w:rsidTr="000D1BD5">
        <w:trPr>
          <w:cantSplit/>
          <w:trHeight w:val="720"/>
          <w:tblHeader/>
        </w:trPr>
        <w:tc>
          <w:tcPr>
            <w:tcW w:w="1256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570864" w14:textId="77777777" w:rsidR="00AF6DD8" w:rsidRDefault="00000000">
            <w:pPr>
              <w:pStyle w:val="MdTableHeader"/>
            </w:pPr>
            <w:r>
              <w:t>Parâmetro</w:t>
            </w:r>
          </w:p>
        </w:tc>
        <w:tc>
          <w:tcPr>
            <w:tcW w:w="1414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E9ACA2" w14:textId="77777777" w:rsidR="00AF6DD8" w:rsidRDefault="00000000">
            <w:pPr>
              <w:pStyle w:val="MdTableHeader"/>
            </w:pPr>
            <w:r>
              <w:t>Requisito Mínimo</w:t>
            </w:r>
          </w:p>
        </w:tc>
        <w:tc>
          <w:tcPr>
            <w:tcW w:w="233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90A78D" w14:textId="77777777" w:rsidR="00AF6DD8" w:rsidRDefault="00000000">
            <w:pPr>
              <w:pStyle w:val="MdTableHeader"/>
            </w:pPr>
            <w:r>
              <w:t>Observações</w:t>
            </w:r>
          </w:p>
        </w:tc>
      </w:tr>
      <w:tr w:rsidR="00AF6DD8" w14:paraId="37D53695" w14:textId="77777777" w:rsidTr="000D1BD5">
        <w:trPr>
          <w:cantSplit/>
          <w:trHeight w:val="576"/>
        </w:trPr>
        <w:tc>
          <w:tcPr>
            <w:tcW w:w="125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F3B11" w14:textId="77777777" w:rsidR="00AF6DD8" w:rsidRDefault="00000000">
            <w:pPr>
              <w:pStyle w:val="MdTableCell"/>
            </w:pPr>
            <w:r>
              <w:rPr>
                <w:rStyle w:val="MdStrong"/>
              </w:rPr>
              <w:t>Quantidade de DNA</w:t>
            </w:r>
          </w:p>
        </w:tc>
        <w:tc>
          <w:tcPr>
            <w:tcW w:w="141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E053" w14:textId="77777777" w:rsidR="00AF6DD8" w:rsidRDefault="00000000">
            <w:pPr>
              <w:pStyle w:val="MdTableCell"/>
            </w:pPr>
            <w:r>
              <w:t xml:space="preserve">≥ 500 </w:t>
            </w:r>
            <w:proofErr w:type="spellStart"/>
            <w:r>
              <w:t>ng</w:t>
            </w:r>
            <w:proofErr w:type="spellEnd"/>
            <w:r>
              <w:t xml:space="preserve"> (total)</w:t>
            </w:r>
          </w:p>
        </w:tc>
        <w:tc>
          <w:tcPr>
            <w:tcW w:w="233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FD899" w14:textId="77777777" w:rsidR="00AF6DD8" w:rsidRDefault="00000000">
            <w:pPr>
              <w:pStyle w:val="MdTableCell"/>
            </w:pPr>
            <w:r>
              <w:t>Necessário para preparo de biblioteca PCR-</w:t>
            </w:r>
            <w:proofErr w:type="spellStart"/>
            <w:r>
              <w:t>free</w:t>
            </w:r>
            <w:proofErr w:type="spellEnd"/>
            <w:r>
              <w:t>.</w:t>
            </w:r>
          </w:p>
        </w:tc>
      </w:tr>
      <w:tr w:rsidR="00AF6DD8" w14:paraId="374E4454" w14:textId="77777777" w:rsidTr="000D1BD5">
        <w:trPr>
          <w:cantSplit/>
          <w:trHeight w:val="576"/>
        </w:trPr>
        <w:tc>
          <w:tcPr>
            <w:tcW w:w="125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BB32C" w14:textId="77777777" w:rsidR="00AF6DD8" w:rsidRDefault="00000000">
            <w:pPr>
              <w:pStyle w:val="MdTableCell"/>
            </w:pPr>
            <w:r>
              <w:rPr>
                <w:rStyle w:val="MdStrong"/>
              </w:rPr>
              <w:t>Concentração Mínima</w:t>
            </w:r>
          </w:p>
        </w:tc>
        <w:tc>
          <w:tcPr>
            <w:tcW w:w="141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54593" w14:textId="77777777" w:rsidR="00AF6DD8" w:rsidRDefault="00000000">
            <w:pPr>
              <w:pStyle w:val="MdTableCell"/>
            </w:pPr>
            <w:r>
              <w:t xml:space="preserve">≥ 10 </w:t>
            </w:r>
            <w:proofErr w:type="spellStart"/>
            <w:r>
              <w:t>ng</w:t>
            </w:r>
            <w:proofErr w:type="spellEnd"/>
            <w:r>
              <w:t>/µL</w:t>
            </w:r>
          </w:p>
        </w:tc>
        <w:tc>
          <w:tcPr>
            <w:tcW w:w="233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AE0C8" w14:textId="77777777" w:rsidR="00AF6DD8" w:rsidRDefault="00000000">
            <w:pPr>
              <w:pStyle w:val="MdTableCell"/>
            </w:pPr>
            <w:r>
              <w:t>Recomendamos enviar mais concentrado se possível.</w:t>
            </w:r>
          </w:p>
        </w:tc>
      </w:tr>
      <w:tr w:rsidR="00AF6DD8" w14:paraId="5E64DB33" w14:textId="77777777" w:rsidTr="000D1BD5">
        <w:trPr>
          <w:cantSplit/>
          <w:trHeight w:val="576"/>
        </w:trPr>
        <w:tc>
          <w:tcPr>
            <w:tcW w:w="125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02507" w14:textId="77777777" w:rsidR="00AF6DD8" w:rsidRDefault="00000000">
            <w:pPr>
              <w:pStyle w:val="MdTableCell"/>
            </w:pPr>
            <w:r>
              <w:rPr>
                <w:rStyle w:val="MdStrong"/>
              </w:rPr>
              <w:t>Volume da Amostra</w:t>
            </w:r>
          </w:p>
        </w:tc>
        <w:tc>
          <w:tcPr>
            <w:tcW w:w="141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96791" w14:textId="77777777" w:rsidR="00AF6DD8" w:rsidRDefault="00000000">
            <w:pPr>
              <w:pStyle w:val="MdTableCell"/>
            </w:pPr>
            <w:r>
              <w:t>20 µL a 50 µL</w:t>
            </w:r>
          </w:p>
        </w:tc>
        <w:tc>
          <w:tcPr>
            <w:tcW w:w="233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70057" w14:textId="77777777" w:rsidR="00AF6DD8" w:rsidRDefault="00000000">
            <w:pPr>
              <w:pStyle w:val="MdTableCell"/>
            </w:pPr>
            <w:r>
              <w:t>-</w:t>
            </w:r>
          </w:p>
        </w:tc>
      </w:tr>
      <w:tr w:rsidR="00AF6DD8" w14:paraId="4658522E" w14:textId="77777777" w:rsidTr="000D1BD5">
        <w:trPr>
          <w:cantSplit/>
          <w:trHeight w:val="576"/>
        </w:trPr>
        <w:tc>
          <w:tcPr>
            <w:tcW w:w="125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A2C4F" w14:textId="77777777" w:rsidR="00AF6DD8" w:rsidRDefault="00000000">
            <w:pPr>
              <w:pStyle w:val="MdTableCell"/>
            </w:pPr>
            <w:r>
              <w:rPr>
                <w:rStyle w:val="MdStrong"/>
              </w:rPr>
              <w:t>Tampão de Suspensão</w:t>
            </w:r>
          </w:p>
        </w:tc>
        <w:tc>
          <w:tcPr>
            <w:tcW w:w="141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2CB68" w14:textId="77777777" w:rsidR="00AF6DD8" w:rsidRDefault="00000000">
            <w:pPr>
              <w:pStyle w:val="MdTableCell"/>
            </w:pPr>
            <w:r>
              <w:t xml:space="preserve">Água ultrapura ou Tampão </w:t>
            </w:r>
            <w:r>
              <w:rPr>
                <w:rStyle w:val="MdStrong"/>
              </w:rPr>
              <w:t>LIVRE DE EDTA</w:t>
            </w:r>
          </w:p>
        </w:tc>
        <w:tc>
          <w:tcPr>
            <w:tcW w:w="233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24685" w14:textId="77777777" w:rsidR="00AF6DD8" w:rsidRDefault="00000000">
            <w:pPr>
              <w:pStyle w:val="MdTableCell"/>
            </w:pPr>
            <w:r>
              <w:rPr>
                <w:rStyle w:val="MdStrong"/>
              </w:rPr>
              <w:t>Proibido o uso de tampão TE padrão</w:t>
            </w:r>
            <w:r>
              <w:t>. O EDTA inibe reações enzimáticas subsequentes.</w:t>
            </w:r>
          </w:p>
        </w:tc>
      </w:tr>
      <w:tr w:rsidR="00AF6DD8" w14:paraId="541D415C" w14:textId="77777777" w:rsidTr="000D1BD5">
        <w:trPr>
          <w:cantSplit/>
          <w:trHeight w:val="576"/>
        </w:trPr>
        <w:tc>
          <w:tcPr>
            <w:tcW w:w="125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57DD6" w14:textId="77777777" w:rsidR="00AF6DD8" w:rsidRDefault="00000000">
            <w:pPr>
              <w:pStyle w:val="MdTableCell"/>
            </w:pPr>
            <w:r>
              <w:rPr>
                <w:rStyle w:val="MdStrong"/>
              </w:rPr>
              <w:t>Pureza (Razão 260/280)</w:t>
            </w:r>
          </w:p>
        </w:tc>
        <w:tc>
          <w:tcPr>
            <w:tcW w:w="141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94D63" w14:textId="77777777" w:rsidR="00AF6DD8" w:rsidRDefault="00000000">
            <w:pPr>
              <w:pStyle w:val="MdTableCell"/>
            </w:pPr>
            <w:r>
              <w:t>Entre 1.6 e 2.0</w:t>
            </w:r>
          </w:p>
        </w:tc>
        <w:tc>
          <w:tcPr>
            <w:tcW w:w="233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AB637" w14:textId="77777777" w:rsidR="00AF6DD8" w:rsidRDefault="00000000">
            <w:pPr>
              <w:pStyle w:val="MdTableCell"/>
            </w:pPr>
            <w:r>
              <w:t xml:space="preserve">Medido via </w:t>
            </w:r>
            <w:proofErr w:type="spellStart"/>
            <w:r>
              <w:t>NanoDrop</w:t>
            </w:r>
            <w:proofErr w:type="spellEnd"/>
            <w:r>
              <w:t xml:space="preserve"> ou espectrofotômetro similar.</w:t>
            </w:r>
          </w:p>
        </w:tc>
      </w:tr>
      <w:tr w:rsidR="00AF6DD8" w14:paraId="6022A7AC" w14:textId="77777777" w:rsidTr="000D1BD5">
        <w:trPr>
          <w:cantSplit/>
          <w:trHeight w:val="576"/>
        </w:trPr>
        <w:tc>
          <w:tcPr>
            <w:tcW w:w="125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13720" w14:textId="77777777" w:rsidR="00AF6DD8" w:rsidRDefault="00000000">
            <w:pPr>
              <w:pStyle w:val="MdTableCell"/>
            </w:pPr>
            <w:r>
              <w:rPr>
                <w:rStyle w:val="MdStrong"/>
              </w:rPr>
              <w:t>Pureza (Razão 260/230)</w:t>
            </w:r>
          </w:p>
        </w:tc>
        <w:tc>
          <w:tcPr>
            <w:tcW w:w="141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C6BCB" w14:textId="77777777" w:rsidR="00AF6DD8" w:rsidRDefault="00000000">
            <w:pPr>
              <w:pStyle w:val="MdTableCell"/>
            </w:pPr>
            <w:r>
              <w:t>≥ 1.8</w:t>
            </w:r>
          </w:p>
        </w:tc>
        <w:tc>
          <w:tcPr>
            <w:tcW w:w="233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001D1" w14:textId="77777777" w:rsidR="00AF6DD8" w:rsidRDefault="00000000">
            <w:pPr>
              <w:pStyle w:val="MdTableCell"/>
            </w:pPr>
            <w:r>
              <w:t xml:space="preserve">Medido via </w:t>
            </w:r>
            <w:proofErr w:type="spellStart"/>
            <w:r>
              <w:t>NanoDrop</w:t>
            </w:r>
            <w:proofErr w:type="spellEnd"/>
            <w:r>
              <w:t>. Valores baixos indicam contaminação por carboidratos, sais ou fenol.</w:t>
            </w:r>
          </w:p>
        </w:tc>
      </w:tr>
      <w:tr w:rsidR="00AF6DD8" w14:paraId="4BDE0286" w14:textId="77777777" w:rsidTr="000D1BD5">
        <w:trPr>
          <w:cantSplit/>
          <w:trHeight w:val="576"/>
        </w:trPr>
        <w:tc>
          <w:tcPr>
            <w:tcW w:w="125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75391" w14:textId="77777777" w:rsidR="00AF6DD8" w:rsidRDefault="00000000">
            <w:pPr>
              <w:pStyle w:val="MdTableCell"/>
            </w:pPr>
            <w:r>
              <w:rPr>
                <w:rStyle w:val="MdStrong"/>
              </w:rPr>
              <w:lastRenderedPageBreak/>
              <w:t>Integridade (Tamanho)</w:t>
            </w:r>
          </w:p>
        </w:tc>
        <w:tc>
          <w:tcPr>
            <w:tcW w:w="141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DB299" w14:textId="77777777" w:rsidR="00AF6DD8" w:rsidRDefault="00000000">
            <w:pPr>
              <w:pStyle w:val="MdTableCell"/>
            </w:pPr>
            <w:r>
              <w:t xml:space="preserve">&gt; 50% dos fragmentos maiores que 2 </w:t>
            </w:r>
            <w:proofErr w:type="spellStart"/>
            <w:r>
              <w:t>kb</w:t>
            </w:r>
            <w:proofErr w:type="spellEnd"/>
          </w:p>
        </w:tc>
        <w:tc>
          <w:tcPr>
            <w:tcW w:w="233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97803" w14:textId="77777777" w:rsidR="00AF6DD8" w:rsidRDefault="00000000">
            <w:pPr>
              <w:pStyle w:val="MdTableCell"/>
            </w:pPr>
            <w:r>
              <w:t xml:space="preserve">Verificado por Gel de Agarose (0.8% a 1%) ou </w:t>
            </w:r>
            <w:proofErr w:type="spellStart"/>
            <w:r>
              <w:t>Bioanalyzer</w:t>
            </w:r>
            <w:proofErr w:type="spellEnd"/>
            <w:r>
              <w:t>/</w:t>
            </w:r>
            <w:proofErr w:type="spellStart"/>
            <w:r>
              <w:t>TapeStation</w:t>
            </w:r>
            <w:proofErr w:type="spellEnd"/>
            <w:r>
              <w:t>. O DNA não pode estar severamente degradado/arrastado no gel.</w:t>
            </w:r>
          </w:p>
        </w:tc>
      </w:tr>
      <w:tr w:rsidR="00AF6DD8" w14:paraId="768445C1" w14:textId="77777777" w:rsidTr="000D1BD5">
        <w:trPr>
          <w:cantSplit/>
          <w:trHeight w:val="576"/>
        </w:trPr>
        <w:tc>
          <w:tcPr>
            <w:tcW w:w="1256" w:type="pct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3BD0D" w14:textId="77777777" w:rsidR="00AF6DD8" w:rsidRDefault="00000000">
            <w:pPr>
              <w:pStyle w:val="MdTableCell"/>
            </w:pPr>
            <w:r>
              <w:rPr>
                <w:rStyle w:val="MdStrong"/>
              </w:rPr>
              <w:t>Quantificação Oficial</w:t>
            </w:r>
          </w:p>
        </w:tc>
        <w:tc>
          <w:tcPr>
            <w:tcW w:w="1414" w:type="pct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8648D" w14:textId="77777777" w:rsidR="00AF6DD8" w:rsidRDefault="00000000">
            <w:pPr>
              <w:pStyle w:val="MdTableCell"/>
            </w:pPr>
            <w:r>
              <w:t xml:space="preserve">Ensaio </w:t>
            </w:r>
            <w:proofErr w:type="spellStart"/>
            <w:r>
              <w:t>Fluorométrico</w:t>
            </w:r>
            <w:proofErr w:type="spellEnd"/>
            <w:r>
              <w:t xml:space="preserve"> (</w:t>
            </w:r>
            <w:proofErr w:type="spellStart"/>
            <w:r>
              <w:t>ex</w:t>
            </w:r>
            <w:proofErr w:type="spellEnd"/>
            <w:r>
              <w:t xml:space="preserve">: </w:t>
            </w:r>
            <w:proofErr w:type="spellStart"/>
            <w:r>
              <w:t>Qubit</w:t>
            </w:r>
            <w:proofErr w:type="spellEnd"/>
            <w:r>
              <w:t>)</w:t>
            </w:r>
          </w:p>
        </w:tc>
        <w:tc>
          <w:tcPr>
            <w:tcW w:w="2330" w:type="pct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66458" w14:textId="77777777" w:rsidR="00AF6DD8" w:rsidRDefault="00000000">
            <w:pPr>
              <w:pStyle w:val="MdTableCell"/>
            </w:pPr>
            <w:r>
              <w:t xml:space="preserve">A quantificação final informada na planilha deve ser feita por </w:t>
            </w:r>
            <w:proofErr w:type="spellStart"/>
            <w:r>
              <w:t>fluorometria</w:t>
            </w:r>
            <w:proofErr w:type="spellEnd"/>
            <w:r>
              <w:t xml:space="preserve">. O </w:t>
            </w:r>
            <w:proofErr w:type="spellStart"/>
            <w:r>
              <w:t>NanoDrop</w:t>
            </w:r>
            <w:proofErr w:type="spellEnd"/>
            <w:r>
              <w:t xml:space="preserve"> superestima a concentração de DNA.</w:t>
            </w:r>
          </w:p>
        </w:tc>
      </w:tr>
    </w:tbl>
    <w:p w14:paraId="4B74E962" w14:textId="77777777" w:rsidR="00AF6DD8" w:rsidRDefault="00AF6DD8">
      <w:pPr>
        <w:pStyle w:val="MdHr"/>
        <w:pBdr>
          <w:bottom w:val="single" w:sz="6" w:space="1" w:color="auto"/>
        </w:pBdr>
      </w:pPr>
    </w:p>
    <w:p w14:paraId="5F2A4092" w14:textId="77777777" w:rsidR="00AF6DD8" w:rsidRDefault="00AF6DD8">
      <w:pPr>
        <w:pStyle w:val="MdSpace"/>
        <w:spacing w:after="60"/>
      </w:pPr>
    </w:p>
    <w:p w14:paraId="72FC176C" w14:textId="16E9E79E" w:rsidR="00AF6DD8" w:rsidRDefault="00000000">
      <w:pPr>
        <w:pStyle w:val="MdHeading3"/>
      </w:pPr>
      <w:r>
        <w:t xml:space="preserve">4. Instruções para </w:t>
      </w:r>
      <w:r w:rsidR="000D1BD5">
        <w:t>a</w:t>
      </w:r>
      <w:r>
        <w:t xml:space="preserve">condicionamento </w:t>
      </w:r>
      <w:r w:rsidR="000D1BD5">
        <w:t>l</w:t>
      </w:r>
      <w:r>
        <w:t>ocal</w:t>
      </w:r>
    </w:p>
    <w:p w14:paraId="4C1B8A23" w14:textId="1E5A63FC" w:rsidR="00AF6DD8" w:rsidRDefault="00000000" w:rsidP="000D1BD5">
      <w:pPr>
        <w:pStyle w:val="MdParagraph"/>
        <w:ind w:firstLine="708"/>
        <w:jc w:val="both"/>
      </w:pPr>
      <w:r>
        <w:t xml:space="preserve">As amostras devem ser armazenadas em microtubos de 1.5 </w:t>
      </w:r>
      <w:proofErr w:type="spellStart"/>
      <w:r>
        <w:t>mL</w:t>
      </w:r>
      <w:proofErr w:type="spellEnd"/>
      <w:r>
        <w:t xml:space="preserve"> ou 2.0 </w:t>
      </w:r>
      <w:proofErr w:type="spellStart"/>
      <w:r>
        <w:t>mL</w:t>
      </w:r>
      <w:proofErr w:type="spellEnd"/>
      <w:r>
        <w:t xml:space="preserve"> estéreis, livres de </w:t>
      </w:r>
      <w:proofErr w:type="spellStart"/>
      <w:r>
        <w:t>DNase</w:t>
      </w:r>
      <w:proofErr w:type="spellEnd"/>
      <w:r>
        <w:t xml:space="preserve"> e </w:t>
      </w:r>
      <w:proofErr w:type="spellStart"/>
      <w:r>
        <w:t>RNase</w:t>
      </w:r>
      <w:proofErr w:type="spellEnd"/>
      <w:r>
        <w:t xml:space="preserve">. Os tubos devem ser claramente identificados no topo e na lateral com o </w:t>
      </w:r>
      <w:r>
        <w:rPr>
          <w:rStyle w:val="MdStrong"/>
        </w:rPr>
        <w:t>Código da Amostra</w:t>
      </w:r>
      <w:r>
        <w:t xml:space="preserve"> (conforme registrado na planilha de envio), utilizando caneta permanente resistente a álcool e congelamento. As amostras devem ser mantidas a -20°C (ou -80°C) até o momento do envio para o Ponto Focal/Hub Regional.</w:t>
      </w:r>
      <w:r w:rsidR="000D1BD5">
        <w:t xml:space="preserve"> </w:t>
      </w:r>
    </w:p>
    <w:p w14:paraId="578F3CF3" w14:textId="77777777" w:rsidR="00AF6DD8" w:rsidRDefault="00AF6DD8">
      <w:pPr>
        <w:pStyle w:val="MdSpace"/>
        <w:spacing w:after="60"/>
      </w:pPr>
    </w:p>
    <w:p w14:paraId="2D22271F" w14:textId="77777777" w:rsidR="00AF6DD8" w:rsidRDefault="00AF6DD8">
      <w:pPr>
        <w:pStyle w:val="MdHr"/>
        <w:pBdr>
          <w:bottom w:val="single" w:sz="6" w:space="1" w:color="auto"/>
        </w:pBdr>
      </w:pPr>
    </w:p>
    <w:p w14:paraId="124398DF" w14:textId="77777777" w:rsidR="00AF6DD8" w:rsidRDefault="00AF6DD8">
      <w:pPr>
        <w:pStyle w:val="MdSpace"/>
        <w:spacing w:after="60"/>
      </w:pPr>
    </w:p>
    <w:p w14:paraId="464C56DD" w14:textId="77777777" w:rsidR="00AF6DD8" w:rsidRDefault="00000000">
      <w:pPr>
        <w:pStyle w:val="MdHeading3"/>
      </w:pPr>
      <w:r>
        <w:t xml:space="preserve">5. Como Proceder se o Laboratório não possuir </w:t>
      </w:r>
      <w:proofErr w:type="spellStart"/>
      <w:r>
        <w:t>Qubit</w:t>
      </w:r>
      <w:proofErr w:type="spellEnd"/>
      <w:r>
        <w:t xml:space="preserve"> ou </w:t>
      </w:r>
      <w:proofErr w:type="spellStart"/>
      <w:r>
        <w:t>NanoDrop</w:t>
      </w:r>
      <w:proofErr w:type="spellEnd"/>
      <w:r>
        <w:t>?</w:t>
      </w:r>
    </w:p>
    <w:p w14:paraId="79AD2A6F" w14:textId="77777777" w:rsidR="00AF6DD8" w:rsidRDefault="00000000" w:rsidP="008A2C2F">
      <w:pPr>
        <w:pStyle w:val="MdParagraph"/>
        <w:ind w:firstLine="708"/>
        <w:jc w:val="both"/>
      </w:pPr>
      <w:r>
        <w:t xml:space="preserve">O INCT Fungos do Brasil opera em rede. Caso o seu laboratório não possua infraestrutura para quantificação </w:t>
      </w:r>
      <w:proofErr w:type="spellStart"/>
      <w:r>
        <w:t>fluorométrica</w:t>
      </w:r>
      <w:proofErr w:type="spellEnd"/>
      <w:r>
        <w:t xml:space="preserve"> (</w:t>
      </w:r>
      <w:proofErr w:type="spellStart"/>
      <w:r>
        <w:t>Qubit</w:t>
      </w:r>
      <w:proofErr w:type="spellEnd"/>
      <w:r>
        <w:t>) ou avaliação de pureza (</w:t>
      </w:r>
      <w:proofErr w:type="spellStart"/>
      <w:r>
        <w:t>NanoDrop</w:t>
      </w:r>
      <w:proofErr w:type="spellEnd"/>
      <w:r>
        <w:t xml:space="preserve">), siga o </w:t>
      </w:r>
      <w:r>
        <w:rPr>
          <w:rStyle w:val="MdStrong"/>
        </w:rPr>
        <w:t>Plano de Logística Nacional</w:t>
      </w:r>
      <w:r>
        <w:t xml:space="preserve">. Você deverá extrair o DNA, realizar a verificação inicial em gel de agarose e enviar a amostra para o seu </w:t>
      </w:r>
      <w:r>
        <w:rPr>
          <w:rStyle w:val="MdStrong"/>
        </w:rPr>
        <w:t>Hub Regional de Apoio</w:t>
      </w:r>
      <w:r>
        <w:t xml:space="preserve"> para a validação final de qualidade antes do envio ao Ponto Focal.</w:t>
      </w:r>
    </w:p>
    <w:p w14:paraId="0EC1250F" w14:textId="77777777" w:rsidR="00AF6DD8" w:rsidRDefault="00AF6DD8">
      <w:pPr>
        <w:pStyle w:val="MdHr"/>
        <w:pBdr>
          <w:bottom w:val="single" w:sz="6" w:space="1" w:color="auto"/>
        </w:pBdr>
      </w:pPr>
    </w:p>
    <w:p w14:paraId="22B76A99" w14:textId="77777777" w:rsidR="00AF6DD8" w:rsidRDefault="00AF6DD8">
      <w:pPr>
        <w:pStyle w:val="MdSpace"/>
        <w:spacing w:after="60"/>
      </w:pPr>
    </w:p>
    <w:p w14:paraId="71813843" w14:textId="77777777" w:rsidR="00AF6DD8" w:rsidRDefault="00000000">
      <w:pPr>
        <w:pStyle w:val="MdHeading3"/>
      </w:pPr>
      <w:r>
        <w:t>6. Documentação Necessária</w:t>
      </w:r>
    </w:p>
    <w:p w14:paraId="05584387" w14:textId="77777777" w:rsidR="00AF6DD8" w:rsidRDefault="00000000" w:rsidP="008A2C2F">
      <w:pPr>
        <w:pStyle w:val="MdParagraph"/>
        <w:ind w:firstLine="708"/>
      </w:pPr>
      <w:r>
        <w:t xml:space="preserve">Toda amostra deve ser acompanhada do preenchimento da </w:t>
      </w:r>
      <w:r>
        <w:rPr>
          <w:rStyle w:val="MdStrong"/>
        </w:rPr>
        <w:t>Planilha 1: Envio de Amostras de DNA</w:t>
      </w:r>
      <w:r>
        <w:t>. Esta planilha deve ser enviada digitalmente ao Comitê e uma cópia impressa deve acompanhar o pacote físico.</w:t>
      </w:r>
    </w:p>
    <w:sectPr w:rsidR="00AF6DD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72331C"/>
    <w:multiLevelType w:val="hybridMultilevel"/>
    <w:tmpl w:val="1060AF10"/>
    <w:lvl w:ilvl="0" w:tplc="7B48FB44">
      <w:start w:val="1"/>
      <w:numFmt w:val="bullet"/>
      <w:lvlText w:val="•"/>
      <w:lvlJc w:val="left"/>
      <w:pPr>
        <w:ind w:left="720" w:hanging="360"/>
      </w:pPr>
    </w:lvl>
    <w:lvl w:ilvl="1" w:tplc="29620ABA">
      <w:start w:val="1"/>
      <w:numFmt w:val="bullet"/>
      <w:lvlText w:val="◦"/>
      <w:lvlJc w:val="left"/>
      <w:pPr>
        <w:ind w:left="1440" w:hanging="360"/>
      </w:pPr>
    </w:lvl>
    <w:lvl w:ilvl="2" w:tplc="DDB8964C">
      <w:start w:val="1"/>
      <w:numFmt w:val="bullet"/>
      <w:lvlText w:val="•"/>
      <w:lvlJc w:val="left"/>
      <w:pPr>
        <w:ind w:left="2160" w:hanging="360"/>
      </w:pPr>
    </w:lvl>
    <w:lvl w:ilvl="3" w:tplc="70F4B1BA">
      <w:start w:val="1"/>
      <w:numFmt w:val="bullet"/>
      <w:lvlText w:val="◦"/>
      <w:lvlJc w:val="left"/>
      <w:pPr>
        <w:ind w:left="2880" w:hanging="360"/>
      </w:pPr>
    </w:lvl>
    <w:lvl w:ilvl="4" w:tplc="AEBA9954">
      <w:start w:val="1"/>
      <w:numFmt w:val="bullet"/>
      <w:lvlText w:val="•"/>
      <w:lvlJc w:val="left"/>
      <w:pPr>
        <w:ind w:left="3600" w:hanging="360"/>
      </w:pPr>
    </w:lvl>
    <w:lvl w:ilvl="5" w:tplc="9F1A284A">
      <w:start w:val="1"/>
      <w:numFmt w:val="bullet"/>
      <w:lvlText w:val="◦"/>
      <w:lvlJc w:val="left"/>
      <w:pPr>
        <w:ind w:left="4320" w:hanging="360"/>
      </w:pPr>
    </w:lvl>
    <w:lvl w:ilvl="6" w:tplc="049C440E">
      <w:start w:val="1"/>
      <w:numFmt w:val="bullet"/>
      <w:lvlText w:val="•"/>
      <w:lvlJc w:val="left"/>
      <w:pPr>
        <w:ind w:left="5040" w:hanging="360"/>
      </w:pPr>
    </w:lvl>
    <w:lvl w:ilvl="7" w:tplc="3592AD0A">
      <w:numFmt w:val="decimal"/>
      <w:lvlText w:val=""/>
      <w:lvlJc w:val="left"/>
    </w:lvl>
    <w:lvl w:ilvl="8" w:tplc="09683456">
      <w:numFmt w:val="decimal"/>
      <w:lvlText w:val=""/>
      <w:lvlJc w:val="left"/>
    </w:lvl>
  </w:abstractNum>
  <w:abstractNum w:abstractNumId="1" w15:restartNumberingAfterBreak="0">
    <w:nsid w:val="527D5CA1"/>
    <w:multiLevelType w:val="multilevel"/>
    <w:tmpl w:val="7548B1D0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57A06919"/>
    <w:multiLevelType w:val="hybridMultilevel"/>
    <w:tmpl w:val="43988BE6"/>
    <w:lvl w:ilvl="0" w:tplc="702CC9E6">
      <w:start w:val="1"/>
      <w:numFmt w:val="bullet"/>
      <w:lvlText w:val="●"/>
      <w:lvlJc w:val="left"/>
      <w:pPr>
        <w:ind w:left="720" w:hanging="360"/>
      </w:pPr>
    </w:lvl>
    <w:lvl w:ilvl="1" w:tplc="2DD8466A">
      <w:start w:val="1"/>
      <w:numFmt w:val="bullet"/>
      <w:lvlText w:val="○"/>
      <w:lvlJc w:val="left"/>
      <w:pPr>
        <w:ind w:left="1440" w:hanging="360"/>
      </w:pPr>
    </w:lvl>
    <w:lvl w:ilvl="2" w:tplc="B62C6A98">
      <w:start w:val="1"/>
      <w:numFmt w:val="bullet"/>
      <w:lvlText w:val="■"/>
      <w:lvlJc w:val="left"/>
      <w:pPr>
        <w:ind w:left="2160" w:hanging="360"/>
      </w:pPr>
    </w:lvl>
    <w:lvl w:ilvl="3" w:tplc="D81C4F60">
      <w:start w:val="1"/>
      <w:numFmt w:val="bullet"/>
      <w:lvlText w:val="●"/>
      <w:lvlJc w:val="left"/>
      <w:pPr>
        <w:ind w:left="2880" w:hanging="360"/>
      </w:pPr>
    </w:lvl>
    <w:lvl w:ilvl="4" w:tplc="A6405AD8">
      <w:start w:val="1"/>
      <w:numFmt w:val="bullet"/>
      <w:lvlText w:val="○"/>
      <w:lvlJc w:val="left"/>
      <w:pPr>
        <w:ind w:left="3600" w:hanging="360"/>
      </w:pPr>
    </w:lvl>
    <w:lvl w:ilvl="5" w:tplc="97C8563E">
      <w:start w:val="1"/>
      <w:numFmt w:val="bullet"/>
      <w:lvlText w:val="■"/>
      <w:lvlJc w:val="left"/>
      <w:pPr>
        <w:ind w:left="4320" w:hanging="360"/>
      </w:pPr>
    </w:lvl>
    <w:lvl w:ilvl="6" w:tplc="F2180C20">
      <w:start w:val="1"/>
      <w:numFmt w:val="bullet"/>
      <w:lvlText w:val="●"/>
      <w:lvlJc w:val="left"/>
      <w:pPr>
        <w:ind w:left="5040" w:hanging="360"/>
      </w:pPr>
    </w:lvl>
    <w:lvl w:ilvl="7" w:tplc="67D4B0B8">
      <w:start w:val="1"/>
      <w:numFmt w:val="bullet"/>
      <w:lvlText w:val="●"/>
      <w:lvlJc w:val="left"/>
      <w:pPr>
        <w:ind w:left="5760" w:hanging="360"/>
      </w:pPr>
    </w:lvl>
    <w:lvl w:ilvl="8" w:tplc="16BEDB0A">
      <w:start w:val="1"/>
      <w:numFmt w:val="bullet"/>
      <w:lvlText w:val="●"/>
      <w:lvlJc w:val="left"/>
      <w:pPr>
        <w:ind w:left="6480" w:hanging="360"/>
      </w:pPr>
    </w:lvl>
  </w:abstractNum>
  <w:num w:numId="1" w16cid:durableId="1086194985">
    <w:abstractNumId w:val="2"/>
    <w:lvlOverride w:ilvl="0">
      <w:startOverride w:val="1"/>
    </w:lvlOverride>
  </w:num>
  <w:num w:numId="2" w16cid:durableId="14310486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6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DD8"/>
    <w:rsid w:val="000D1BD5"/>
    <w:rsid w:val="007A2082"/>
    <w:rsid w:val="008A2C2F"/>
    <w:rsid w:val="00AB1982"/>
    <w:rsid w:val="00AF6DD8"/>
    <w:rsid w:val="00B76C35"/>
    <w:rsid w:val="00F73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32B49D"/>
  <w15:docId w15:val="{F09E3F0A-FEBF-7D4B-9058-44BDE06B0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1008</Words>
  <Characters>5741</Characters>
  <Application>Microsoft Office Word</Application>
  <DocSecurity>0</DocSecurity>
  <Lines>179</Lines>
  <Paragraphs>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6658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Bruno Goto</cp:lastModifiedBy>
  <cp:revision>2</cp:revision>
  <dcterms:created xsi:type="dcterms:W3CDTF">2026-08-17T17:24:00Z</dcterms:created>
  <dcterms:modified xsi:type="dcterms:W3CDTF">2026-08-17T17:24:00Z</dcterms:modified>
</cp:coreProperties>
</file>