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3C67F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00" w:after="20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INCT Fungos do Brasil</w:t>
      </w:r>
    </w:p>
    <w:p w14:paraId="00000002" w14:textId="65347D5B" w:rsidR="003C67F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240"/>
        <w:jc w:val="center"/>
        <w:rPr>
          <w:b/>
          <w:bCs/>
          <w:color w:val="000000"/>
          <w:sz w:val="28"/>
          <w:szCs w:val="28"/>
        </w:rPr>
      </w:pPr>
      <w:sdt>
        <w:sdtPr>
          <w:tag w:val="goog_rdk_0"/>
          <w:id w:val="-1611493639"/>
          <w:showingPlcHdr/>
        </w:sdtPr>
        <w:sdtContent>
          <w:r w:rsidR="00D73777">
            <w:t xml:space="preserve">     </w:t>
          </w:r>
        </w:sdtContent>
      </w:sdt>
      <w:r>
        <w:rPr>
          <w:b/>
          <w:bCs/>
          <w:color w:val="EE0000"/>
          <w:sz w:val="28"/>
          <w:szCs w:val="28"/>
        </w:rPr>
        <w:t xml:space="preserve">POP 3: </w:t>
      </w:r>
      <w:r>
        <w:rPr>
          <w:b/>
          <w:bCs/>
          <w:color w:val="000000"/>
          <w:sz w:val="28"/>
          <w:szCs w:val="28"/>
        </w:rPr>
        <w:t>Planejamento, Levantamento de Demandas e Cotação</w:t>
      </w:r>
    </w:p>
    <w:p w14:paraId="00000003" w14:textId="77777777" w:rsidR="003C67F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240"/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sz w:val="28"/>
          <w:szCs w:val="28"/>
        </w:rPr>
        <w:t>Recomendação para coordenação e comitê gestor em genômica</w:t>
      </w:r>
    </w:p>
    <w:p w14:paraId="00000004" w14:textId="77777777" w:rsidR="003C67FB" w:rsidRDefault="00000000" w:rsidP="00B918F3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rPr>
          <w:b/>
          <w:bCs/>
          <w:color w:val="000000"/>
        </w:rPr>
        <w:t>Objetivo:</w:t>
      </w:r>
      <w:r>
        <w:rPr>
          <w:color w:val="000000"/>
        </w:rPr>
        <w:t xml:space="preserve"> Orientar o Comitê Gestor na coleta de intenções de sequenciamento junto à rede, organização das demandas (priorização científica) e estimativa de custos (cotação) junto à </w:t>
      </w:r>
      <w:proofErr w:type="spellStart"/>
      <w:r>
        <w:rPr>
          <w:color w:val="000000"/>
        </w:rPr>
        <w:t>facility</w:t>
      </w:r>
      <w:proofErr w:type="spellEnd"/>
      <w:r>
        <w:rPr>
          <w:color w:val="000000"/>
        </w:rPr>
        <w:t xml:space="preserve"> nos EUA.</w:t>
      </w:r>
    </w:p>
    <w:p w14:paraId="00000005" w14:textId="77777777" w:rsidR="003C67FB" w:rsidRDefault="003C67FB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06" w14:textId="77777777" w:rsidR="003C67FB" w:rsidRDefault="003C67FB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240" w:after="240"/>
        <w:rPr>
          <w:color w:val="000000"/>
        </w:rPr>
      </w:pPr>
    </w:p>
    <w:p w14:paraId="00000007" w14:textId="77777777" w:rsidR="003C67FB" w:rsidRDefault="003C67FB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08" w14:textId="77777777" w:rsidR="003C67F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 Levantamento de Intenções de Sequenciamento</w:t>
      </w:r>
    </w:p>
    <w:p w14:paraId="00000009" w14:textId="77777777" w:rsidR="003C67F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8"/>
        <w:jc w:val="both"/>
        <w:rPr>
          <w:color w:val="000000"/>
        </w:rPr>
      </w:pPr>
      <w:r>
        <w:rPr>
          <w:color w:val="000000"/>
        </w:rPr>
        <w:t xml:space="preserve">Antes de solicitar a extração de DNA, o Comitê deve mapear as linhagens que os pesquisadores da rede têm interesse em sequenciar. Isso permite organizar a logística, otimizar os custos e priorizar amostras de maior impacto científico. </w:t>
      </w:r>
    </w:p>
    <w:p w14:paraId="0000000A" w14:textId="77777777" w:rsidR="003C67FB" w:rsidRDefault="003C67FB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0B" w14:textId="77777777" w:rsidR="003C67F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rPr>
          <w:b/>
          <w:bCs/>
          <w:color w:val="000000"/>
        </w:rPr>
        <w:t>Ação:</w:t>
      </w:r>
      <w:r>
        <w:rPr>
          <w:color w:val="000000"/>
        </w:rPr>
        <w:t xml:space="preserve"> Distribuir a </w:t>
      </w:r>
      <w:r>
        <w:rPr>
          <w:b/>
          <w:bCs/>
          <w:color w:val="000000"/>
        </w:rPr>
        <w:t>"Planilha 2: Intenção de Sequenciamento e Demandas"</w:t>
      </w:r>
      <w:r>
        <w:rPr>
          <w:color w:val="000000"/>
        </w:rPr>
        <w:t xml:space="preserve"> para todos os laboratórios associados.</w:t>
      </w:r>
    </w:p>
    <w:p w14:paraId="0000000C" w14:textId="77777777" w:rsidR="003C67FB" w:rsidRDefault="003C67FB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0D" w14:textId="77777777" w:rsidR="003C67F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rPr>
          <w:color w:val="000000"/>
        </w:rPr>
        <w:t>Os pesquisadores deverão preencher informações biológicas e taxonômicas cruciais:</w:t>
      </w:r>
    </w:p>
    <w:p w14:paraId="0000000E" w14:textId="77777777" w:rsidR="003C67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color w:val="000000"/>
        </w:rPr>
        <w:t>Gênero e Espécie (se identificada).</w:t>
      </w:r>
    </w:p>
    <w:p w14:paraId="0000000F" w14:textId="77777777" w:rsidR="003C67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color w:val="000000"/>
        </w:rPr>
        <w:t xml:space="preserve">Se </w:t>
      </w:r>
      <w:proofErr w:type="gramStart"/>
      <w:r>
        <w:rPr>
          <w:color w:val="000000"/>
        </w:rPr>
        <w:t>trata-se</w:t>
      </w:r>
      <w:proofErr w:type="gramEnd"/>
      <w:r>
        <w:rPr>
          <w:color w:val="000000"/>
        </w:rPr>
        <w:t xml:space="preserve"> de uma espécie nova (sp. nov.).</w:t>
      </w:r>
    </w:p>
    <w:p w14:paraId="00000010" w14:textId="77777777" w:rsidR="003C67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color w:val="000000"/>
        </w:rPr>
        <w:t>Se é uma linhagem Tipo (</w:t>
      </w:r>
      <w:proofErr w:type="spellStart"/>
      <w:r>
        <w:rPr>
          <w:color w:val="000000"/>
        </w:rPr>
        <w:t>Type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strain</w:t>
      </w:r>
      <w:proofErr w:type="spellEnd"/>
      <w:r>
        <w:rPr>
          <w:color w:val="000000"/>
        </w:rPr>
        <w:t>).</w:t>
      </w:r>
    </w:p>
    <w:p w14:paraId="00000011" w14:textId="77777777" w:rsidR="003C67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color w:val="000000"/>
        </w:rPr>
        <w:t xml:space="preserve">Estimativa do tamanho do genoma (em Mb) – </w:t>
      </w:r>
      <w:r>
        <w:rPr>
          <w:i/>
          <w:iCs/>
          <w:color w:val="000000"/>
        </w:rPr>
        <w:t>Essencial para cálculo de cobertura</w:t>
      </w:r>
      <w:r>
        <w:rPr>
          <w:color w:val="000000"/>
        </w:rPr>
        <w:t>.</w:t>
      </w:r>
    </w:p>
    <w:p w14:paraId="00000012" w14:textId="77777777" w:rsidR="003C67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color w:val="000000"/>
        </w:rPr>
        <w:t>Justificativa resumida do interesse científico.</w:t>
      </w:r>
    </w:p>
    <w:p w14:paraId="00000013" w14:textId="77777777" w:rsidR="003C67FB" w:rsidRDefault="003C67FB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14" w14:textId="77777777" w:rsidR="003C67FB" w:rsidRDefault="003C67FB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240" w:after="240"/>
        <w:rPr>
          <w:color w:val="000000"/>
        </w:rPr>
      </w:pPr>
    </w:p>
    <w:p w14:paraId="00000015" w14:textId="77777777" w:rsidR="003C67FB" w:rsidRDefault="003C67FB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16" w14:textId="77777777" w:rsidR="003C67F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2. Análise e Seleção pelo Comitê</w:t>
      </w:r>
    </w:p>
    <w:p w14:paraId="00000017" w14:textId="77777777" w:rsidR="003C67F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rPr>
          <w:color w:val="000000"/>
        </w:rPr>
        <w:t>Com a planilha consolidada, o Comitê deverá avaliar as propostas com base em critérios pré-estabelecidos pelo INCT Fungos do Brasil.</w:t>
      </w:r>
    </w:p>
    <w:p w14:paraId="00000018" w14:textId="77777777" w:rsidR="003C67FB" w:rsidRDefault="003C67FB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12"/>
          <w:szCs w:val="12"/>
        </w:rPr>
      </w:pPr>
    </w:p>
    <w:p w14:paraId="00000019" w14:textId="77777777" w:rsidR="003C67F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rPr>
          <w:b/>
          <w:bCs/>
          <w:color w:val="000000"/>
        </w:rPr>
        <w:t>Critérios Sugeridos para Priorização:</w:t>
      </w:r>
    </w:p>
    <w:p w14:paraId="0000001A" w14:textId="77777777" w:rsidR="003C67FB" w:rsidRDefault="00000000" w:rsidP="00B918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Relevância Taxonômica:</w:t>
      </w:r>
      <w:r>
        <w:rPr>
          <w:color w:val="000000"/>
        </w:rPr>
        <w:t xml:space="preserve"> Cepas Tipo e espécies novas têm prioridade máxima para estabelecimento de genomas de referência.</w:t>
      </w:r>
    </w:p>
    <w:p w14:paraId="0000001B" w14:textId="77777777" w:rsidR="003C67FB" w:rsidRDefault="00000000" w:rsidP="00B918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lastRenderedPageBreak/>
        <w:t>Impacto Biotecnológico/Clínico/Agrícola/ambiental:</w:t>
      </w:r>
      <w:r>
        <w:rPr>
          <w:color w:val="000000"/>
        </w:rPr>
        <w:t xml:space="preserve"> Linhagens com potencial de aplicação ou impacto econômico/saúde.</w:t>
      </w:r>
    </w:p>
    <w:p w14:paraId="0000001C" w14:textId="77777777" w:rsidR="003C67FB" w:rsidRDefault="00000000" w:rsidP="00B918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Tamanho do Genoma vs. Orçamento:</w:t>
      </w:r>
      <w:r>
        <w:rPr>
          <w:color w:val="000000"/>
        </w:rPr>
        <w:t xml:space="preserve"> O tamanho do genoma dita a quantidade de dados (</w:t>
      </w:r>
      <w:proofErr w:type="spellStart"/>
      <w:r>
        <w:rPr>
          <w:color w:val="000000"/>
        </w:rPr>
        <w:t>Gigabases</w:t>
      </w:r>
      <w:proofErr w:type="spellEnd"/>
      <w:r>
        <w:rPr>
          <w:color w:val="000000"/>
        </w:rPr>
        <w:t xml:space="preserve"> - Gb) necessários para atingir a cobertura ideal (</w:t>
      </w:r>
      <w:proofErr w:type="spellStart"/>
      <w:r>
        <w:rPr>
          <w:color w:val="000000"/>
        </w:rPr>
        <w:t>ex</w:t>
      </w:r>
      <w:proofErr w:type="spellEnd"/>
      <w:r>
        <w:rPr>
          <w:color w:val="000000"/>
        </w:rPr>
        <w:t>: 50x a 100x). Genomas muito grandes consomem mais recursos.</w:t>
      </w:r>
    </w:p>
    <w:p w14:paraId="0000001D" w14:textId="77777777" w:rsidR="003C67FB" w:rsidRDefault="00000000" w:rsidP="00B918F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Capacidade de Execução:</w:t>
      </w:r>
      <w:r>
        <w:rPr>
          <w:color w:val="000000"/>
        </w:rPr>
        <w:t xml:space="preserve"> O laboratório proponente possui capacidade de extrair DNA na qualidade exigida ou precisará de suporte logístico (Hub Regional)?</w:t>
      </w:r>
    </w:p>
    <w:p w14:paraId="0000001E" w14:textId="77777777" w:rsidR="003C67FB" w:rsidRDefault="003C67FB" w:rsidP="00B918F3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12"/>
          <w:szCs w:val="12"/>
        </w:rPr>
      </w:pPr>
    </w:p>
    <w:p w14:paraId="0000001F" w14:textId="77777777" w:rsidR="003C67FB" w:rsidRDefault="003C67FB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240" w:after="240"/>
        <w:rPr>
          <w:color w:val="000000"/>
        </w:rPr>
      </w:pPr>
    </w:p>
    <w:p w14:paraId="00000020" w14:textId="77777777" w:rsidR="003C67FB" w:rsidRDefault="003C67FB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21" w14:textId="77777777" w:rsidR="003C67F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3. Cotação e Orçamento com a </w:t>
      </w:r>
      <w:proofErr w:type="spellStart"/>
      <w:r>
        <w:rPr>
          <w:b/>
          <w:bCs/>
          <w:color w:val="000000"/>
          <w:sz w:val="28"/>
          <w:szCs w:val="28"/>
        </w:rPr>
        <w:t>Facility</w:t>
      </w:r>
      <w:proofErr w:type="spellEnd"/>
    </w:p>
    <w:p w14:paraId="00000022" w14:textId="77777777" w:rsidR="003C67FB" w:rsidRDefault="00000000" w:rsidP="00B918F3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708"/>
        <w:jc w:val="both"/>
        <w:rPr>
          <w:color w:val="000000"/>
        </w:rPr>
      </w:pPr>
      <w:r>
        <w:rPr>
          <w:color w:val="000000"/>
        </w:rPr>
        <w:t xml:space="preserve">Uma vez selecionadas as amostras, o Comitê deve estruturar a solicitação de cotação para a </w:t>
      </w:r>
      <w:proofErr w:type="spellStart"/>
      <w:r>
        <w:rPr>
          <w:color w:val="000000"/>
        </w:rPr>
        <w:t>facility</w:t>
      </w:r>
      <w:proofErr w:type="spellEnd"/>
      <w:r>
        <w:rPr>
          <w:color w:val="000000"/>
        </w:rPr>
        <w:t xml:space="preserve">. </w:t>
      </w:r>
    </w:p>
    <w:p w14:paraId="00000023" w14:textId="77777777" w:rsidR="003C67FB" w:rsidRDefault="003C67FB">
      <w:p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sz w:val="12"/>
          <w:szCs w:val="12"/>
        </w:rPr>
      </w:pPr>
    </w:p>
    <w:p w14:paraId="00000024" w14:textId="77777777" w:rsidR="003C67F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rPr>
          <w:b/>
          <w:bCs/>
          <w:color w:val="000000"/>
        </w:rPr>
        <w:t xml:space="preserve">Informações necessárias para a </w:t>
      </w:r>
      <w:proofErr w:type="spellStart"/>
      <w:r>
        <w:rPr>
          <w:b/>
          <w:bCs/>
          <w:color w:val="000000"/>
        </w:rPr>
        <w:t>Facility</w:t>
      </w:r>
      <w:proofErr w:type="spellEnd"/>
      <w:r>
        <w:rPr>
          <w:b/>
          <w:bCs/>
          <w:color w:val="000000"/>
        </w:rPr>
        <w:t>:</w:t>
      </w:r>
    </w:p>
    <w:p w14:paraId="00000025" w14:textId="77777777" w:rsidR="003C67FB" w:rsidRDefault="00000000" w:rsidP="00B918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Número total de amostras:</w:t>
      </w:r>
      <w:r>
        <w:rPr>
          <w:color w:val="000000"/>
        </w:rPr>
        <w:t xml:space="preserve"> Lembre-se que o ideal é enviar lotes de 50 a 96 amostras. Lotes maiores que 96 exigirão múltiplas corridas no robô, adicionando cerca de 1 semana ao </w:t>
      </w:r>
      <w:r>
        <w:rPr>
          <w:i/>
          <w:iCs/>
          <w:color w:val="000000"/>
        </w:rPr>
        <w:t>Turnaround Time (TAT)</w:t>
      </w:r>
      <w:r>
        <w:rPr>
          <w:color w:val="000000"/>
        </w:rPr>
        <w:t>.</w:t>
      </w:r>
    </w:p>
    <w:p w14:paraId="00000026" w14:textId="77777777" w:rsidR="003C67FB" w:rsidRDefault="00000000" w:rsidP="00B918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Tipo de Biblioteca:</w:t>
      </w:r>
      <w:r>
        <w:rPr>
          <w:color w:val="000000"/>
        </w:rPr>
        <w:t xml:space="preserve"> PCR-</w:t>
      </w:r>
      <w:proofErr w:type="spellStart"/>
      <w:r>
        <w:rPr>
          <w:color w:val="000000"/>
        </w:rPr>
        <w:t>free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library</w:t>
      </w:r>
      <w:proofErr w:type="spellEnd"/>
      <w:r>
        <w:rPr>
          <w:color w:val="000000"/>
        </w:rPr>
        <w:t xml:space="preserve"> prep.</w:t>
      </w:r>
    </w:p>
    <w:p w14:paraId="00000027" w14:textId="77777777" w:rsidR="003C67FB" w:rsidRDefault="00000000" w:rsidP="00B918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 xml:space="preserve">Plataforma e Tamanho do </w:t>
      </w:r>
      <w:proofErr w:type="spellStart"/>
      <w:r>
        <w:rPr>
          <w:b/>
          <w:bCs/>
          <w:color w:val="000000"/>
        </w:rPr>
        <w:t>Insert</w:t>
      </w:r>
      <w:proofErr w:type="spellEnd"/>
      <w:r>
        <w:rPr>
          <w:b/>
          <w:bCs/>
          <w:color w:val="000000"/>
        </w:rPr>
        <w:t>:</w:t>
      </w:r>
      <w:r>
        <w:rPr>
          <w:color w:val="000000"/>
        </w:rPr>
        <w:t xml:space="preserve"> Especificar se é </w:t>
      </w:r>
      <w:proofErr w:type="spellStart"/>
      <w:r>
        <w:rPr>
          <w:color w:val="000000"/>
        </w:rPr>
        <w:t>Illumina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ex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NovaSeq</w:t>
      </w:r>
      <w:proofErr w:type="spellEnd"/>
      <w:r>
        <w:rPr>
          <w:color w:val="000000"/>
        </w:rPr>
        <w:t>, PE 150bp) ou tecnologia de leitura longa (</w:t>
      </w:r>
      <w:proofErr w:type="spellStart"/>
      <w:r>
        <w:rPr>
          <w:color w:val="000000"/>
        </w:rPr>
        <w:t>PacBio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Nanopore</w:t>
      </w:r>
      <w:proofErr w:type="spellEnd"/>
      <w:r>
        <w:rPr>
          <w:color w:val="000000"/>
        </w:rPr>
        <w:t>), dependendo do objetivo (rascunho vs. genoma fechado).</w:t>
      </w:r>
    </w:p>
    <w:p w14:paraId="00000028" w14:textId="77777777" w:rsidR="003C67FB" w:rsidRDefault="00000000" w:rsidP="00B918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</w:pPr>
      <w:r>
        <w:rPr>
          <w:b/>
          <w:bCs/>
          <w:color w:val="000000"/>
        </w:rPr>
        <w:t>Volume de Dados (Output):</w:t>
      </w:r>
      <w:r>
        <w:rPr>
          <w:color w:val="000000"/>
        </w:rPr>
        <w:t xml:space="preserve"> Informar a quantidade de Gb desejada por amostra ou o tamanho médio do genoma e a cobertura desejada.</w:t>
      </w:r>
    </w:p>
    <w:p w14:paraId="00000029" w14:textId="77777777" w:rsidR="003C67FB" w:rsidRDefault="003C67FB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2A" w14:textId="77777777" w:rsidR="003C67FB" w:rsidRDefault="003C67FB">
      <w:pPr>
        <w:pBdr>
          <w:top w:val="nil"/>
          <w:left w:val="nil"/>
          <w:bottom w:val="single" w:sz="6" w:space="1" w:color="000000"/>
          <w:right w:val="nil"/>
          <w:between w:val="nil"/>
        </w:pBdr>
        <w:spacing w:before="240" w:after="240"/>
        <w:rPr>
          <w:color w:val="000000"/>
        </w:rPr>
      </w:pPr>
    </w:p>
    <w:p w14:paraId="0000002B" w14:textId="77777777" w:rsidR="003C67FB" w:rsidRDefault="003C67FB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  <w:sz w:val="12"/>
          <w:szCs w:val="12"/>
        </w:rPr>
      </w:pPr>
    </w:p>
    <w:p w14:paraId="0000002C" w14:textId="77777777" w:rsidR="003C67F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320" w:after="16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4. Aprovação e Início do Fluxo de Extração</w:t>
      </w:r>
    </w:p>
    <w:p w14:paraId="0000002D" w14:textId="77777777" w:rsidR="003C67F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>
        <w:rPr>
          <w:color w:val="000000"/>
        </w:rPr>
        <w:t xml:space="preserve">Após a aprovação do orçamento, o Comitê comunicará os laboratórios selecionados, autorizando o início da extração de DNA conforme as diretrizes do </w:t>
      </w:r>
      <w:r>
        <w:rPr>
          <w:b/>
          <w:bCs/>
          <w:color w:val="000000"/>
        </w:rPr>
        <w:t>POP 1 (Manual do Usuário)</w:t>
      </w:r>
      <w:r>
        <w:rPr>
          <w:color w:val="000000"/>
        </w:rPr>
        <w:t xml:space="preserve"> e acionando o </w:t>
      </w:r>
      <w:r>
        <w:rPr>
          <w:b/>
          <w:bCs/>
          <w:color w:val="000000"/>
        </w:rPr>
        <w:t>Plano de Logística Nacional</w:t>
      </w:r>
      <w:r>
        <w:rPr>
          <w:color w:val="000000"/>
        </w:rPr>
        <w:t>.</w:t>
      </w:r>
    </w:p>
    <w:sectPr w:rsidR="003C67F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066CD73-8E4C-6A42-B827-1C3422EE4D2D}"/>
    <w:embedBold r:id="rId2" w:fontKey="{FBF79363-35A4-F34D-8C6E-B1682CFD4C67}"/>
    <w:embedItalic r:id="rId3" w:fontKey="{013B6181-62DE-AE41-9BF5-A2C366DA00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0A6EB2D-D345-4B44-A010-C24AF9B59E1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FC1C6E22-8CAA-BE45-B729-980FD057684D}"/>
  </w:font>
  <w:font w:name="Cambria">
    <w:panose1 w:val="02040503050406030204"/>
    <w:charset w:val="00"/>
    <w:family w:val="roman"/>
    <w:notTrueType/>
    <w:pitch w:val="default"/>
    <w:embedRegular r:id="rId6" w:fontKey="{297CB6BB-AECC-0A4F-B563-7C9D731F09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144FE8"/>
    <w:multiLevelType w:val="multilevel"/>
    <w:tmpl w:val="666A90E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631F65FD"/>
    <w:multiLevelType w:val="multilevel"/>
    <w:tmpl w:val="DEC83D2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◦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◦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268658708">
    <w:abstractNumId w:val="1"/>
  </w:num>
  <w:num w:numId="2" w16cid:durableId="485241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7FB"/>
    <w:rsid w:val="003C67FB"/>
    <w:rsid w:val="00B918F3"/>
    <w:rsid w:val="00D73777"/>
    <w:rsid w:val="00F7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DEA14275-A3D9-FB4C-8D66-750C39480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GTX//sGK2/rwc2tRDeQmMawhw==">CgMxLjAaJwoBMBIiCiAIBCocCgtBQUFDQTV1WDBGbxAIGgtBQUFDQTV1WDBGbyKKAgoLQUFBQ0E1dVgwRm8S2gEKC0FBQUNBNXVYMEZvEgtBQUFDQTV1WDBGbxoiCgl0ZXh0L2h0bWwSFVRlcmVtb3MgdW0gcG9wIDEgZSAyPyIjCgp0ZXh0L3BsYWluEhVUZXJlbW9zIHVtIHBvcCAxIGUgMj8qGyIVMTEwNzY0OTM3MTk5ODE0NzU5MDE3KAA4ADCxlp/f9TM4sZaf3/UzShMKCnRleHQvcGxhaW4SBVBPUCAzWgw0aHFxMzhtZTE1bWJyAiAAeACaAQYIABAAGACqARcSFVRlcmVtb3MgdW0gcG9wIDEgZSAyPxixlp/f9TMgsZaf3/UzQhBraXguc2Y0ajZjcWV4a21mOAByITFaLVdBU1otYi1SRTZkcDBvLXNjRGtFNEFmRnhXY3o2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2444</Characters>
  <Application>Microsoft Office Word</Application>
  <DocSecurity>0</DocSecurity>
  <Lines>64</Lines>
  <Paragraphs>33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Goto</cp:lastModifiedBy>
  <cp:revision>2</cp:revision>
  <dcterms:created xsi:type="dcterms:W3CDTF">2026-08-17T17:27:00Z</dcterms:created>
  <dcterms:modified xsi:type="dcterms:W3CDTF">2026-08-17T17:27:00Z</dcterms:modified>
</cp:coreProperties>
</file>