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79BC27" w14:textId="77777777" w:rsidR="00E6790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240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INCT Fungos do Brasil</w:t>
      </w:r>
    </w:p>
    <w:p w14:paraId="5933D997" w14:textId="77777777" w:rsidR="00E6790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2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Plano de Logística Nacional </w:t>
      </w:r>
    </w:p>
    <w:p w14:paraId="352F6341" w14:textId="77777777" w:rsidR="00E6790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Fluxo de Extração, Validação e Envio de DNA para Sequenciamento</w:t>
      </w:r>
    </w:p>
    <w:p w14:paraId="75FF7B0B" w14:textId="77777777" w:rsidR="00E6790D" w:rsidRDefault="00E6790D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jc w:val="center"/>
        <w:rPr>
          <w:b/>
          <w:bCs/>
          <w:color w:val="000000"/>
          <w:sz w:val="28"/>
          <w:szCs w:val="28"/>
        </w:rPr>
      </w:pPr>
    </w:p>
    <w:p w14:paraId="65204B4E" w14:textId="77777777" w:rsidR="00E679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12"/>
          <w:szCs w:val="12"/>
        </w:rPr>
      </w:pPr>
      <w:r>
        <w:rPr>
          <w:b/>
          <w:bCs/>
          <w:color w:val="000000"/>
        </w:rPr>
        <w:t>Objetivo:</w:t>
      </w:r>
      <w:r>
        <w:rPr>
          <w:color w:val="000000"/>
        </w:rPr>
        <w:t xml:space="preserve"> Estabelecer uma rede colaborativa e eficiente para garantir que todos os laboratórios do INCT Fungos do Brasil, independentemente de sua infraestrutura local, consigam extrair e enviar DNA genômico de alta qualidade para a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de sequenciamento nos EUA.</w:t>
      </w:r>
    </w:p>
    <w:p w14:paraId="22F5E859" w14:textId="77777777" w:rsidR="00E6790D" w:rsidRDefault="00E6790D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4EDF5F38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6A54CCB8" w14:textId="77777777" w:rsidR="00E6790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Organograma do Fluxo Logístico</w:t>
      </w:r>
    </w:p>
    <w:p w14:paraId="523EA5D4" w14:textId="77777777" w:rsidR="00E679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 xml:space="preserve">O fluxo de trabalho foi desenhado para otimizar recursos e garantir o controle de qualidade rigoroso exigido pela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(PCR-</w:t>
      </w:r>
      <w:proofErr w:type="spellStart"/>
      <w:r>
        <w:rPr>
          <w:color w:val="000000"/>
        </w:rPr>
        <w:t>free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library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prep</w:t>
      </w:r>
      <w:proofErr w:type="spellEnd"/>
      <w:r>
        <w:rPr>
          <w:color w:val="000000"/>
        </w:rPr>
        <w:t>).</w:t>
      </w:r>
    </w:p>
    <w:p w14:paraId="486CA0F0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before="120" w:after="120"/>
      </w:pPr>
    </w:p>
    <w:p w14:paraId="0A66F8BF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2B617DE5" w14:textId="77777777" w:rsidR="00E679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714219" wp14:editId="6B0199AA">
            <wp:extent cx="6397995" cy="27526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7995" cy="2752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7911B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46F6AD9F" w14:textId="77777777" w:rsidR="00E6790D" w:rsidRDefault="00E6790D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sz w:val="28"/>
          <w:szCs w:val="28"/>
        </w:rPr>
      </w:pPr>
    </w:p>
    <w:p w14:paraId="006F8D6C" w14:textId="77777777" w:rsidR="00E6790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Classificação dos Laboratórios da Rede</w:t>
      </w:r>
    </w:p>
    <w:p w14:paraId="529127D9" w14:textId="77777777" w:rsidR="00E6790D" w:rsidRDefault="00000000" w:rsidP="00C27CF4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color w:val="000000"/>
        </w:rPr>
        <w:t>Para fins logísticos, os laboratórios da rede são classificados em três categorias baseadas em sua infraestrutura disponível. Essa classificação permite ao Comitê dimensionar o suporte necessário e planejar o fluxo de amostras de forma realista.</w:t>
      </w:r>
    </w:p>
    <w:p w14:paraId="25B291D7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tbl>
      <w:tblPr>
        <w:tblStyle w:val="a"/>
        <w:tblW w:w="9497" w:type="dxa"/>
        <w:tblInd w:w="0" w:type="dxa"/>
        <w:tblBorders>
          <w:top w:val="single" w:sz="4" w:space="0" w:color="E1E4E8"/>
          <w:bottom w:val="single" w:sz="4" w:space="0" w:color="E1E4E8"/>
          <w:insideH w:val="single" w:sz="4" w:space="0" w:color="E1E4E8"/>
          <w:insideV w:val="single" w:sz="4" w:space="0" w:color="F6F8FA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1524"/>
        <w:gridCol w:w="3022"/>
        <w:gridCol w:w="4110"/>
      </w:tblGrid>
      <w:tr w:rsidR="00E6790D" w14:paraId="6952ED7F" w14:textId="77777777">
        <w:trPr>
          <w:cantSplit/>
          <w:trHeight w:val="720"/>
          <w:tblHeader/>
        </w:trPr>
        <w:tc>
          <w:tcPr>
            <w:tcW w:w="8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BA86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Nível</w:t>
            </w:r>
          </w:p>
        </w:tc>
        <w:tc>
          <w:tcPr>
            <w:tcW w:w="15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8337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Denominação</w:t>
            </w:r>
          </w:p>
        </w:tc>
        <w:tc>
          <w:tcPr>
            <w:tcW w:w="30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FBB55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Infraestrutura Disponível</w:t>
            </w:r>
          </w:p>
        </w:tc>
        <w:tc>
          <w:tcPr>
            <w:tcW w:w="4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28A5D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Responsabilidade no Fluxo</w:t>
            </w:r>
          </w:p>
        </w:tc>
      </w:tr>
      <w:tr w:rsidR="00E6790D" w14:paraId="1CE900AA" w14:textId="77777777">
        <w:trPr>
          <w:cantSplit/>
          <w:trHeight w:val="576"/>
        </w:trPr>
        <w:tc>
          <w:tcPr>
            <w:tcW w:w="8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0791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Nível 1</w:t>
            </w:r>
          </w:p>
        </w:tc>
        <w:tc>
          <w:tcPr>
            <w:tcW w:w="15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04C3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Autossuficiente</w:t>
            </w:r>
          </w:p>
        </w:tc>
        <w:tc>
          <w:tcPr>
            <w:tcW w:w="3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AACC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Extração de DNA, </w:t>
            </w:r>
            <w:proofErr w:type="spellStart"/>
            <w:r>
              <w:rPr>
                <w:color w:val="000000"/>
                <w:sz w:val="20"/>
                <w:szCs w:val="20"/>
              </w:rPr>
              <w:t>Qubit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fluorometria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NanoDrop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(espectrofotometria), gel de agarose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149F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Extrai o DNA, realiza todas as análises de qualidade e pureza (POP 1), preenche a Planilha 1 e envia as amostras validadas diretamente ao </w:t>
            </w:r>
            <w:r>
              <w:rPr>
                <w:b/>
                <w:bCs/>
                <w:color w:val="000000"/>
                <w:sz w:val="20"/>
                <w:szCs w:val="20"/>
              </w:rPr>
              <w:t>Ponto Focal Nacional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790D" w14:paraId="5B6740C5" w14:textId="77777777">
        <w:trPr>
          <w:cantSplit/>
          <w:trHeight w:val="576"/>
        </w:trPr>
        <w:tc>
          <w:tcPr>
            <w:tcW w:w="8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38A0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Nível 2</w:t>
            </w:r>
          </w:p>
        </w:tc>
        <w:tc>
          <w:tcPr>
            <w:tcW w:w="15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14CF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Parcialmente Dependente</w:t>
            </w:r>
          </w:p>
        </w:tc>
        <w:tc>
          <w:tcPr>
            <w:tcW w:w="3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3C5D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Extração de DNA e gel de agarose, mas </w:t>
            </w:r>
            <w:r>
              <w:rPr>
                <w:b/>
                <w:bCs/>
                <w:color w:val="000000"/>
                <w:sz w:val="20"/>
                <w:szCs w:val="20"/>
              </w:rPr>
              <w:t>sem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Qubit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e/ou </w:t>
            </w:r>
            <w:proofErr w:type="spellStart"/>
            <w:r>
              <w:rPr>
                <w:color w:val="000000"/>
                <w:sz w:val="20"/>
                <w:szCs w:val="20"/>
              </w:rPr>
              <w:t>NanoDrop</w:t>
            </w:r>
            <w:proofErr w:type="spellEnd"/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9C98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Extrai o DNA seguindo o POP 1, verifica a integridade preliminar em gel e envia as amostras (congeladas) ao </w:t>
            </w:r>
            <w:r>
              <w:rPr>
                <w:b/>
                <w:bCs/>
                <w:color w:val="000000"/>
                <w:sz w:val="20"/>
                <w:szCs w:val="20"/>
              </w:rPr>
              <w:t>Hub Regional de Apoio</w:t>
            </w:r>
            <w:r>
              <w:rPr>
                <w:color w:val="000000"/>
                <w:sz w:val="20"/>
                <w:szCs w:val="20"/>
              </w:rPr>
              <w:t xml:space="preserve"> para quantificação e validação final.</w:t>
            </w:r>
          </w:p>
        </w:tc>
      </w:tr>
      <w:tr w:rsidR="00E6790D" w14:paraId="26448A3D" w14:textId="77777777">
        <w:trPr>
          <w:cantSplit/>
          <w:trHeight w:val="576"/>
        </w:trPr>
        <w:tc>
          <w:tcPr>
            <w:tcW w:w="841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9F55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Nível 3</w:t>
            </w:r>
          </w:p>
        </w:tc>
        <w:tc>
          <w:tcPr>
            <w:tcW w:w="1524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4A96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Totalmente Dependente</w:t>
            </w:r>
          </w:p>
        </w:tc>
        <w:tc>
          <w:tcPr>
            <w:tcW w:w="3022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13A3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Não possui</w:t>
            </w:r>
            <w:r>
              <w:rPr>
                <w:color w:val="000000"/>
                <w:sz w:val="20"/>
                <w:szCs w:val="20"/>
              </w:rPr>
              <w:t xml:space="preserve"> infraestrutura para extração de DNA nem para quantificação</w:t>
            </w:r>
          </w:p>
        </w:tc>
        <w:tc>
          <w:tcPr>
            <w:tcW w:w="4110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486F" w14:textId="77777777" w:rsidR="00E67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Mantém e cultiva as linhagens de interesse, garante a pureza das culturas (culturas </w:t>
            </w:r>
            <w:proofErr w:type="spellStart"/>
            <w:r>
              <w:rPr>
                <w:color w:val="000000"/>
                <w:sz w:val="20"/>
                <w:szCs w:val="20"/>
              </w:rPr>
              <w:t>monospóricas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e envia as </w:t>
            </w:r>
            <w:r>
              <w:rPr>
                <w:b/>
                <w:bCs/>
                <w:color w:val="000000"/>
                <w:sz w:val="20"/>
                <w:szCs w:val="20"/>
              </w:rPr>
              <w:t>culturas vivas</w:t>
            </w:r>
            <w:r>
              <w:rPr>
                <w:color w:val="000000"/>
                <w:sz w:val="20"/>
                <w:szCs w:val="20"/>
              </w:rPr>
              <w:t xml:space="preserve"> (ou micélio liofilizado/congelado) ao </w:t>
            </w:r>
            <w:r>
              <w:rPr>
                <w:b/>
                <w:bCs/>
                <w:color w:val="000000"/>
                <w:sz w:val="20"/>
                <w:szCs w:val="20"/>
              </w:rPr>
              <w:t>Hub Regional de Apoio</w:t>
            </w:r>
            <w:r>
              <w:rPr>
                <w:color w:val="000000"/>
                <w:sz w:val="20"/>
                <w:szCs w:val="20"/>
              </w:rPr>
              <w:t xml:space="preserve"> ou a um laboratório parceiro Nível 1/2 que realizará a extração e quantificação.</w:t>
            </w:r>
          </w:p>
        </w:tc>
      </w:tr>
    </w:tbl>
    <w:p w14:paraId="2E781DAE" w14:textId="77777777" w:rsidR="00E679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b/>
          <w:bCs/>
          <w:color w:val="000000"/>
        </w:rPr>
        <w:t>Detalhamento do Laboratório Nível 3:</w:t>
      </w:r>
    </w:p>
    <w:p w14:paraId="511755AE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73EDA44" w14:textId="77777777" w:rsidR="00E6790D" w:rsidRDefault="00000000" w:rsidP="00C27CF4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color w:val="000000"/>
        </w:rPr>
        <w:t>Esses laboratórios desempenham um papel fundamental na rede por abrigarem linhagens de interesse taxonômico, ecológico ou biotecnológico, mesmo sem possuírem os equipamentos necessários para a preparação do DNA. Sua contribuição é viabilizada pela estrutura colaborativa do INCT. O fluxo para esses laboratórios é o seguinte:</w:t>
      </w:r>
    </w:p>
    <w:p w14:paraId="11482551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17CC5A43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 xml:space="preserve">O pesquisador do Laboratório Nível 3 preenche a </w:t>
      </w:r>
      <w:r>
        <w:rPr>
          <w:b/>
          <w:bCs/>
          <w:color w:val="000000"/>
        </w:rPr>
        <w:t>Planilha 2 (Intenção de Sequenciamento)</w:t>
      </w:r>
      <w:r>
        <w:rPr>
          <w:color w:val="000000"/>
        </w:rPr>
        <w:t xml:space="preserve"> normalmente, indicando na coluna de infraestrutura que necessita de apoio total.</w:t>
      </w:r>
    </w:p>
    <w:p w14:paraId="15AF7AE8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>Após aprovação pelo Comitê, o pesquisador prepara a cultura pura (</w:t>
      </w:r>
      <w:proofErr w:type="spellStart"/>
      <w:r>
        <w:rPr>
          <w:color w:val="000000"/>
        </w:rPr>
        <w:t>monospórica</w:t>
      </w:r>
      <w:proofErr w:type="spellEnd"/>
      <w:r>
        <w:rPr>
          <w:color w:val="000000"/>
        </w:rPr>
        <w:t>, verificada visualmente conforme POP 1) e a envia ao Hub Regional ou laboratório parceiro designado.</w:t>
      </w:r>
    </w:p>
    <w:p w14:paraId="080AE376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>O Hub Regional/parceiro realiza a extração de DNA, quantificação (</w:t>
      </w:r>
      <w:proofErr w:type="spellStart"/>
      <w:r>
        <w:rPr>
          <w:color w:val="000000"/>
        </w:rPr>
        <w:t>Qubit</w:t>
      </w:r>
      <w:proofErr w:type="spellEnd"/>
      <w:r>
        <w:rPr>
          <w:color w:val="000000"/>
        </w:rPr>
        <w:t>), avaliação de pureza (</w:t>
      </w:r>
      <w:proofErr w:type="spellStart"/>
      <w:r>
        <w:rPr>
          <w:color w:val="000000"/>
        </w:rPr>
        <w:t>NanoDrop</w:t>
      </w:r>
      <w:proofErr w:type="spellEnd"/>
      <w:r>
        <w:rPr>
          <w:color w:val="000000"/>
        </w:rPr>
        <w:t>) e integridade (gel), preenche a Planilha 1 e encaminha ao Ponto Focal Nacional.</w:t>
      </w:r>
    </w:p>
    <w:p w14:paraId="24C4DCCB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>O pesquisador de origem permanece como responsável científico pela amostra e deve fornecer todos os metadados (gênero, espécie, cepa, tamanho do genoma).</w:t>
      </w:r>
    </w:p>
    <w:p w14:paraId="2F5710B1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3A2831F0" w14:textId="77777777" w:rsidR="00E6790D" w:rsidRDefault="00E6790D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3310A3A6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2062DA85" w14:textId="77777777" w:rsidR="00E6790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3. Estrutura de Apoio e Consolidação</w:t>
      </w:r>
    </w:p>
    <w:p w14:paraId="0B65D12C" w14:textId="77777777" w:rsidR="00E679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>Para viabilizar o fluxo, o INCT contará com centros de apoio estratégico:</w:t>
      </w:r>
    </w:p>
    <w:p w14:paraId="5C1648F1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5DF93C16" w14:textId="77777777" w:rsidR="00E679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b/>
          <w:bCs/>
          <w:color w:val="000000"/>
        </w:rPr>
        <w:t>Hubs Regionais de Apoio:</w:t>
      </w:r>
    </w:p>
    <w:p w14:paraId="3D82FF78" w14:textId="77777777" w:rsidR="00E6790D" w:rsidRDefault="00000000" w:rsidP="00C27C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O que são:</w:t>
      </w:r>
      <w:r>
        <w:rPr>
          <w:color w:val="000000"/>
        </w:rPr>
        <w:t xml:space="preserve"> Laboratórios âncora estrategicamente localizados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>: um no Sudeste, um no Nordeste, um no Sul/Centro-Oeste) com infraestrutura robusta e pessoal treinado.</w:t>
      </w:r>
    </w:p>
    <w:p w14:paraId="658F7283" w14:textId="77777777" w:rsidR="00E6790D" w:rsidRDefault="00000000" w:rsidP="00C27C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Função:</w:t>
      </w:r>
      <w:r>
        <w:rPr>
          <w:color w:val="000000"/>
        </w:rPr>
        <w:t xml:space="preserve"> Receber as amostras dos Laboratórios Nível 2 de sua região geográfica. O Hub realizará a quantificação oficial via </w:t>
      </w:r>
      <w:proofErr w:type="spellStart"/>
      <w:r>
        <w:rPr>
          <w:color w:val="000000"/>
        </w:rPr>
        <w:t>Qubit</w:t>
      </w:r>
      <w:proofErr w:type="spellEnd"/>
      <w:r>
        <w:rPr>
          <w:color w:val="000000"/>
        </w:rPr>
        <w:t xml:space="preserve"> e a análise de pureza via </w:t>
      </w:r>
      <w:proofErr w:type="spellStart"/>
      <w:r>
        <w:rPr>
          <w:color w:val="000000"/>
        </w:rPr>
        <w:t>NanoDrop</w:t>
      </w:r>
      <w:proofErr w:type="spellEnd"/>
      <w:r>
        <w:rPr>
          <w:color w:val="000000"/>
        </w:rPr>
        <w:t>. Se a amostra for aprovada, o Hub preenche a "Planilha 1" e repassa a amostra para o Ponto Focal Nacional. Se reprovada, o Hub orienta o laboratório de origem sobre nova extração.</w:t>
      </w:r>
    </w:p>
    <w:p w14:paraId="4B28F636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7D7A61A9" w14:textId="77777777" w:rsidR="00E679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b/>
          <w:bCs/>
          <w:color w:val="000000"/>
        </w:rPr>
        <w:t>Ponto Focal Nacional:</w:t>
      </w:r>
    </w:p>
    <w:p w14:paraId="5B018DC0" w14:textId="77777777" w:rsidR="00E6790D" w:rsidRDefault="00000000" w:rsidP="00C27C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O que é:</w:t>
      </w:r>
      <w:r>
        <w:rPr>
          <w:color w:val="000000"/>
        </w:rPr>
        <w:t xml:space="preserve"> O laboratório central responsável pela interface internacional.</w:t>
      </w:r>
    </w:p>
    <w:p w14:paraId="65A7D43E" w14:textId="77777777" w:rsidR="00E6790D" w:rsidRDefault="00000000" w:rsidP="00C27C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Função:</w:t>
      </w:r>
      <w:r>
        <w:rPr>
          <w:color w:val="000000"/>
        </w:rPr>
        <w:t xml:space="preserve"> Receber todas as amostras aprovadas (dos </w:t>
      </w:r>
      <w:proofErr w:type="spellStart"/>
      <w:r>
        <w:rPr>
          <w:color w:val="000000"/>
        </w:rPr>
        <w:t>Labs</w:t>
      </w:r>
      <w:proofErr w:type="spellEnd"/>
      <w:r>
        <w:rPr>
          <w:color w:val="000000"/>
        </w:rPr>
        <w:t xml:space="preserve"> Nível 1 e dos Hubs Regionais). Aplicar o </w:t>
      </w:r>
      <w:r>
        <w:rPr>
          <w:b/>
          <w:bCs/>
          <w:color w:val="000000"/>
        </w:rPr>
        <w:t>POP 2 (Checklist do Comitê)</w:t>
      </w:r>
      <w:r>
        <w:rPr>
          <w:color w:val="000000"/>
        </w:rPr>
        <w:t xml:space="preserve"> para conferência documental. Consolidar as amostras em placas de PCR de 96 poços (otimizando o tamanho dos lotes). Gerenciar a emissão de licenças de exportação (</w:t>
      </w:r>
      <w:proofErr w:type="spellStart"/>
      <w:r>
        <w:rPr>
          <w:color w:val="000000"/>
        </w:rPr>
        <w:t>SisGen</w:t>
      </w:r>
      <w:proofErr w:type="spellEnd"/>
      <w:r>
        <w:rPr>
          <w:color w:val="000000"/>
        </w:rPr>
        <w:t xml:space="preserve">, Ibama, Receita Federal) e realizar o envio físico em gelo seco para a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nos EUA.</w:t>
      </w:r>
    </w:p>
    <w:p w14:paraId="72863207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213A18C7" w14:textId="77777777" w:rsidR="00E6790D" w:rsidRDefault="00E6790D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4CD542DD" w14:textId="77777777" w:rsidR="00E6790D" w:rsidRDefault="00E6790D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2C72F772" w14:textId="77777777" w:rsidR="00E6790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Cronograma Macro de Execução (Por Lote)</w:t>
      </w:r>
    </w:p>
    <w:p w14:paraId="518B9E1D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Mês 1:</w:t>
      </w:r>
      <w:r>
        <w:rPr>
          <w:color w:val="000000"/>
        </w:rPr>
        <w:t xml:space="preserve"> Comitê distribui a Planilha 2 (Intenção de Sequenciamento).</w:t>
      </w:r>
    </w:p>
    <w:p w14:paraId="743DA63C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Mês 2:</w:t>
      </w:r>
      <w:r>
        <w:rPr>
          <w:color w:val="000000"/>
        </w:rPr>
        <w:t xml:space="preserve"> Comitê seleciona demandas, cota com a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e autoriza o início das extrações.</w:t>
      </w:r>
    </w:p>
    <w:p w14:paraId="7C1F349E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Mês 3:</w:t>
      </w:r>
      <w:r>
        <w:rPr>
          <w:color w:val="000000"/>
        </w:rPr>
        <w:t xml:space="preserve"> Laboratórios extraem DNA. </w:t>
      </w:r>
      <w:proofErr w:type="spellStart"/>
      <w:r>
        <w:rPr>
          <w:color w:val="000000"/>
        </w:rPr>
        <w:t>Labs</w:t>
      </w:r>
      <w:proofErr w:type="spellEnd"/>
      <w:r>
        <w:rPr>
          <w:color w:val="000000"/>
        </w:rPr>
        <w:t xml:space="preserve"> Nível 2 enviam para os Hubs Regionais. Hubs validam.</w:t>
      </w:r>
    </w:p>
    <w:p w14:paraId="54329618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Mês 4: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Labs</w:t>
      </w:r>
      <w:proofErr w:type="spellEnd"/>
      <w:r>
        <w:rPr>
          <w:color w:val="000000"/>
        </w:rPr>
        <w:t xml:space="preserve"> Nível 1 e Hubs enviam amostras finais para o Ponto Focal Nacional.</w:t>
      </w:r>
    </w:p>
    <w:p w14:paraId="33B50AEF" w14:textId="77777777" w:rsidR="00E6790D" w:rsidRDefault="00000000" w:rsidP="00C27C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Mês 5:</w:t>
      </w:r>
      <w:r>
        <w:rPr>
          <w:color w:val="000000"/>
        </w:rPr>
        <w:t xml:space="preserve"> Ponto Focal consolida placas, emite licenças e despacha para os EUA.</w:t>
      </w:r>
    </w:p>
    <w:sectPr w:rsidR="00E6790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88E986A-5E9B-6248-8086-936F153F8B52}"/>
    <w:embedBold r:id="rId2" w:fontKey="{EE89EFD1-2582-6A48-8E1A-66F20FB58293}"/>
    <w:embedItalic r:id="rId3" w:fontKey="{B84FC3B8-5109-E24C-8425-DF1D6C5A5A3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124D010-A2DF-4B4C-AFF9-44002736E36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2D953F60-B3C4-CC43-94BD-E1922397F4BF}"/>
  </w:font>
  <w:font w:name="Cambria">
    <w:panose1 w:val="02040503050406030204"/>
    <w:charset w:val="00"/>
    <w:family w:val="roman"/>
    <w:notTrueType/>
    <w:pitch w:val="default"/>
    <w:embedRegular r:id="rId6" w:fontKey="{0C0890A2-889B-4249-A704-D73065BA4C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A34E3E"/>
    <w:multiLevelType w:val="multilevel"/>
    <w:tmpl w:val="E7E4C7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◦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◦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14A73F0"/>
    <w:multiLevelType w:val="multilevel"/>
    <w:tmpl w:val="79B0F91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361705689">
    <w:abstractNumId w:val="1"/>
  </w:num>
  <w:num w:numId="2" w16cid:durableId="6882196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90D"/>
    <w:rsid w:val="006356E8"/>
    <w:rsid w:val="00C27CF4"/>
    <w:rsid w:val="00E6790D"/>
    <w:rsid w:val="00F7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B4277E"/>
  <w15:docId w15:val="{DEA14275-A3D9-FB4C-8D66-750C3948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2vbHWh/gMuU5vKgwSWBdwVKmvw==">CgMxLjA4AHIhMWNVVFk2ZlR4ZlFlZ3BTeXhJbTRGTVQ0SUoyRjdkcmxs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3778</Characters>
  <Application>Microsoft Office Word</Application>
  <DocSecurity>0</DocSecurity>
  <Lines>111</Lines>
  <Paragraphs>51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Goto</cp:lastModifiedBy>
  <cp:revision>2</cp:revision>
  <dcterms:created xsi:type="dcterms:W3CDTF">2026-08-17T17:23:00Z</dcterms:created>
  <dcterms:modified xsi:type="dcterms:W3CDTF">2026-08-17T17:23:00Z</dcterms:modified>
</cp:coreProperties>
</file>