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center"/>
        <w:outlineLvl w:val="0"/>
        <w:rPr>
          <w:rFonts w:ascii="Times New Roman" w:hAnsi="Times New Roman" w:cs="Times New Roman"/>
          <w:b/>
          <w:b/>
          <w:bCs/>
          <w:color w:val="FF00FF"/>
          <w:sz w:val="28"/>
          <w:szCs w:val="28"/>
        </w:rPr>
      </w:pPr>
      <w:r>
        <w:rPr>
          <w:rFonts w:cs="Times New Roman" w:ascii="Times New Roman" w:hAnsi="Times New Roman"/>
          <w:b/>
          <w:color w:val="FF00FF"/>
          <w:sz w:val="28"/>
          <w:szCs w:val="28"/>
        </w:rPr>
        <w:t>Перечень мер социальной поддержки для специалистов села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0" w:name="sub_2004"/>
      <w:bookmarkEnd w:id="0"/>
      <w:r>
        <w:rPr>
          <w:rFonts w:cs="Times New Roman" w:ascii="Times New Roman" w:hAnsi="Times New Roman"/>
          <w:sz w:val="28"/>
          <w:szCs w:val="28"/>
        </w:rPr>
        <w:t>Для педагогических работников и пенсионеров из их числа выплачивается ежемесячная денежная компенсация   за оплату  жилого помещения, отопления и освещения. Размер компенсации расходов на освещение жилого помещения осуществляется исходя из стоимости 1 кВт электрической энергии, установленной уполномоченным исполнительным органом государственной власти Республики Алтай в сфере государственного регулирования цен (тарифов), и показаний приборов учета электрической энергии, потребляемой для освещения жилого помещения. При отсутствии приборов учета объем электрической энергии, потребляемой для освещения жилого помещения, определяется расчетным путем в порядке, установленном законодательством Российской Федерации, и составляет 1,77 кВт/час в месяц на 1 кв. м общей площади занимаемого жилого помещения, но не более 100 процентов от фактического потребления на домовладение.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Размер компенсации расходов на приобретение и доставку твердого топлива либо газа (на отопление) рассчитывается исходя из цен на твердое топливо либо газа, установленных уполномоченным исполнительным органом государственной власти Республики Алтай в сфере государственного регулирования цен (тарифов), и нормативов потребления твердого топлива либо газа.  </w:t>
      </w:r>
    </w:p>
    <w:p>
      <w:pPr>
        <w:pStyle w:val="Heading1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Нормативы</w:t>
        <w:br/>
        <w:t>потребления твердого топлива, газа для педагогических работников</w:t>
      </w:r>
    </w:p>
    <w:tbl>
      <w:tblPr>
        <w:tblW w:w="99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530"/>
        <w:gridCol w:w="2661"/>
        <w:gridCol w:w="2150"/>
      </w:tblGrid>
      <w:tr>
        <w:trPr/>
        <w:tc>
          <w:tcPr>
            <w:tcW w:w="2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Наименование муниципального образования</w:t>
            </w:r>
          </w:p>
        </w:tc>
        <w:tc>
          <w:tcPr>
            <w:tcW w:w="7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Жилые дома индивидуального жилищного фонда</w:t>
            </w:r>
          </w:p>
        </w:tc>
      </w:tr>
      <w:tr>
        <w:trPr/>
        <w:tc>
          <w:tcPr>
            <w:tcW w:w="2559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snapToGrid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Норматив потребления твердого топлива на 1 кв. метр общей площади жилого дома при отоплении дровами (м. куб)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Норматив потребления твердого топлива на 1 кв.метр площади жилого дома при отоплении дровами и углем (м. куб. и т.)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Норматив потребления природного газа на отопление жилого дома м. куб на м. кв.</w:t>
            </w:r>
          </w:p>
        </w:tc>
      </w:tr>
      <w:tr>
        <w:trPr/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Майминский район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0,296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0,074 и 0, 066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7</w:t>
            </w:r>
          </w:p>
        </w:tc>
      </w:tr>
    </w:tbl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1" w:name="sub_2004"/>
      <w:bookmarkStart w:id="2" w:name="sub_1003"/>
      <w:bookmarkStart w:id="3" w:name="sub_2004"/>
      <w:bookmarkStart w:id="4" w:name="sub_1003"/>
      <w:bookmarkEnd w:id="3"/>
      <w:bookmarkEnd w:id="4"/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специалистов сельской местности и пенсионеров из их числа (работники здравоохранения, культуры, социальной защиты, ветеринарии) установлена ежемесячная либо ежегодная денежная компенсация: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Гражданам, проживающим в домах с центральным отоплением, устанавливается ежемесячная денежная выплата в размере </w:t>
      </w:r>
      <w:r>
        <w:rPr>
          <w:rFonts w:cs="Times New Roman" w:ascii="Times New Roman" w:hAnsi="Times New Roman"/>
          <w:color w:val="FF0000"/>
          <w:sz w:val="28"/>
          <w:szCs w:val="28"/>
        </w:rPr>
        <w:t>1248  рублей.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5" w:name="sub_1003"/>
      <w:bookmarkEnd w:id="5"/>
      <w:r>
        <w:rPr>
          <w:rFonts w:cs="Times New Roman" w:ascii="Times New Roman" w:hAnsi="Times New Roman"/>
          <w:sz w:val="28"/>
          <w:szCs w:val="28"/>
        </w:rPr>
        <w:t xml:space="preserve">Гражданам, проживающим в домах с отоплением от газовых приборов, устанавливается ежемесячная денежная выплата в размере </w:t>
      </w:r>
      <w:r>
        <w:rPr>
          <w:rFonts w:cs="Times New Roman" w:ascii="Times New Roman" w:hAnsi="Times New Roman"/>
          <w:color w:val="FF0000"/>
          <w:sz w:val="28"/>
          <w:szCs w:val="28"/>
        </w:rPr>
        <w:t>644,8 рубля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Гражданам, проживающим в домах с печным отоплением, устанавливается ежемесячная денежная выплата в размере </w:t>
      </w:r>
      <w:r>
        <w:rPr>
          <w:rFonts w:cs="Times New Roman" w:ascii="Times New Roman" w:hAnsi="Times New Roman"/>
          <w:color w:val="FF0000"/>
          <w:sz w:val="28"/>
          <w:szCs w:val="28"/>
        </w:rPr>
        <w:t>644,8 рубля,</w:t>
      </w:r>
      <w:r>
        <w:rPr>
          <w:rFonts w:cs="Times New Roman" w:ascii="Times New Roman" w:hAnsi="Times New Roman"/>
          <w:sz w:val="28"/>
          <w:szCs w:val="28"/>
        </w:rPr>
        <w:t xml:space="preserve"> либо (по выбору гражданина) ежегодная денежная выплата в размере </w:t>
      </w:r>
      <w:r>
        <w:rPr>
          <w:rFonts w:cs="Times New Roman" w:ascii="Times New Roman" w:hAnsi="Times New Roman"/>
          <w:color w:val="FF0000"/>
          <w:sz w:val="28"/>
          <w:szCs w:val="28"/>
        </w:rPr>
        <w:t>7737,6 рублей</w:t>
      </w:r>
      <w:bookmarkStart w:id="6" w:name="sub_1004"/>
      <w:r>
        <w:rPr>
          <w:rFonts w:cs="Times New Roman" w:ascii="Times New Roman" w:hAnsi="Times New Roman"/>
          <w:color w:val="FF0000"/>
          <w:sz w:val="28"/>
          <w:szCs w:val="28"/>
        </w:rPr>
        <w:t>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sub_1006"/>
      <w:bookmarkEnd w:id="6"/>
      <w:r>
        <w:rPr>
          <w:rFonts w:cs="Times New Roman" w:ascii="Times New Roman" w:hAnsi="Times New Roman"/>
          <w:sz w:val="28"/>
          <w:szCs w:val="28"/>
        </w:rPr>
        <w:t xml:space="preserve"> </w:t>
      </w:r>
      <w:bookmarkEnd w:id="7"/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2022-06-06T06:45:00Z</dcterms:modified>
  <cp:revision>56</cp:revision>
  <dc:subject/>
  <dc:title/>
</cp:coreProperties>
</file>