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FF00FF"/>
          <w:sz w:val="32"/>
          <w:szCs w:val="32"/>
        </w:rPr>
      </w:pPr>
      <w:r>
        <w:rPr>
          <w:rFonts w:cs="Times New Roman" w:ascii="Times New Roman" w:hAnsi="Times New Roman"/>
          <w:b/>
          <w:color w:val="FF00FF"/>
          <w:sz w:val="32"/>
          <w:szCs w:val="32"/>
        </w:rPr>
        <w:t>Перечень мер социальной поддержки для реабилитированных граждан и  пострадавших от политических репрессий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FF00FF"/>
          <w:sz w:val="32"/>
          <w:szCs w:val="32"/>
        </w:rPr>
      </w:pPr>
      <w:r>
        <w:rPr>
          <w:rFonts w:cs="Times New Roman" w:ascii="Times New Roman" w:hAnsi="Times New Roman"/>
          <w:b/>
          <w:color w:val="FF00FF"/>
          <w:sz w:val="32"/>
          <w:szCs w:val="32"/>
        </w:rPr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/>
      </w:pPr>
      <w:r>
        <w:rPr>
          <w:rFonts w:cs="Times New Roman" w:ascii="Times New Roman" w:hAnsi="Times New Roman"/>
          <w:color w:val="444444"/>
          <w:sz w:val="28"/>
          <w:szCs w:val="28"/>
        </w:rPr>
        <w:t>Реабилитированным лицам предоставляются следующие меры социальной поддержки: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/>
      </w:pPr>
      <w:r>
        <w:rPr>
          <w:rFonts w:cs="Times New Roman" w:ascii="Times New Roman" w:hAnsi="Times New Roman"/>
          <w:color w:val="444444"/>
          <w:sz w:val="28"/>
          <w:szCs w:val="28"/>
        </w:rPr>
        <w:t>1) внеочередное оказание медицинской помощи в рамках программы государственных гарантий бесплатного оказания гражданам медицинской помощи в медицинских организациях государственной системы здравоохранения, подведомственных исполнительным органам государственной власти Республики Алтай, в порядке, установленном Правительством Республики Алтай;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/>
      </w:pPr>
      <w:r>
        <w:rPr>
          <w:rFonts w:cs="Times New Roman" w:ascii="Times New Roman" w:hAnsi="Times New Roman"/>
          <w:color w:val="444444"/>
          <w:sz w:val="28"/>
          <w:szCs w:val="28"/>
        </w:rPr>
        <w:t>2) снижение (для реабилитированных лиц и совместно с ними проживающих членов их семей) размера оплаты жилой площади на 50 процентов в пределах социальной нормы площади жилья, установленной Правительством Республики Алтай. Меры социальной поддержки по оплате жилья предоставляются лицам, проживающим в жилых помещениях независимо от формы собственности;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/>
      </w:pPr>
      <w:r>
        <w:rPr>
          <w:rFonts w:cs="Times New Roman" w:ascii="Times New Roman" w:hAnsi="Times New Roman"/>
          <w:color w:val="444444"/>
          <w:sz w:val="28"/>
          <w:szCs w:val="28"/>
        </w:rPr>
        <w:t>3) снижение (для реабилитированных лиц и совместно с ними проживающих членов их семей) размера оплаты коммунальных услуг (горячее и холодное водоснабжение, водоотведение, электроснабжение, газоснабжение (в том числе поставки бытового газа в баллонах), теплоснабжение) на 50 процентов в пределах нормативов потребления указанных услуг, установленных Правительством Республики Алтай, гражданам, проживающим в домах, не имеющих центрального отопления, - твердого топлива либо газа (по выбору), приобретаемого в пределах норм и нормативов потребления, установленных Правительством Республики Алтай, и транспортных услуг для доставки твердого топлива. Льготы по оплате указанных услуг предоставляются независимо от вида жилищного фонда;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/>
      </w:pPr>
      <w:r>
        <w:rPr>
          <w:rFonts w:cs="Times New Roman" w:ascii="Times New Roman" w:hAnsi="Times New Roman"/>
          <w:color w:val="444444"/>
          <w:sz w:val="28"/>
          <w:szCs w:val="28"/>
        </w:rPr>
        <w:t>4) первоочередная установка телефона;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/>
      </w:pPr>
      <w:r>
        <w:rPr>
          <w:rFonts w:cs="Times New Roman" w:ascii="Times New Roman" w:hAnsi="Times New Roman"/>
          <w:color w:val="444444"/>
          <w:sz w:val="28"/>
          <w:szCs w:val="28"/>
        </w:rPr>
        <w:t>5) бесплатная установка телефона;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/>
      </w:pPr>
      <w:r>
        <w:rPr>
          <w:rFonts w:cs="Times New Roman" w:ascii="Times New Roman" w:hAnsi="Times New Roman"/>
          <w:color w:val="444444"/>
          <w:sz w:val="28"/>
          <w:szCs w:val="28"/>
        </w:rPr>
        <w:t>6) внеочередной прием в организации социального обслуживания, находящиеся в ведении Республики Алтай, предоставляющие социальные услуги в стационарной форме, в полустационарной форме, внеочередное обслуживание организациями социального обслуживания, находящимися в ведении Республики Алтай и предоставляющими социальные услуги в форме социального обслуживания на дому;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/>
      </w:pPr>
      <w:r>
        <w:rPr>
          <w:rFonts w:cs="Times New Roman" w:ascii="Times New Roman" w:hAnsi="Times New Roman"/>
          <w:color w:val="444444"/>
          <w:sz w:val="28"/>
          <w:szCs w:val="28"/>
        </w:rPr>
        <w:t>7) бесплатное изготовление и ремонт зубных протезов (кроме расходов на оплату стоимости протезов из драгоценных металлов, металлокерамики и искусственных имплантатов) в медицинских организациях государственной системы здравоохранения, подведомственных исполнительным органам государственной власти Республики Алтай, или в иных медицинских организациях,  либо (по выбору гражданина) компенсация расходов на изготовление и ремонт зубных протезов, а также льготное обеспечение другими протезно-ортопедическими изделиями в порядке и размерах, установленных Правительством Республики Алтай;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/>
      </w:pPr>
      <w:r>
        <w:rPr>
          <w:rFonts w:cs="Times New Roman" w:ascii="Times New Roman" w:hAnsi="Times New Roman"/>
          <w:color w:val="444444"/>
          <w:sz w:val="28"/>
          <w:szCs w:val="28"/>
        </w:rPr>
        <w:t>8) бесплатный проезд (туда и обратно) в пределах Российской Федерации один раз в год железнодорожным транспортом, а в районах, не имеющих железнодорожного сообщения, - водным, воздушным или междугородным автомобильным транспортом со скидкой 50 процентов от стоимости проезда;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/>
      </w:pPr>
      <w:r>
        <w:rPr>
          <w:rFonts w:cs="Times New Roman" w:ascii="Times New Roman" w:hAnsi="Times New Roman"/>
          <w:color w:val="444444"/>
          <w:sz w:val="28"/>
          <w:szCs w:val="28"/>
        </w:rPr>
        <w:t>9) первоочередное получение путевок для санаторно-курортного лечения и отдыха;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cs="Times New Roman" w:ascii="Times New Roman" w:hAnsi="Times New Roman"/>
          <w:color w:val="444444"/>
          <w:sz w:val="28"/>
          <w:szCs w:val="28"/>
        </w:rPr>
        <w:t>10) первоочередное вступление в садоводческие товарищества и жилищно-строительные кооперативы;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cs="Times New Roman" w:ascii="Times New Roman" w:hAnsi="Times New Roman"/>
          <w:color w:val="444444"/>
          <w:sz w:val="28"/>
          <w:szCs w:val="28"/>
        </w:rPr>
        <w:t>11) ежемесячная денежная выплата.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cs="Times New Roman" w:ascii="Times New Roman" w:hAnsi="Times New Roman"/>
          <w:color w:val="444444"/>
          <w:sz w:val="28"/>
          <w:szCs w:val="28"/>
        </w:rPr>
        <w:t>Лицам, признанным пострадавшими от политических репрессий, предоставляются  меры социальной поддержки,  предусмотренные  пунктами   1-4, 6, 9, 10.</w:t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/>
      </w:pPr>
      <w:r>
        <w:rPr>
          <w:rFonts w:cs="Times New Roman" w:ascii="Times New Roman" w:hAnsi="Times New Roman"/>
          <w:color w:val="444444"/>
          <w:sz w:val="28"/>
          <w:szCs w:val="28"/>
        </w:rPr>
        <w:t>В случае смерти реабилитированных лиц  их погребение осуществляется за счет средств бюджета Республики Алтай. Порядок возмещения затрат, связанных с погребением, определяется Правительством Республики Алтай.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cs="Times New Roman" w:ascii="Times New Roman" w:hAnsi="Times New Roman"/>
          <w:color w:val="444444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ind w:firstLine="480"/>
        <w:jc w:val="both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cs="Times New Roman" w:ascii="Times New Roman" w:hAnsi="Times New Roman"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108" w:after="108"/>
        <w:jc w:val="both"/>
        <w:outlineLvl w:val="0"/>
        <w:rPr>
          <w:rFonts w:ascii="Times New Roman" w:hAnsi="Times New Roman" w:cs="Times New Roman"/>
          <w:b/>
          <w:b/>
          <w:bCs/>
          <w:color w:val="26282F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6282F"/>
          <w:sz w:val="28"/>
          <w:szCs w:val="28"/>
        </w:rPr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108" w:after="108"/>
        <w:jc w:val="right"/>
        <w:outlineLvl w:val="0"/>
        <w:rPr>
          <w:rFonts w:ascii="Arial" w:hAnsi="Arial" w:cs="Arial"/>
          <w:b/>
          <w:b/>
          <w:bCs/>
          <w:color w:val="26282F"/>
          <w:sz w:val="24"/>
          <w:szCs w:val="24"/>
        </w:rPr>
      </w:pPr>
      <w:r>
        <w:rPr>
          <w:rFonts w:cs="Arial" w:ascii="Arial" w:hAnsi="Arial"/>
          <w:b/>
          <w:bCs/>
          <w:color w:val="26282F"/>
          <w:sz w:val="24"/>
          <w:szCs w:val="24"/>
        </w:rPr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108" w:after="108"/>
        <w:jc w:val="right"/>
        <w:outlineLvl w:val="0"/>
        <w:rPr>
          <w:rFonts w:ascii="Arial" w:hAnsi="Arial" w:cs="Arial"/>
          <w:b/>
          <w:b/>
          <w:bCs/>
          <w:color w:val="26282F"/>
          <w:sz w:val="24"/>
          <w:szCs w:val="24"/>
        </w:rPr>
      </w:pPr>
      <w:r>
        <w:rPr>
          <w:rFonts w:cs="Arial" w:ascii="Arial" w:hAnsi="Arial"/>
          <w:b/>
          <w:bCs/>
          <w:color w:val="26282F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Cambria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Style11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2">
    <w:name w:val="Гипертекстовая ссылка"/>
    <w:qFormat/>
    <w:rPr>
      <w:color w:val="106BBE"/>
    </w:rPr>
  </w:style>
  <w:style w:type="character" w:styleId="Style13">
    <w:name w:val="Основной текст с отступом Знак"/>
    <w:qFormat/>
    <w:rPr>
      <w:sz w:val="28"/>
      <w:lang w:val="en-US" w:bidi="ar-SA"/>
    </w:rPr>
  </w:style>
  <w:style w:type="character" w:styleId="2">
    <w:name w:val="Основной текст с отступом 2 Знак"/>
    <w:qFormat/>
    <w:rPr>
      <w:sz w:val="28"/>
      <w:lang w:val="ru-RU" w:bidi="ar-SA"/>
    </w:rPr>
  </w:style>
  <w:style w:type="character" w:styleId="21">
    <w:name w:val="Заголовок 2 Знак"/>
    <w:qFormat/>
    <w:rPr>
      <w:rFonts w:ascii="Cambria" w:hAnsi="Cambria" w:cs="Cambria"/>
      <w:b/>
      <w:bCs/>
      <w:i/>
      <w:iCs/>
      <w:sz w:val="28"/>
      <w:szCs w:val="28"/>
      <w:lang w:val="ru-RU" w:bidi="ar-SA"/>
    </w:rPr>
  </w:style>
  <w:style w:type="character" w:styleId="Style14">
    <w:name w:val="Верхний колонтитул Знак"/>
    <w:qFormat/>
    <w:rPr>
      <w:sz w:val="22"/>
      <w:szCs w:val="22"/>
    </w:rPr>
  </w:style>
  <w:style w:type="character" w:styleId="Style15">
    <w:name w:val="Нижний колонтитул Знак"/>
    <w:qFormat/>
    <w:rPr>
      <w:sz w:val="22"/>
      <w:szCs w:val="22"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TextBodyIndent">
    <w:name w:val="Body Text Indent"/>
    <w:basedOn w:val="Normal"/>
    <w:pPr>
      <w:spacing w:lineRule="auto" w:line="240" w:before="0" w:after="120"/>
      <w:ind w:left="283" w:hanging="0"/>
    </w:pPr>
    <w:rPr>
      <w:sz w:val="28"/>
      <w:szCs w:val="20"/>
      <w:lang w:val="en-US"/>
    </w:rPr>
  </w:style>
  <w:style w:type="paragraph" w:styleId="22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rFonts w:ascii="Times New Roman" w:hAnsi="Times New Roman" w:cs="Times New Roman"/>
      <w:sz w:val="28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dcterms:modified xsi:type="dcterms:W3CDTF">2022-06-06T04:41:00Z</dcterms:modified>
  <cp:revision>45</cp:revision>
  <dc:subject/>
  <dc:title/>
</cp:coreProperties>
</file>