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A977" w14:textId="77777777" w:rsidR="008B20C3" w:rsidRPr="00222025" w:rsidRDefault="00000000" w:rsidP="00222025">
      <w:pPr>
        <w:pStyle w:val="IntenseQuote"/>
        <w:rPr>
          <w:rStyle w:val="IntenseReference"/>
          <w:i w:val="0"/>
          <w:iCs w:val="0"/>
          <w:sz w:val="44"/>
          <w:szCs w:val="44"/>
        </w:rPr>
      </w:pPr>
      <w:r w:rsidRPr="00222025">
        <w:rPr>
          <w:rStyle w:val="IntenseReference"/>
          <w:i w:val="0"/>
          <w:iCs w:val="0"/>
          <w:sz w:val="44"/>
          <w:szCs w:val="44"/>
        </w:rPr>
        <w:t>PROJECT PLANNING &amp; STRATEGY REPORT</w:t>
      </w:r>
    </w:p>
    <w:p w14:paraId="2AA5EC0F" w14:textId="77777777" w:rsidR="008B20C3" w:rsidRPr="00222025" w:rsidRDefault="00000000" w:rsidP="00222025">
      <w:pPr>
        <w:pStyle w:val="IntenseQuote"/>
        <w:rPr>
          <w:rStyle w:val="IntenseReference"/>
          <w:i w:val="0"/>
          <w:iCs w:val="0"/>
          <w:sz w:val="44"/>
          <w:szCs w:val="44"/>
        </w:rPr>
      </w:pPr>
      <w:r w:rsidRPr="00222025">
        <w:rPr>
          <w:rStyle w:val="IntenseReference"/>
          <w:i w:val="0"/>
          <w:iCs w:val="0"/>
          <w:sz w:val="44"/>
          <w:szCs w:val="44"/>
        </w:rPr>
        <w:t>Proactive Customer Retention via an End-to-End</w:t>
      </w:r>
    </w:p>
    <w:p w14:paraId="3A5DCD46" w14:textId="77777777" w:rsidR="008B20C3" w:rsidRPr="00222025" w:rsidRDefault="00000000" w:rsidP="00222025">
      <w:pPr>
        <w:pStyle w:val="IntenseQuote"/>
        <w:rPr>
          <w:rStyle w:val="IntenseReference"/>
          <w:i w:val="0"/>
          <w:iCs w:val="0"/>
          <w:sz w:val="44"/>
          <w:szCs w:val="44"/>
        </w:rPr>
      </w:pPr>
      <w:r w:rsidRPr="00222025">
        <w:rPr>
          <w:rStyle w:val="IntenseReference"/>
          <w:i w:val="0"/>
          <w:iCs w:val="0"/>
          <w:sz w:val="44"/>
          <w:szCs w:val="44"/>
        </w:rPr>
        <w:t>Machine Learning Churn Prediction Pipeline</w:t>
      </w:r>
    </w:p>
    <w:p w14:paraId="3B98B765" w14:textId="77777777" w:rsidR="008B20C3" w:rsidRPr="00222025" w:rsidRDefault="00000000" w:rsidP="00222025">
      <w:pPr>
        <w:pStyle w:val="IntenseQuote"/>
        <w:rPr>
          <w:rStyle w:val="IntenseReference"/>
          <w:i w:val="0"/>
          <w:iCs w:val="0"/>
          <w:sz w:val="44"/>
          <w:szCs w:val="44"/>
        </w:rPr>
      </w:pPr>
      <w:r w:rsidRPr="00222025">
        <w:rPr>
          <w:rStyle w:val="IntenseReference"/>
          <w:i w:val="0"/>
          <w:iCs w:val="0"/>
          <w:sz w:val="44"/>
          <w:szCs w:val="44"/>
        </w:rPr>
        <w:t>A Strategic Roadmap for Telecommunications Churn Risk Mitigation</w:t>
      </w:r>
    </w:p>
    <w:p w14:paraId="1CEFFEE0" w14:textId="77777777" w:rsidR="00222025" w:rsidRPr="00222025" w:rsidRDefault="00222025">
      <w:pPr>
        <w:spacing w:before="400"/>
        <w:jc w:val="center"/>
        <w:rPr>
          <w:rStyle w:val="IntenseReference"/>
          <w:sz w:val="36"/>
          <w:szCs w:val="36"/>
        </w:rPr>
      </w:pPr>
    </w:p>
    <w:p w14:paraId="6CC063AC" w14:textId="77777777" w:rsidR="008B20C3" w:rsidRPr="00222025" w:rsidRDefault="00000000" w:rsidP="00222025">
      <w:pPr>
        <w:pStyle w:val="Heading2"/>
        <w:jc w:val="center"/>
        <w:rPr>
          <w:rStyle w:val="IntenseReference"/>
          <w:sz w:val="40"/>
          <w:szCs w:val="40"/>
        </w:rPr>
      </w:pPr>
      <w:r w:rsidRPr="00222025">
        <w:rPr>
          <w:rStyle w:val="IntenseReference"/>
          <w:sz w:val="40"/>
          <w:szCs w:val="40"/>
        </w:rPr>
        <w:t>Week 1 Deliverable — Project Planning and Strategy for ML Pipeline</w:t>
      </w:r>
    </w:p>
    <w:p w14:paraId="2BBCB05A" w14:textId="77777777" w:rsidR="008B20C3" w:rsidRPr="00AA1346" w:rsidRDefault="00000000">
      <w:pPr>
        <w:pBdr>
          <w:top w:val="single" w:sz="6" w:space="10" w:color="CBD5E1"/>
        </w:pBdr>
        <w:spacing w:before="1400"/>
        <w:jc w:val="center"/>
        <w:rPr>
          <w:rStyle w:val="SubtleReference"/>
          <w:b/>
          <w:bCs/>
          <w:sz w:val="32"/>
          <w:szCs w:val="32"/>
        </w:rPr>
      </w:pPr>
      <w:r w:rsidRPr="00AA1346">
        <w:rPr>
          <w:rStyle w:val="SubtleReference"/>
          <w:b/>
          <w:bCs/>
          <w:sz w:val="32"/>
          <w:szCs w:val="32"/>
        </w:rPr>
        <w:t>Dataset: Telco Customer Churn (IBM Sample Dataset) — 7,043 records, 21 attributes</w:t>
      </w:r>
    </w:p>
    <w:p w14:paraId="00C631B5" w14:textId="77777777" w:rsidR="008B20C3" w:rsidRPr="00AA1346" w:rsidRDefault="00000000">
      <w:pPr>
        <w:spacing w:before="100"/>
        <w:jc w:val="center"/>
        <w:rPr>
          <w:rStyle w:val="SubtleReference"/>
          <w:b/>
          <w:bCs/>
          <w:sz w:val="32"/>
          <w:szCs w:val="32"/>
        </w:rPr>
      </w:pPr>
      <w:r w:rsidRPr="00AA1346">
        <w:rPr>
          <w:rStyle w:val="SubtleReference"/>
          <w:b/>
          <w:bCs/>
          <w:sz w:val="32"/>
          <w:szCs w:val="32"/>
        </w:rPr>
        <w:t>Regulatory frame of reference: Digital Personal Data Protection (DPDP) Act, 2023</w:t>
      </w:r>
    </w:p>
    <w:p w14:paraId="00DC5D21" w14:textId="77777777" w:rsidR="00222025" w:rsidRPr="00AA1346" w:rsidRDefault="00222025">
      <w:pPr>
        <w:spacing w:before="100"/>
        <w:jc w:val="center"/>
        <w:rPr>
          <w:rStyle w:val="SubtleReference"/>
          <w:b/>
          <w:bCs/>
          <w:sz w:val="32"/>
          <w:szCs w:val="32"/>
        </w:rPr>
      </w:pPr>
    </w:p>
    <w:p w14:paraId="4E6DAB65" w14:textId="04A0505F" w:rsidR="008B20C3" w:rsidRPr="00AA1346" w:rsidRDefault="00000000">
      <w:pPr>
        <w:spacing w:before="100"/>
        <w:jc w:val="center"/>
        <w:rPr>
          <w:rStyle w:val="SubtleReference"/>
          <w:b/>
          <w:bCs/>
          <w:sz w:val="32"/>
          <w:szCs w:val="32"/>
        </w:rPr>
      </w:pPr>
      <w:r w:rsidRPr="00AA1346">
        <w:rPr>
          <w:rStyle w:val="SubtleReference"/>
          <w:b/>
          <w:bCs/>
          <w:sz w:val="32"/>
          <w:szCs w:val="32"/>
        </w:rPr>
        <w:t xml:space="preserve">Prepared by: </w:t>
      </w:r>
      <w:r w:rsidR="00222025" w:rsidRPr="00AA1346">
        <w:rPr>
          <w:rStyle w:val="SubtleReference"/>
          <w:b/>
          <w:bCs/>
          <w:sz w:val="32"/>
          <w:szCs w:val="32"/>
        </w:rPr>
        <w:t>Indranil Chongdar</w:t>
      </w:r>
    </w:p>
    <w:p w14:paraId="605515D6" w14:textId="77777777" w:rsidR="008B20C3" w:rsidRDefault="008B20C3">
      <w:pPr>
        <w:sectPr w:rsidR="008B20C3">
          <w:pgSz w:w="12240" w:h="15840"/>
          <w:pgMar w:top="1440" w:right="1440" w:bottom="1440" w:left="1440" w:header="708" w:footer="708" w:gutter="0"/>
          <w:cols w:space="720"/>
          <w:docGrid w:linePitch="360"/>
        </w:sectPr>
      </w:pPr>
    </w:p>
    <w:p w14:paraId="3B33975F" w14:textId="77777777" w:rsidR="008B20C3" w:rsidRPr="00222025" w:rsidRDefault="00000000">
      <w:pPr>
        <w:pStyle w:val="Heading1"/>
        <w:pBdr>
          <w:bottom w:val="single" w:sz="12" w:space="4" w:color="0891B2"/>
        </w:pBdr>
        <w:spacing w:before="360" w:after="200"/>
        <w:rPr>
          <w:rStyle w:val="IntenseReference"/>
        </w:rPr>
      </w:pPr>
      <w:bookmarkStart w:id="0" w:name="_Toc237792680"/>
      <w:r w:rsidRPr="00222025">
        <w:rPr>
          <w:rStyle w:val="IntenseReference"/>
        </w:rPr>
        <w:lastRenderedPageBreak/>
        <w:t>Table of Contents</w:t>
      </w:r>
      <w:bookmarkEnd w:id="0"/>
    </w:p>
    <w:sdt>
      <w:sdtPr>
        <w:rPr>
          <w:rStyle w:val="IntenseReference"/>
        </w:rPr>
        <w:alias w:val="Table of Contents"/>
        <w:id w:val="2063903100"/>
      </w:sdtPr>
      <w:sdtContent>
        <w:p w14:paraId="4542EF2E" w14:textId="10A3AAC9" w:rsidR="00222025" w:rsidRPr="00222025" w:rsidRDefault="00000000">
          <w:pPr>
            <w:pStyle w:val="TOC1"/>
            <w:tabs>
              <w:tab w:val="right" w:leader="dot" w:pos="9350"/>
            </w:tabs>
            <w:rPr>
              <w:rStyle w:val="IntenseReference"/>
            </w:rPr>
          </w:pPr>
          <w:r w:rsidRPr="00222025">
            <w:rPr>
              <w:rStyle w:val="IntenseReference"/>
            </w:rPr>
            <w:fldChar w:fldCharType="begin"/>
          </w:r>
          <w:r w:rsidRPr="00222025">
            <w:rPr>
              <w:rStyle w:val="IntenseReference"/>
            </w:rPr>
            <w:instrText>TOC \h \o "1-3"</w:instrText>
          </w:r>
          <w:r w:rsidRPr="00222025">
            <w:rPr>
              <w:rStyle w:val="IntenseReference"/>
            </w:rPr>
            <w:fldChar w:fldCharType="separate"/>
          </w:r>
          <w:hyperlink w:anchor="_Toc237792680" w:history="1">
            <w:r w:rsidR="00222025" w:rsidRPr="00222025">
              <w:rPr>
                <w:rStyle w:val="IntenseReference"/>
              </w:rPr>
              <w:t>Table of Contents</w:t>
            </w:r>
            <w:r w:rsidR="00222025" w:rsidRPr="00222025">
              <w:rPr>
                <w:rStyle w:val="IntenseReference"/>
              </w:rPr>
              <w:tab/>
            </w:r>
            <w:r w:rsidR="00222025" w:rsidRPr="00222025">
              <w:rPr>
                <w:rStyle w:val="IntenseReference"/>
              </w:rPr>
              <w:fldChar w:fldCharType="begin"/>
            </w:r>
            <w:r w:rsidR="00222025" w:rsidRPr="00222025">
              <w:rPr>
                <w:rStyle w:val="IntenseReference"/>
              </w:rPr>
              <w:instrText xml:space="preserve"> PAGEREF _Toc237792680 \h </w:instrText>
            </w:r>
            <w:r w:rsidR="00222025" w:rsidRPr="00222025">
              <w:rPr>
                <w:rStyle w:val="IntenseReference"/>
              </w:rPr>
            </w:r>
            <w:r w:rsidR="00222025" w:rsidRPr="00222025">
              <w:rPr>
                <w:rStyle w:val="IntenseReference"/>
              </w:rPr>
              <w:fldChar w:fldCharType="separate"/>
            </w:r>
            <w:r w:rsidR="00222025" w:rsidRPr="00222025">
              <w:rPr>
                <w:rStyle w:val="IntenseReference"/>
              </w:rPr>
              <w:t>2</w:t>
            </w:r>
            <w:r w:rsidR="00222025" w:rsidRPr="00222025">
              <w:rPr>
                <w:rStyle w:val="IntenseReference"/>
              </w:rPr>
              <w:fldChar w:fldCharType="end"/>
            </w:r>
          </w:hyperlink>
        </w:p>
        <w:p w14:paraId="33DE7F1E" w14:textId="55A0A9FA" w:rsidR="00222025" w:rsidRPr="00222025" w:rsidRDefault="00222025">
          <w:pPr>
            <w:pStyle w:val="TOC1"/>
            <w:tabs>
              <w:tab w:val="right" w:leader="dot" w:pos="9350"/>
            </w:tabs>
            <w:rPr>
              <w:rStyle w:val="IntenseReference"/>
            </w:rPr>
          </w:pPr>
          <w:hyperlink w:anchor="_Toc237792681" w:history="1">
            <w:r w:rsidRPr="00222025">
              <w:rPr>
                <w:rStyle w:val="IntenseReference"/>
              </w:rPr>
              <w:t>1. Introduction</w:t>
            </w:r>
            <w:r w:rsidRPr="00222025">
              <w:rPr>
                <w:rStyle w:val="IntenseReference"/>
              </w:rPr>
              <w:tab/>
            </w:r>
            <w:r w:rsidRPr="00222025">
              <w:rPr>
                <w:rStyle w:val="IntenseReference"/>
              </w:rPr>
              <w:fldChar w:fldCharType="begin"/>
            </w:r>
            <w:r w:rsidRPr="00222025">
              <w:rPr>
                <w:rStyle w:val="IntenseReference"/>
              </w:rPr>
              <w:instrText xml:space="preserve"> PAGEREF _Toc237792681 \h </w:instrText>
            </w:r>
            <w:r w:rsidRPr="00222025">
              <w:rPr>
                <w:rStyle w:val="IntenseReference"/>
              </w:rPr>
            </w:r>
            <w:r w:rsidRPr="00222025">
              <w:rPr>
                <w:rStyle w:val="IntenseReference"/>
              </w:rPr>
              <w:fldChar w:fldCharType="separate"/>
            </w:r>
            <w:r w:rsidRPr="00222025">
              <w:rPr>
                <w:rStyle w:val="IntenseReference"/>
              </w:rPr>
              <w:t>3</w:t>
            </w:r>
            <w:r w:rsidRPr="00222025">
              <w:rPr>
                <w:rStyle w:val="IntenseReference"/>
              </w:rPr>
              <w:fldChar w:fldCharType="end"/>
            </w:r>
          </w:hyperlink>
        </w:p>
        <w:p w14:paraId="79BF7FB5" w14:textId="62FD68A7" w:rsidR="00222025" w:rsidRPr="00222025" w:rsidRDefault="00222025">
          <w:pPr>
            <w:pStyle w:val="TOC2"/>
            <w:tabs>
              <w:tab w:val="right" w:leader="dot" w:pos="9350"/>
            </w:tabs>
            <w:rPr>
              <w:rStyle w:val="IntenseReference"/>
            </w:rPr>
          </w:pPr>
          <w:hyperlink w:anchor="_Toc237792682" w:history="1">
            <w:r w:rsidRPr="00222025">
              <w:rPr>
                <w:rStyle w:val="IntenseReference"/>
              </w:rPr>
              <w:t>1.1 Scope of this document</w:t>
            </w:r>
            <w:r w:rsidRPr="00222025">
              <w:rPr>
                <w:rStyle w:val="IntenseReference"/>
              </w:rPr>
              <w:tab/>
            </w:r>
            <w:r w:rsidRPr="00222025">
              <w:rPr>
                <w:rStyle w:val="IntenseReference"/>
              </w:rPr>
              <w:fldChar w:fldCharType="begin"/>
            </w:r>
            <w:r w:rsidRPr="00222025">
              <w:rPr>
                <w:rStyle w:val="IntenseReference"/>
              </w:rPr>
              <w:instrText xml:space="preserve"> PAGEREF _Toc237792682 \h </w:instrText>
            </w:r>
            <w:r w:rsidRPr="00222025">
              <w:rPr>
                <w:rStyle w:val="IntenseReference"/>
              </w:rPr>
            </w:r>
            <w:r w:rsidRPr="00222025">
              <w:rPr>
                <w:rStyle w:val="IntenseReference"/>
              </w:rPr>
              <w:fldChar w:fldCharType="separate"/>
            </w:r>
            <w:r w:rsidRPr="00222025">
              <w:rPr>
                <w:rStyle w:val="IntenseReference"/>
              </w:rPr>
              <w:t>3</w:t>
            </w:r>
            <w:r w:rsidRPr="00222025">
              <w:rPr>
                <w:rStyle w:val="IntenseReference"/>
              </w:rPr>
              <w:fldChar w:fldCharType="end"/>
            </w:r>
          </w:hyperlink>
        </w:p>
        <w:p w14:paraId="42932C7A" w14:textId="7EAA8BD8" w:rsidR="00222025" w:rsidRPr="00222025" w:rsidRDefault="00222025">
          <w:pPr>
            <w:pStyle w:val="TOC1"/>
            <w:tabs>
              <w:tab w:val="right" w:leader="dot" w:pos="9350"/>
            </w:tabs>
            <w:rPr>
              <w:rStyle w:val="IntenseReference"/>
            </w:rPr>
          </w:pPr>
          <w:hyperlink w:anchor="_Toc237792683" w:history="1">
            <w:r w:rsidRPr="00222025">
              <w:rPr>
                <w:rStyle w:val="IntenseReference"/>
              </w:rPr>
              <w:t>2. Problem Statement</w:t>
            </w:r>
            <w:r w:rsidRPr="00222025">
              <w:rPr>
                <w:rStyle w:val="IntenseReference"/>
              </w:rPr>
              <w:tab/>
            </w:r>
            <w:r w:rsidRPr="00222025">
              <w:rPr>
                <w:rStyle w:val="IntenseReference"/>
              </w:rPr>
              <w:fldChar w:fldCharType="begin"/>
            </w:r>
            <w:r w:rsidRPr="00222025">
              <w:rPr>
                <w:rStyle w:val="IntenseReference"/>
              </w:rPr>
              <w:instrText xml:space="preserve"> PAGEREF _Toc237792683 \h </w:instrText>
            </w:r>
            <w:r w:rsidRPr="00222025">
              <w:rPr>
                <w:rStyle w:val="IntenseReference"/>
              </w:rPr>
            </w:r>
            <w:r w:rsidRPr="00222025">
              <w:rPr>
                <w:rStyle w:val="IntenseReference"/>
              </w:rPr>
              <w:fldChar w:fldCharType="separate"/>
            </w:r>
            <w:r w:rsidRPr="00222025">
              <w:rPr>
                <w:rStyle w:val="IntenseReference"/>
              </w:rPr>
              <w:t>3</w:t>
            </w:r>
            <w:r w:rsidRPr="00222025">
              <w:rPr>
                <w:rStyle w:val="IntenseReference"/>
              </w:rPr>
              <w:fldChar w:fldCharType="end"/>
            </w:r>
          </w:hyperlink>
        </w:p>
        <w:p w14:paraId="231E298D" w14:textId="450E0468" w:rsidR="00222025" w:rsidRPr="00222025" w:rsidRDefault="00222025">
          <w:pPr>
            <w:pStyle w:val="TOC2"/>
            <w:tabs>
              <w:tab w:val="right" w:leader="dot" w:pos="9350"/>
            </w:tabs>
            <w:rPr>
              <w:rStyle w:val="IntenseReference"/>
            </w:rPr>
          </w:pPr>
          <w:hyperlink w:anchor="_Toc237792684" w:history="1">
            <w:r w:rsidRPr="00222025">
              <w:rPr>
                <w:rStyle w:val="IntenseReference"/>
              </w:rPr>
              <w:t>2.1 The business problem</w:t>
            </w:r>
            <w:r w:rsidRPr="00222025">
              <w:rPr>
                <w:rStyle w:val="IntenseReference"/>
              </w:rPr>
              <w:tab/>
            </w:r>
            <w:r w:rsidRPr="00222025">
              <w:rPr>
                <w:rStyle w:val="IntenseReference"/>
              </w:rPr>
              <w:fldChar w:fldCharType="begin"/>
            </w:r>
            <w:r w:rsidRPr="00222025">
              <w:rPr>
                <w:rStyle w:val="IntenseReference"/>
              </w:rPr>
              <w:instrText xml:space="preserve"> PAGEREF _Toc237792684 \h </w:instrText>
            </w:r>
            <w:r w:rsidRPr="00222025">
              <w:rPr>
                <w:rStyle w:val="IntenseReference"/>
              </w:rPr>
            </w:r>
            <w:r w:rsidRPr="00222025">
              <w:rPr>
                <w:rStyle w:val="IntenseReference"/>
              </w:rPr>
              <w:fldChar w:fldCharType="separate"/>
            </w:r>
            <w:r w:rsidRPr="00222025">
              <w:rPr>
                <w:rStyle w:val="IntenseReference"/>
              </w:rPr>
              <w:t>3</w:t>
            </w:r>
            <w:r w:rsidRPr="00222025">
              <w:rPr>
                <w:rStyle w:val="IntenseReference"/>
              </w:rPr>
              <w:fldChar w:fldCharType="end"/>
            </w:r>
          </w:hyperlink>
        </w:p>
        <w:p w14:paraId="572CC8E8" w14:textId="3C270292" w:rsidR="00222025" w:rsidRPr="00222025" w:rsidRDefault="00222025">
          <w:pPr>
            <w:pStyle w:val="TOC3"/>
            <w:tabs>
              <w:tab w:val="right" w:leader="dot" w:pos="9350"/>
            </w:tabs>
            <w:rPr>
              <w:rStyle w:val="IntenseReference"/>
            </w:rPr>
          </w:pPr>
          <w:hyperlink w:anchor="_Toc237792685" w:history="1">
            <w:r w:rsidRPr="00222025">
              <w:rPr>
                <w:rStyle w:val="IntenseReference"/>
              </w:rPr>
              <w:t>2.1.1 Illustrative unit economics</w:t>
            </w:r>
            <w:r w:rsidRPr="00222025">
              <w:rPr>
                <w:rStyle w:val="IntenseReference"/>
              </w:rPr>
              <w:tab/>
            </w:r>
            <w:r w:rsidRPr="00222025">
              <w:rPr>
                <w:rStyle w:val="IntenseReference"/>
              </w:rPr>
              <w:fldChar w:fldCharType="begin"/>
            </w:r>
            <w:r w:rsidRPr="00222025">
              <w:rPr>
                <w:rStyle w:val="IntenseReference"/>
              </w:rPr>
              <w:instrText xml:space="preserve"> PAGEREF _Toc237792685 \h </w:instrText>
            </w:r>
            <w:r w:rsidRPr="00222025">
              <w:rPr>
                <w:rStyle w:val="IntenseReference"/>
              </w:rPr>
            </w:r>
            <w:r w:rsidRPr="00222025">
              <w:rPr>
                <w:rStyle w:val="IntenseReference"/>
              </w:rPr>
              <w:fldChar w:fldCharType="separate"/>
            </w:r>
            <w:r w:rsidRPr="00222025">
              <w:rPr>
                <w:rStyle w:val="IntenseReference"/>
              </w:rPr>
              <w:t>3</w:t>
            </w:r>
            <w:r w:rsidRPr="00222025">
              <w:rPr>
                <w:rStyle w:val="IntenseReference"/>
              </w:rPr>
              <w:fldChar w:fldCharType="end"/>
            </w:r>
          </w:hyperlink>
        </w:p>
        <w:p w14:paraId="6C245F72" w14:textId="20A88E43" w:rsidR="00222025" w:rsidRPr="00222025" w:rsidRDefault="00222025">
          <w:pPr>
            <w:pStyle w:val="TOC2"/>
            <w:tabs>
              <w:tab w:val="right" w:leader="dot" w:pos="9350"/>
            </w:tabs>
            <w:rPr>
              <w:rStyle w:val="IntenseReference"/>
            </w:rPr>
          </w:pPr>
          <w:hyperlink w:anchor="_Toc237792686" w:history="1">
            <w:r w:rsidRPr="00222025">
              <w:rPr>
                <w:rStyle w:val="IntenseReference"/>
              </w:rPr>
              <w:t>2.2 Inputs available</w:t>
            </w:r>
            <w:r w:rsidRPr="00222025">
              <w:rPr>
                <w:rStyle w:val="IntenseReference"/>
              </w:rPr>
              <w:tab/>
            </w:r>
            <w:r w:rsidRPr="00222025">
              <w:rPr>
                <w:rStyle w:val="IntenseReference"/>
              </w:rPr>
              <w:fldChar w:fldCharType="begin"/>
            </w:r>
            <w:r w:rsidRPr="00222025">
              <w:rPr>
                <w:rStyle w:val="IntenseReference"/>
              </w:rPr>
              <w:instrText xml:space="preserve"> PAGEREF _Toc237792686 \h </w:instrText>
            </w:r>
            <w:r w:rsidRPr="00222025">
              <w:rPr>
                <w:rStyle w:val="IntenseReference"/>
              </w:rPr>
            </w:r>
            <w:r w:rsidRPr="00222025">
              <w:rPr>
                <w:rStyle w:val="IntenseReference"/>
              </w:rPr>
              <w:fldChar w:fldCharType="separate"/>
            </w:r>
            <w:r w:rsidRPr="00222025">
              <w:rPr>
                <w:rStyle w:val="IntenseReference"/>
              </w:rPr>
              <w:t>4</w:t>
            </w:r>
            <w:r w:rsidRPr="00222025">
              <w:rPr>
                <w:rStyle w:val="IntenseReference"/>
              </w:rPr>
              <w:fldChar w:fldCharType="end"/>
            </w:r>
          </w:hyperlink>
        </w:p>
        <w:p w14:paraId="4A6E7939" w14:textId="5B3CB87E" w:rsidR="00222025" w:rsidRPr="00222025" w:rsidRDefault="00222025">
          <w:pPr>
            <w:pStyle w:val="TOC2"/>
            <w:tabs>
              <w:tab w:val="right" w:leader="dot" w:pos="9350"/>
            </w:tabs>
            <w:rPr>
              <w:rStyle w:val="IntenseReference"/>
            </w:rPr>
          </w:pPr>
          <w:hyperlink w:anchor="_Toc237792687" w:history="1">
            <w:r w:rsidRPr="00222025">
              <w:rPr>
                <w:rStyle w:val="IntenseReference"/>
              </w:rPr>
              <w:t>2.3 Key challenges</w:t>
            </w:r>
            <w:r w:rsidRPr="00222025">
              <w:rPr>
                <w:rStyle w:val="IntenseReference"/>
              </w:rPr>
              <w:tab/>
            </w:r>
            <w:r w:rsidRPr="00222025">
              <w:rPr>
                <w:rStyle w:val="IntenseReference"/>
              </w:rPr>
              <w:fldChar w:fldCharType="begin"/>
            </w:r>
            <w:r w:rsidRPr="00222025">
              <w:rPr>
                <w:rStyle w:val="IntenseReference"/>
              </w:rPr>
              <w:instrText xml:space="preserve"> PAGEREF _Toc237792687 \h </w:instrText>
            </w:r>
            <w:r w:rsidRPr="00222025">
              <w:rPr>
                <w:rStyle w:val="IntenseReference"/>
              </w:rPr>
            </w:r>
            <w:r w:rsidRPr="00222025">
              <w:rPr>
                <w:rStyle w:val="IntenseReference"/>
              </w:rPr>
              <w:fldChar w:fldCharType="separate"/>
            </w:r>
            <w:r w:rsidRPr="00222025">
              <w:rPr>
                <w:rStyle w:val="IntenseReference"/>
              </w:rPr>
              <w:t>4</w:t>
            </w:r>
            <w:r w:rsidRPr="00222025">
              <w:rPr>
                <w:rStyle w:val="IntenseReference"/>
              </w:rPr>
              <w:fldChar w:fldCharType="end"/>
            </w:r>
          </w:hyperlink>
        </w:p>
        <w:p w14:paraId="0B2D4D43" w14:textId="69ACC2CF" w:rsidR="00222025" w:rsidRPr="00222025" w:rsidRDefault="00222025">
          <w:pPr>
            <w:pStyle w:val="TOC2"/>
            <w:tabs>
              <w:tab w:val="right" w:leader="dot" w:pos="9350"/>
            </w:tabs>
            <w:rPr>
              <w:rStyle w:val="IntenseReference"/>
            </w:rPr>
          </w:pPr>
          <w:hyperlink w:anchor="_Toc237792688" w:history="1">
            <w:r w:rsidRPr="00222025">
              <w:rPr>
                <w:rStyle w:val="IntenseReference"/>
              </w:rPr>
              <w:t>2.4 Expected outcome</w:t>
            </w:r>
            <w:r w:rsidRPr="00222025">
              <w:rPr>
                <w:rStyle w:val="IntenseReference"/>
              </w:rPr>
              <w:tab/>
            </w:r>
            <w:r w:rsidRPr="00222025">
              <w:rPr>
                <w:rStyle w:val="IntenseReference"/>
              </w:rPr>
              <w:fldChar w:fldCharType="begin"/>
            </w:r>
            <w:r w:rsidRPr="00222025">
              <w:rPr>
                <w:rStyle w:val="IntenseReference"/>
              </w:rPr>
              <w:instrText xml:space="preserve"> PAGEREF _Toc237792688 \h </w:instrText>
            </w:r>
            <w:r w:rsidRPr="00222025">
              <w:rPr>
                <w:rStyle w:val="IntenseReference"/>
              </w:rPr>
            </w:r>
            <w:r w:rsidRPr="00222025">
              <w:rPr>
                <w:rStyle w:val="IntenseReference"/>
              </w:rPr>
              <w:fldChar w:fldCharType="separate"/>
            </w:r>
            <w:r w:rsidRPr="00222025">
              <w:rPr>
                <w:rStyle w:val="IntenseReference"/>
              </w:rPr>
              <w:t>4</w:t>
            </w:r>
            <w:r w:rsidRPr="00222025">
              <w:rPr>
                <w:rStyle w:val="IntenseReference"/>
              </w:rPr>
              <w:fldChar w:fldCharType="end"/>
            </w:r>
          </w:hyperlink>
        </w:p>
        <w:p w14:paraId="63F9B6BD" w14:textId="423840CD" w:rsidR="00222025" w:rsidRPr="00222025" w:rsidRDefault="00222025">
          <w:pPr>
            <w:pStyle w:val="TOC1"/>
            <w:tabs>
              <w:tab w:val="right" w:leader="dot" w:pos="9350"/>
            </w:tabs>
            <w:rPr>
              <w:rStyle w:val="IntenseReference"/>
            </w:rPr>
          </w:pPr>
          <w:hyperlink w:anchor="_Toc237792689" w:history="1">
            <w:r w:rsidRPr="00222025">
              <w:rPr>
                <w:rStyle w:val="IntenseReference"/>
              </w:rPr>
              <w:t>3. Objectives</w:t>
            </w:r>
            <w:r w:rsidRPr="00222025">
              <w:rPr>
                <w:rStyle w:val="IntenseReference"/>
              </w:rPr>
              <w:tab/>
            </w:r>
            <w:r w:rsidRPr="00222025">
              <w:rPr>
                <w:rStyle w:val="IntenseReference"/>
              </w:rPr>
              <w:fldChar w:fldCharType="begin"/>
            </w:r>
            <w:r w:rsidRPr="00222025">
              <w:rPr>
                <w:rStyle w:val="IntenseReference"/>
              </w:rPr>
              <w:instrText xml:space="preserve"> PAGEREF _Toc237792689 \h </w:instrText>
            </w:r>
            <w:r w:rsidRPr="00222025">
              <w:rPr>
                <w:rStyle w:val="IntenseReference"/>
              </w:rPr>
            </w:r>
            <w:r w:rsidRPr="00222025">
              <w:rPr>
                <w:rStyle w:val="IntenseReference"/>
              </w:rPr>
              <w:fldChar w:fldCharType="separate"/>
            </w:r>
            <w:r w:rsidRPr="00222025">
              <w:rPr>
                <w:rStyle w:val="IntenseReference"/>
              </w:rPr>
              <w:t>5</w:t>
            </w:r>
            <w:r w:rsidRPr="00222025">
              <w:rPr>
                <w:rStyle w:val="IntenseReference"/>
              </w:rPr>
              <w:fldChar w:fldCharType="end"/>
            </w:r>
          </w:hyperlink>
        </w:p>
        <w:p w14:paraId="7DE461B9" w14:textId="3611A399" w:rsidR="00222025" w:rsidRPr="00222025" w:rsidRDefault="00222025">
          <w:pPr>
            <w:pStyle w:val="TOC1"/>
            <w:tabs>
              <w:tab w:val="right" w:leader="dot" w:pos="9350"/>
            </w:tabs>
            <w:rPr>
              <w:rStyle w:val="IntenseReference"/>
            </w:rPr>
          </w:pPr>
          <w:hyperlink w:anchor="_Toc237792690" w:history="1">
            <w:r w:rsidRPr="00222025">
              <w:rPr>
                <w:rStyle w:val="IntenseReference"/>
              </w:rPr>
              <w:t>4. Research &amp; Ideation</w:t>
            </w:r>
            <w:r w:rsidRPr="00222025">
              <w:rPr>
                <w:rStyle w:val="IntenseReference"/>
              </w:rPr>
              <w:tab/>
            </w:r>
            <w:r w:rsidRPr="00222025">
              <w:rPr>
                <w:rStyle w:val="IntenseReference"/>
              </w:rPr>
              <w:fldChar w:fldCharType="begin"/>
            </w:r>
            <w:r w:rsidRPr="00222025">
              <w:rPr>
                <w:rStyle w:val="IntenseReference"/>
              </w:rPr>
              <w:instrText xml:space="preserve"> PAGEREF _Toc237792690 \h </w:instrText>
            </w:r>
            <w:r w:rsidRPr="00222025">
              <w:rPr>
                <w:rStyle w:val="IntenseReference"/>
              </w:rPr>
            </w:r>
            <w:r w:rsidRPr="00222025">
              <w:rPr>
                <w:rStyle w:val="IntenseReference"/>
              </w:rPr>
              <w:fldChar w:fldCharType="separate"/>
            </w:r>
            <w:r w:rsidRPr="00222025">
              <w:rPr>
                <w:rStyle w:val="IntenseReference"/>
              </w:rPr>
              <w:t>5</w:t>
            </w:r>
            <w:r w:rsidRPr="00222025">
              <w:rPr>
                <w:rStyle w:val="IntenseReference"/>
              </w:rPr>
              <w:fldChar w:fldCharType="end"/>
            </w:r>
          </w:hyperlink>
        </w:p>
        <w:p w14:paraId="3D85FA15" w14:textId="5CE79D22" w:rsidR="00222025" w:rsidRPr="00222025" w:rsidRDefault="00222025">
          <w:pPr>
            <w:pStyle w:val="TOC1"/>
            <w:tabs>
              <w:tab w:val="right" w:leader="dot" w:pos="9350"/>
            </w:tabs>
            <w:rPr>
              <w:rStyle w:val="IntenseReference"/>
            </w:rPr>
          </w:pPr>
          <w:hyperlink w:anchor="_Toc237792691" w:history="1">
            <w:r w:rsidRPr="00222025">
              <w:rPr>
                <w:rStyle w:val="IntenseReference"/>
              </w:rPr>
              <w:t>5. Data Exploration: Key Findings</w:t>
            </w:r>
            <w:r w:rsidRPr="00222025">
              <w:rPr>
                <w:rStyle w:val="IntenseReference"/>
              </w:rPr>
              <w:tab/>
            </w:r>
            <w:r w:rsidRPr="00222025">
              <w:rPr>
                <w:rStyle w:val="IntenseReference"/>
              </w:rPr>
              <w:fldChar w:fldCharType="begin"/>
            </w:r>
            <w:r w:rsidRPr="00222025">
              <w:rPr>
                <w:rStyle w:val="IntenseReference"/>
              </w:rPr>
              <w:instrText xml:space="preserve"> PAGEREF _Toc237792691 \h </w:instrText>
            </w:r>
            <w:r w:rsidRPr="00222025">
              <w:rPr>
                <w:rStyle w:val="IntenseReference"/>
              </w:rPr>
            </w:r>
            <w:r w:rsidRPr="00222025">
              <w:rPr>
                <w:rStyle w:val="IntenseReference"/>
              </w:rPr>
              <w:fldChar w:fldCharType="separate"/>
            </w:r>
            <w:r w:rsidRPr="00222025">
              <w:rPr>
                <w:rStyle w:val="IntenseReference"/>
              </w:rPr>
              <w:t>5</w:t>
            </w:r>
            <w:r w:rsidRPr="00222025">
              <w:rPr>
                <w:rStyle w:val="IntenseReference"/>
              </w:rPr>
              <w:fldChar w:fldCharType="end"/>
            </w:r>
          </w:hyperlink>
        </w:p>
        <w:p w14:paraId="57D7C57A" w14:textId="2EE6715C" w:rsidR="00222025" w:rsidRPr="00222025" w:rsidRDefault="00222025">
          <w:pPr>
            <w:pStyle w:val="TOC2"/>
            <w:tabs>
              <w:tab w:val="right" w:leader="dot" w:pos="9350"/>
            </w:tabs>
            <w:rPr>
              <w:rStyle w:val="IntenseReference"/>
            </w:rPr>
          </w:pPr>
          <w:hyperlink w:anchor="_Toc237792692" w:history="1">
            <w:r w:rsidRPr="00222025">
              <w:rPr>
                <w:rStyle w:val="IntenseReference"/>
              </w:rPr>
              <w:t>5.1 Class balance</w:t>
            </w:r>
            <w:r w:rsidRPr="00222025">
              <w:rPr>
                <w:rStyle w:val="IntenseReference"/>
              </w:rPr>
              <w:tab/>
            </w:r>
            <w:r w:rsidRPr="00222025">
              <w:rPr>
                <w:rStyle w:val="IntenseReference"/>
              </w:rPr>
              <w:fldChar w:fldCharType="begin"/>
            </w:r>
            <w:r w:rsidRPr="00222025">
              <w:rPr>
                <w:rStyle w:val="IntenseReference"/>
              </w:rPr>
              <w:instrText xml:space="preserve"> PAGEREF _Toc237792692 \h </w:instrText>
            </w:r>
            <w:r w:rsidRPr="00222025">
              <w:rPr>
                <w:rStyle w:val="IntenseReference"/>
              </w:rPr>
            </w:r>
            <w:r w:rsidRPr="00222025">
              <w:rPr>
                <w:rStyle w:val="IntenseReference"/>
              </w:rPr>
              <w:fldChar w:fldCharType="separate"/>
            </w:r>
            <w:r w:rsidRPr="00222025">
              <w:rPr>
                <w:rStyle w:val="IntenseReference"/>
              </w:rPr>
              <w:t>6</w:t>
            </w:r>
            <w:r w:rsidRPr="00222025">
              <w:rPr>
                <w:rStyle w:val="IntenseReference"/>
              </w:rPr>
              <w:fldChar w:fldCharType="end"/>
            </w:r>
          </w:hyperlink>
        </w:p>
        <w:p w14:paraId="0BBFCEF6" w14:textId="2BC7A6B6" w:rsidR="00222025" w:rsidRPr="00222025" w:rsidRDefault="00222025">
          <w:pPr>
            <w:pStyle w:val="TOC2"/>
            <w:tabs>
              <w:tab w:val="right" w:leader="dot" w:pos="9350"/>
            </w:tabs>
            <w:rPr>
              <w:rStyle w:val="IntenseReference"/>
            </w:rPr>
          </w:pPr>
          <w:hyperlink w:anchor="_Toc237792693" w:history="1">
            <w:r w:rsidRPr="00222025">
              <w:rPr>
                <w:rStyle w:val="IntenseReference"/>
              </w:rPr>
              <w:t>5.2 Churn by contract type</w:t>
            </w:r>
            <w:r w:rsidRPr="00222025">
              <w:rPr>
                <w:rStyle w:val="IntenseReference"/>
              </w:rPr>
              <w:tab/>
            </w:r>
            <w:r w:rsidRPr="00222025">
              <w:rPr>
                <w:rStyle w:val="IntenseReference"/>
              </w:rPr>
              <w:fldChar w:fldCharType="begin"/>
            </w:r>
            <w:r w:rsidRPr="00222025">
              <w:rPr>
                <w:rStyle w:val="IntenseReference"/>
              </w:rPr>
              <w:instrText xml:space="preserve"> PAGEREF _Toc237792693 \h </w:instrText>
            </w:r>
            <w:r w:rsidRPr="00222025">
              <w:rPr>
                <w:rStyle w:val="IntenseReference"/>
              </w:rPr>
            </w:r>
            <w:r w:rsidRPr="00222025">
              <w:rPr>
                <w:rStyle w:val="IntenseReference"/>
              </w:rPr>
              <w:fldChar w:fldCharType="separate"/>
            </w:r>
            <w:r w:rsidRPr="00222025">
              <w:rPr>
                <w:rStyle w:val="IntenseReference"/>
              </w:rPr>
              <w:t>6</w:t>
            </w:r>
            <w:r w:rsidRPr="00222025">
              <w:rPr>
                <w:rStyle w:val="IntenseReference"/>
              </w:rPr>
              <w:fldChar w:fldCharType="end"/>
            </w:r>
          </w:hyperlink>
        </w:p>
        <w:p w14:paraId="58736D96" w14:textId="0A49DD3A" w:rsidR="00222025" w:rsidRPr="00222025" w:rsidRDefault="00222025">
          <w:pPr>
            <w:pStyle w:val="TOC2"/>
            <w:tabs>
              <w:tab w:val="right" w:leader="dot" w:pos="9350"/>
            </w:tabs>
            <w:rPr>
              <w:rStyle w:val="IntenseReference"/>
            </w:rPr>
          </w:pPr>
          <w:hyperlink w:anchor="_Toc237792694" w:history="1">
            <w:r w:rsidRPr="00222025">
              <w:rPr>
                <w:rStyle w:val="IntenseReference"/>
              </w:rPr>
              <w:t>5.3 Churn by service type and support add-ons</w:t>
            </w:r>
            <w:r w:rsidRPr="00222025">
              <w:rPr>
                <w:rStyle w:val="IntenseReference"/>
              </w:rPr>
              <w:tab/>
            </w:r>
            <w:r w:rsidRPr="00222025">
              <w:rPr>
                <w:rStyle w:val="IntenseReference"/>
              </w:rPr>
              <w:fldChar w:fldCharType="begin"/>
            </w:r>
            <w:r w:rsidRPr="00222025">
              <w:rPr>
                <w:rStyle w:val="IntenseReference"/>
              </w:rPr>
              <w:instrText xml:space="preserve"> PAGEREF _Toc237792694 \h </w:instrText>
            </w:r>
            <w:r w:rsidRPr="00222025">
              <w:rPr>
                <w:rStyle w:val="IntenseReference"/>
              </w:rPr>
            </w:r>
            <w:r w:rsidRPr="00222025">
              <w:rPr>
                <w:rStyle w:val="IntenseReference"/>
              </w:rPr>
              <w:fldChar w:fldCharType="separate"/>
            </w:r>
            <w:r w:rsidRPr="00222025">
              <w:rPr>
                <w:rStyle w:val="IntenseReference"/>
              </w:rPr>
              <w:t>7</w:t>
            </w:r>
            <w:r w:rsidRPr="00222025">
              <w:rPr>
                <w:rStyle w:val="IntenseReference"/>
              </w:rPr>
              <w:fldChar w:fldCharType="end"/>
            </w:r>
          </w:hyperlink>
        </w:p>
        <w:p w14:paraId="5F3FF280" w14:textId="1D260E33" w:rsidR="00222025" w:rsidRPr="00222025" w:rsidRDefault="00222025">
          <w:pPr>
            <w:pStyle w:val="TOC2"/>
            <w:tabs>
              <w:tab w:val="right" w:leader="dot" w:pos="9350"/>
            </w:tabs>
            <w:rPr>
              <w:rStyle w:val="IntenseReference"/>
            </w:rPr>
          </w:pPr>
          <w:hyperlink w:anchor="_Toc237792695" w:history="1">
            <w:r w:rsidRPr="00222025">
              <w:rPr>
                <w:rStyle w:val="IntenseReference"/>
              </w:rPr>
              <w:t>5.4 Tenure and pricing risk cluster</w:t>
            </w:r>
            <w:r w:rsidRPr="00222025">
              <w:rPr>
                <w:rStyle w:val="IntenseReference"/>
              </w:rPr>
              <w:tab/>
            </w:r>
            <w:r w:rsidRPr="00222025">
              <w:rPr>
                <w:rStyle w:val="IntenseReference"/>
              </w:rPr>
              <w:fldChar w:fldCharType="begin"/>
            </w:r>
            <w:r w:rsidRPr="00222025">
              <w:rPr>
                <w:rStyle w:val="IntenseReference"/>
              </w:rPr>
              <w:instrText xml:space="preserve"> PAGEREF _Toc237792695 \h </w:instrText>
            </w:r>
            <w:r w:rsidRPr="00222025">
              <w:rPr>
                <w:rStyle w:val="IntenseReference"/>
              </w:rPr>
            </w:r>
            <w:r w:rsidRPr="00222025">
              <w:rPr>
                <w:rStyle w:val="IntenseReference"/>
              </w:rPr>
              <w:fldChar w:fldCharType="separate"/>
            </w:r>
            <w:r w:rsidRPr="00222025">
              <w:rPr>
                <w:rStyle w:val="IntenseReference"/>
              </w:rPr>
              <w:t>8</w:t>
            </w:r>
            <w:r w:rsidRPr="00222025">
              <w:rPr>
                <w:rStyle w:val="IntenseReference"/>
              </w:rPr>
              <w:fldChar w:fldCharType="end"/>
            </w:r>
          </w:hyperlink>
        </w:p>
        <w:p w14:paraId="3346FEA1" w14:textId="64C901BF" w:rsidR="00222025" w:rsidRPr="00222025" w:rsidRDefault="00222025">
          <w:pPr>
            <w:pStyle w:val="TOC1"/>
            <w:tabs>
              <w:tab w:val="right" w:leader="dot" w:pos="9350"/>
            </w:tabs>
            <w:rPr>
              <w:rStyle w:val="IntenseReference"/>
            </w:rPr>
          </w:pPr>
          <w:hyperlink w:anchor="_Toc237792696" w:history="1">
            <w:r w:rsidRPr="00222025">
              <w:rPr>
                <w:rStyle w:val="IntenseReference"/>
              </w:rPr>
              <w:t>6. Planning &amp; Timeline</w:t>
            </w:r>
            <w:r w:rsidRPr="00222025">
              <w:rPr>
                <w:rStyle w:val="IntenseReference"/>
              </w:rPr>
              <w:tab/>
            </w:r>
            <w:r w:rsidRPr="00222025">
              <w:rPr>
                <w:rStyle w:val="IntenseReference"/>
              </w:rPr>
              <w:fldChar w:fldCharType="begin"/>
            </w:r>
            <w:r w:rsidRPr="00222025">
              <w:rPr>
                <w:rStyle w:val="IntenseReference"/>
              </w:rPr>
              <w:instrText xml:space="preserve"> PAGEREF _Toc237792696 \h </w:instrText>
            </w:r>
            <w:r w:rsidRPr="00222025">
              <w:rPr>
                <w:rStyle w:val="IntenseReference"/>
              </w:rPr>
            </w:r>
            <w:r w:rsidRPr="00222025">
              <w:rPr>
                <w:rStyle w:val="IntenseReference"/>
              </w:rPr>
              <w:fldChar w:fldCharType="separate"/>
            </w:r>
            <w:r w:rsidRPr="00222025">
              <w:rPr>
                <w:rStyle w:val="IntenseReference"/>
              </w:rPr>
              <w:t>9</w:t>
            </w:r>
            <w:r w:rsidRPr="00222025">
              <w:rPr>
                <w:rStyle w:val="IntenseReference"/>
              </w:rPr>
              <w:fldChar w:fldCharType="end"/>
            </w:r>
          </w:hyperlink>
        </w:p>
        <w:p w14:paraId="45A33011" w14:textId="6C2BECE1" w:rsidR="00222025" w:rsidRPr="00222025" w:rsidRDefault="00222025">
          <w:pPr>
            <w:pStyle w:val="TOC2"/>
            <w:tabs>
              <w:tab w:val="right" w:leader="dot" w:pos="9350"/>
            </w:tabs>
            <w:rPr>
              <w:rStyle w:val="IntenseReference"/>
            </w:rPr>
          </w:pPr>
          <w:hyperlink w:anchor="_Toc237792697" w:history="1">
            <w:r w:rsidRPr="00222025">
              <w:rPr>
                <w:rStyle w:val="IntenseReference"/>
              </w:rPr>
              <w:t>6.1 Critical path</w:t>
            </w:r>
            <w:r w:rsidRPr="00222025">
              <w:rPr>
                <w:rStyle w:val="IntenseReference"/>
              </w:rPr>
              <w:tab/>
            </w:r>
            <w:r w:rsidRPr="00222025">
              <w:rPr>
                <w:rStyle w:val="IntenseReference"/>
              </w:rPr>
              <w:fldChar w:fldCharType="begin"/>
            </w:r>
            <w:r w:rsidRPr="00222025">
              <w:rPr>
                <w:rStyle w:val="IntenseReference"/>
              </w:rPr>
              <w:instrText xml:space="preserve"> PAGEREF _Toc237792697 \h </w:instrText>
            </w:r>
            <w:r w:rsidRPr="00222025">
              <w:rPr>
                <w:rStyle w:val="IntenseReference"/>
              </w:rPr>
            </w:r>
            <w:r w:rsidRPr="00222025">
              <w:rPr>
                <w:rStyle w:val="IntenseReference"/>
              </w:rPr>
              <w:fldChar w:fldCharType="separate"/>
            </w:r>
            <w:r w:rsidRPr="00222025">
              <w:rPr>
                <w:rStyle w:val="IntenseReference"/>
              </w:rPr>
              <w:t>10</w:t>
            </w:r>
            <w:r w:rsidRPr="00222025">
              <w:rPr>
                <w:rStyle w:val="IntenseReference"/>
              </w:rPr>
              <w:fldChar w:fldCharType="end"/>
            </w:r>
          </w:hyperlink>
        </w:p>
        <w:p w14:paraId="2077E441" w14:textId="598A5C31" w:rsidR="00222025" w:rsidRPr="00222025" w:rsidRDefault="00222025">
          <w:pPr>
            <w:pStyle w:val="TOC2"/>
            <w:tabs>
              <w:tab w:val="right" w:leader="dot" w:pos="9350"/>
            </w:tabs>
            <w:rPr>
              <w:rStyle w:val="IntenseReference"/>
            </w:rPr>
          </w:pPr>
          <w:hyperlink w:anchor="_Toc237792698" w:history="1">
            <w:r w:rsidRPr="00222025">
              <w:rPr>
                <w:rStyle w:val="IntenseReference"/>
              </w:rPr>
              <w:t>6.2 Milestones</w:t>
            </w:r>
            <w:r w:rsidRPr="00222025">
              <w:rPr>
                <w:rStyle w:val="IntenseReference"/>
              </w:rPr>
              <w:tab/>
            </w:r>
            <w:r w:rsidRPr="00222025">
              <w:rPr>
                <w:rStyle w:val="IntenseReference"/>
              </w:rPr>
              <w:fldChar w:fldCharType="begin"/>
            </w:r>
            <w:r w:rsidRPr="00222025">
              <w:rPr>
                <w:rStyle w:val="IntenseReference"/>
              </w:rPr>
              <w:instrText xml:space="preserve"> PAGEREF _Toc237792698 \h </w:instrText>
            </w:r>
            <w:r w:rsidRPr="00222025">
              <w:rPr>
                <w:rStyle w:val="IntenseReference"/>
              </w:rPr>
            </w:r>
            <w:r w:rsidRPr="00222025">
              <w:rPr>
                <w:rStyle w:val="IntenseReference"/>
              </w:rPr>
              <w:fldChar w:fldCharType="separate"/>
            </w:r>
            <w:r w:rsidRPr="00222025">
              <w:rPr>
                <w:rStyle w:val="IntenseReference"/>
              </w:rPr>
              <w:t>10</w:t>
            </w:r>
            <w:r w:rsidRPr="00222025">
              <w:rPr>
                <w:rStyle w:val="IntenseReference"/>
              </w:rPr>
              <w:fldChar w:fldCharType="end"/>
            </w:r>
          </w:hyperlink>
        </w:p>
        <w:p w14:paraId="327C508E" w14:textId="096361D7" w:rsidR="00222025" w:rsidRPr="00222025" w:rsidRDefault="00222025">
          <w:pPr>
            <w:pStyle w:val="TOC1"/>
            <w:tabs>
              <w:tab w:val="right" w:leader="dot" w:pos="9350"/>
            </w:tabs>
            <w:rPr>
              <w:rStyle w:val="IntenseReference"/>
            </w:rPr>
          </w:pPr>
          <w:hyperlink w:anchor="_Toc237792699" w:history="1">
            <w:r w:rsidRPr="00222025">
              <w:rPr>
                <w:rStyle w:val="IntenseReference"/>
              </w:rPr>
              <w:t>7. Resource Requirements</w:t>
            </w:r>
            <w:r w:rsidRPr="00222025">
              <w:rPr>
                <w:rStyle w:val="IntenseReference"/>
              </w:rPr>
              <w:tab/>
            </w:r>
            <w:r w:rsidRPr="00222025">
              <w:rPr>
                <w:rStyle w:val="IntenseReference"/>
              </w:rPr>
              <w:fldChar w:fldCharType="begin"/>
            </w:r>
            <w:r w:rsidRPr="00222025">
              <w:rPr>
                <w:rStyle w:val="IntenseReference"/>
              </w:rPr>
              <w:instrText xml:space="preserve"> PAGEREF _Toc237792699 \h </w:instrText>
            </w:r>
            <w:r w:rsidRPr="00222025">
              <w:rPr>
                <w:rStyle w:val="IntenseReference"/>
              </w:rPr>
            </w:r>
            <w:r w:rsidRPr="00222025">
              <w:rPr>
                <w:rStyle w:val="IntenseReference"/>
              </w:rPr>
              <w:fldChar w:fldCharType="separate"/>
            </w:r>
            <w:r w:rsidRPr="00222025">
              <w:rPr>
                <w:rStyle w:val="IntenseReference"/>
              </w:rPr>
              <w:t>10</w:t>
            </w:r>
            <w:r w:rsidRPr="00222025">
              <w:rPr>
                <w:rStyle w:val="IntenseReference"/>
              </w:rPr>
              <w:fldChar w:fldCharType="end"/>
            </w:r>
          </w:hyperlink>
        </w:p>
        <w:p w14:paraId="662B213D" w14:textId="401D8345" w:rsidR="00222025" w:rsidRPr="00222025" w:rsidRDefault="00222025">
          <w:pPr>
            <w:pStyle w:val="TOC2"/>
            <w:tabs>
              <w:tab w:val="right" w:leader="dot" w:pos="9350"/>
            </w:tabs>
            <w:rPr>
              <w:rStyle w:val="IntenseReference"/>
            </w:rPr>
          </w:pPr>
          <w:hyperlink w:anchor="_Toc237792700" w:history="1">
            <w:r w:rsidRPr="00222025">
              <w:rPr>
                <w:rStyle w:val="IntenseReference"/>
              </w:rPr>
              <w:t>7.1 Team and role allocation</w:t>
            </w:r>
            <w:r w:rsidRPr="00222025">
              <w:rPr>
                <w:rStyle w:val="IntenseReference"/>
              </w:rPr>
              <w:tab/>
            </w:r>
            <w:r w:rsidRPr="00222025">
              <w:rPr>
                <w:rStyle w:val="IntenseReference"/>
              </w:rPr>
              <w:fldChar w:fldCharType="begin"/>
            </w:r>
            <w:r w:rsidRPr="00222025">
              <w:rPr>
                <w:rStyle w:val="IntenseReference"/>
              </w:rPr>
              <w:instrText xml:space="preserve"> PAGEREF _Toc237792700 \h </w:instrText>
            </w:r>
            <w:r w:rsidRPr="00222025">
              <w:rPr>
                <w:rStyle w:val="IntenseReference"/>
              </w:rPr>
            </w:r>
            <w:r w:rsidRPr="00222025">
              <w:rPr>
                <w:rStyle w:val="IntenseReference"/>
              </w:rPr>
              <w:fldChar w:fldCharType="separate"/>
            </w:r>
            <w:r w:rsidRPr="00222025">
              <w:rPr>
                <w:rStyle w:val="IntenseReference"/>
              </w:rPr>
              <w:t>10</w:t>
            </w:r>
            <w:r w:rsidRPr="00222025">
              <w:rPr>
                <w:rStyle w:val="IntenseReference"/>
              </w:rPr>
              <w:fldChar w:fldCharType="end"/>
            </w:r>
          </w:hyperlink>
        </w:p>
        <w:p w14:paraId="1FA71035" w14:textId="40966CDA" w:rsidR="00222025" w:rsidRPr="00222025" w:rsidRDefault="00222025">
          <w:pPr>
            <w:pStyle w:val="TOC2"/>
            <w:tabs>
              <w:tab w:val="right" w:leader="dot" w:pos="9350"/>
            </w:tabs>
            <w:rPr>
              <w:rStyle w:val="IntenseReference"/>
            </w:rPr>
          </w:pPr>
          <w:hyperlink w:anchor="_Toc237792701" w:history="1">
            <w:r w:rsidRPr="00222025">
              <w:rPr>
                <w:rStyle w:val="IntenseReference"/>
              </w:rPr>
              <w:t>7.2 Software and infrastructure</w:t>
            </w:r>
            <w:r w:rsidRPr="00222025">
              <w:rPr>
                <w:rStyle w:val="IntenseReference"/>
              </w:rPr>
              <w:tab/>
            </w:r>
            <w:r w:rsidRPr="00222025">
              <w:rPr>
                <w:rStyle w:val="IntenseReference"/>
              </w:rPr>
              <w:fldChar w:fldCharType="begin"/>
            </w:r>
            <w:r w:rsidRPr="00222025">
              <w:rPr>
                <w:rStyle w:val="IntenseReference"/>
              </w:rPr>
              <w:instrText xml:space="preserve"> PAGEREF _Toc237792701 \h </w:instrText>
            </w:r>
            <w:r w:rsidRPr="00222025">
              <w:rPr>
                <w:rStyle w:val="IntenseReference"/>
              </w:rPr>
            </w:r>
            <w:r w:rsidRPr="00222025">
              <w:rPr>
                <w:rStyle w:val="IntenseReference"/>
              </w:rPr>
              <w:fldChar w:fldCharType="separate"/>
            </w:r>
            <w:r w:rsidRPr="00222025">
              <w:rPr>
                <w:rStyle w:val="IntenseReference"/>
              </w:rPr>
              <w:t>11</w:t>
            </w:r>
            <w:r w:rsidRPr="00222025">
              <w:rPr>
                <w:rStyle w:val="IntenseReference"/>
              </w:rPr>
              <w:fldChar w:fldCharType="end"/>
            </w:r>
          </w:hyperlink>
        </w:p>
        <w:p w14:paraId="67257C12" w14:textId="136E907B" w:rsidR="00222025" w:rsidRPr="00222025" w:rsidRDefault="00222025">
          <w:pPr>
            <w:pStyle w:val="TOC1"/>
            <w:tabs>
              <w:tab w:val="right" w:leader="dot" w:pos="9350"/>
            </w:tabs>
            <w:rPr>
              <w:rStyle w:val="IntenseReference"/>
            </w:rPr>
          </w:pPr>
          <w:hyperlink w:anchor="_Toc237792702" w:history="1">
            <w:r w:rsidRPr="00222025">
              <w:rPr>
                <w:rStyle w:val="IntenseReference"/>
              </w:rPr>
              <w:t>8. Model Evaluation Strategy</w:t>
            </w:r>
            <w:r w:rsidRPr="00222025">
              <w:rPr>
                <w:rStyle w:val="IntenseReference"/>
              </w:rPr>
              <w:tab/>
            </w:r>
            <w:r w:rsidRPr="00222025">
              <w:rPr>
                <w:rStyle w:val="IntenseReference"/>
              </w:rPr>
              <w:fldChar w:fldCharType="begin"/>
            </w:r>
            <w:r w:rsidRPr="00222025">
              <w:rPr>
                <w:rStyle w:val="IntenseReference"/>
              </w:rPr>
              <w:instrText xml:space="preserve"> PAGEREF _Toc237792702 \h </w:instrText>
            </w:r>
            <w:r w:rsidRPr="00222025">
              <w:rPr>
                <w:rStyle w:val="IntenseReference"/>
              </w:rPr>
            </w:r>
            <w:r w:rsidRPr="00222025">
              <w:rPr>
                <w:rStyle w:val="IntenseReference"/>
              </w:rPr>
              <w:fldChar w:fldCharType="separate"/>
            </w:r>
            <w:r w:rsidRPr="00222025">
              <w:rPr>
                <w:rStyle w:val="IntenseReference"/>
              </w:rPr>
              <w:t>11</w:t>
            </w:r>
            <w:r w:rsidRPr="00222025">
              <w:rPr>
                <w:rStyle w:val="IntenseReference"/>
              </w:rPr>
              <w:fldChar w:fldCharType="end"/>
            </w:r>
          </w:hyperlink>
        </w:p>
        <w:p w14:paraId="2415AEEF" w14:textId="67005B64" w:rsidR="00222025" w:rsidRPr="00222025" w:rsidRDefault="00222025">
          <w:pPr>
            <w:pStyle w:val="TOC2"/>
            <w:tabs>
              <w:tab w:val="right" w:leader="dot" w:pos="9350"/>
            </w:tabs>
            <w:rPr>
              <w:rStyle w:val="IntenseReference"/>
            </w:rPr>
          </w:pPr>
          <w:hyperlink w:anchor="_Toc237792703" w:history="1">
            <w:r w:rsidRPr="00222025">
              <w:rPr>
                <w:rStyle w:val="IntenseReference"/>
              </w:rPr>
              <w:t>8.1 Leakage controls</w:t>
            </w:r>
            <w:r w:rsidRPr="00222025">
              <w:rPr>
                <w:rStyle w:val="IntenseReference"/>
              </w:rPr>
              <w:tab/>
            </w:r>
            <w:r w:rsidRPr="00222025">
              <w:rPr>
                <w:rStyle w:val="IntenseReference"/>
              </w:rPr>
              <w:fldChar w:fldCharType="begin"/>
            </w:r>
            <w:r w:rsidRPr="00222025">
              <w:rPr>
                <w:rStyle w:val="IntenseReference"/>
              </w:rPr>
              <w:instrText xml:space="preserve"> PAGEREF _Toc237792703 \h </w:instrText>
            </w:r>
            <w:r w:rsidRPr="00222025">
              <w:rPr>
                <w:rStyle w:val="IntenseReference"/>
              </w:rPr>
            </w:r>
            <w:r w:rsidRPr="00222025">
              <w:rPr>
                <w:rStyle w:val="IntenseReference"/>
              </w:rPr>
              <w:fldChar w:fldCharType="separate"/>
            </w:r>
            <w:r w:rsidRPr="00222025">
              <w:rPr>
                <w:rStyle w:val="IntenseReference"/>
              </w:rPr>
              <w:t>12</w:t>
            </w:r>
            <w:r w:rsidRPr="00222025">
              <w:rPr>
                <w:rStyle w:val="IntenseReference"/>
              </w:rPr>
              <w:fldChar w:fldCharType="end"/>
            </w:r>
          </w:hyperlink>
        </w:p>
        <w:p w14:paraId="6EE4CBFB" w14:textId="21640684" w:rsidR="00222025" w:rsidRPr="00222025" w:rsidRDefault="00222025">
          <w:pPr>
            <w:pStyle w:val="TOC2"/>
            <w:tabs>
              <w:tab w:val="right" w:leader="dot" w:pos="9350"/>
            </w:tabs>
            <w:rPr>
              <w:rStyle w:val="IntenseReference"/>
            </w:rPr>
          </w:pPr>
          <w:hyperlink w:anchor="_Toc237792704" w:history="1">
            <w:r w:rsidRPr="00222025">
              <w:rPr>
                <w:rStyle w:val="IntenseReference"/>
              </w:rPr>
              <w:t>8.2 Precision floor alongside the recall target</w:t>
            </w:r>
            <w:r w:rsidRPr="00222025">
              <w:rPr>
                <w:rStyle w:val="IntenseReference"/>
              </w:rPr>
              <w:tab/>
            </w:r>
            <w:r w:rsidRPr="00222025">
              <w:rPr>
                <w:rStyle w:val="IntenseReference"/>
              </w:rPr>
              <w:fldChar w:fldCharType="begin"/>
            </w:r>
            <w:r w:rsidRPr="00222025">
              <w:rPr>
                <w:rStyle w:val="IntenseReference"/>
              </w:rPr>
              <w:instrText xml:space="preserve"> PAGEREF _Toc237792704 \h </w:instrText>
            </w:r>
            <w:r w:rsidRPr="00222025">
              <w:rPr>
                <w:rStyle w:val="IntenseReference"/>
              </w:rPr>
            </w:r>
            <w:r w:rsidRPr="00222025">
              <w:rPr>
                <w:rStyle w:val="IntenseReference"/>
              </w:rPr>
              <w:fldChar w:fldCharType="separate"/>
            </w:r>
            <w:r w:rsidRPr="00222025">
              <w:rPr>
                <w:rStyle w:val="IntenseReference"/>
              </w:rPr>
              <w:t>12</w:t>
            </w:r>
            <w:r w:rsidRPr="00222025">
              <w:rPr>
                <w:rStyle w:val="IntenseReference"/>
              </w:rPr>
              <w:fldChar w:fldCharType="end"/>
            </w:r>
          </w:hyperlink>
        </w:p>
        <w:p w14:paraId="5A724F1F" w14:textId="51E93538" w:rsidR="00222025" w:rsidRPr="00222025" w:rsidRDefault="00222025">
          <w:pPr>
            <w:pStyle w:val="TOC1"/>
            <w:tabs>
              <w:tab w:val="right" w:leader="dot" w:pos="9350"/>
            </w:tabs>
            <w:rPr>
              <w:rStyle w:val="IntenseReference"/>
            </w:rPr>
          </w:pPr>
          <w:hyperlink w:anchor="_Toc237792705" w:history="1">
            <w:r w:rsidRPr="00222025">
              <w:rPr>
                <w:rStyle w:val="IntenseReference"/>
              </w:rPr>
              <w:t>9. Risk &amp; Resource Analysis</w:t>
            </w:r>
            <w:r w:rsidRPr="00222025">
              <w:rPr>
                <w:rStyle w:val="IntenseReference"/>
              </w:rPr>
              <w:tab/>
            </w:r>
            <w:r w:rsidRPr="00222025">
              <w:rPr>
                <w:rStyle w:val="IntenseReference"/>
              </w:rPr>
              <w:fldChar w:fldCharType="begin"/>
            </w:r>
            <w:r w:rsidRPr="00222025">
              <w:rPr>
                <w:rStyle w:val="IntenseReference"/>
              </w:rPr>
              <w:instrText xml:space="preserve"> PAGEREF _Toc237792705 \h </w:instrText>
            </w:r>
            <w:r w:rsidRPr="00222025">
              <w:rPr>
                <w:rStyle w:val="IntenseReference"/>
              </w:rPr>
            </w:r>
            <w:r w:rsidRPr="00222025">
              <w:rPr>
                <w:rStyle w:val="IntenseReference"/>
              </w:rPr>
              <w:fldChar w:fldCharType="separate"/>
            </w:r>
            <w:r w:rsidRPr="00222025">
              <w:rPr>
                <w:rStyle w:val="IntenseReference"/>
              </w:rPr>
              <w:t>13</w:t>
            </w:r>
            <w:r w:rsidRPr="00222025">
              <w:rPr>
                <w:rStyle w:val="IntenseReference"/>
              </w:rPr>
              <w:fldChar w:fldCharType="end"/>
            </w:r>
          </w:hyperlink>
        </w:p>
        <w:p w14:paraId="6E524AAD" w14:textId="210436B2" w:rsidR="00222025" w:rsidRPr="00222025" w:rsidRDefault="00222025">
          <w:pPr>
            <w:pStyle w:val="TOC2"/>
            <w:tabs>
              <w:tab w:val="right" w:leader="dot" w:pos="9350"/>
            </w:tabs>
            <w:rPr>
              <w:rStyle w:val="IntenseReference"/>
            </w:rPr>
          </w:pPr>
          <w:hyperlink w:anchor="_Toc237792706" w:history="1">
            <w:r w:rsidRPr="00222025">
              <w:rPr>
                <w:rStyle w:val="IntenseReference"/>
              </w:rPr>
              <w:t>9.1 Data drift and retraining triggers</w:t>
            </w:r>
            <w:r w:rsidRPr="00222025">
              <w:rPr>
                <w:rStyle w:val="IntenseReference"/>
              </w:rPr>
              <w:tab/>
            </w:r>
            <w:r w:rsidRPr="00222025">
              <w:rPr>
                <w:rStyle w:val="IntenseReference"/>
              </w:rPr>
              <w:fldChar w:fldCharType="begin"/>
            </w:r>
            <w:r w:rsidRPr="00222025">
              <w:rPr>
                <w:rStyle w:val="IntenseReference"/>
              </w:rPr>
              <w:instrText xml:space="preserve"> PAGEREF _Toc237792706 \h </w:instrText>
            </w:r>
            <w:r w:rsidRPr="00222025">
              <w:rPr>
                <w:rStyle w:val="IntenseReference"/>
              </w:rPr>
            </w:r>
            <w:r w:rsidRPr="00222025">
              <w:rPr>
                <w:rStyle w:val="IntenseReference"/>
              </w:rPr>
              <w:fldChar w:fldCharType="separate"/>
            </w:r>
            <w:r w:rsidRPr="00222025">
              <w:rPr>
                <w:rStyle w:val="IntenseReference"/>
              </w:rPr>
              <w:t>13</w:t>
            </w:r>
            <w:r w:rsidRPr="00222025">
              <w:rPr>
                <w:rStyle w:val="IntenseReference"/>
              </w:rPr>
              <w:fldChar w:fldCharType="end"/>
            </w:r>
          </w:hyperlink>
        </w:p>
        <w:p w14:paraId="6607B6B2" w14:textId="257E5DB7" w:rsidR="00222025" w:rsidRPr="00222025" w:rsidRDefault="00222025">
          <w:pPr>
            <w:pStyle w:val="TOC1"/>
            <w:tabs>
              <w:tab w:val="right" w:leader="dot" w:pos="9350"/>
            </w:tabs>
            <w:rPr>
              <w:rStyle w:val="IntenseReference"/>
            </w:rPr>
          </w:pPr>
          <w:hyperlink w:anchor="_Toc237792707" w:history="1">
            <w:r w:rsidRPr="00222025">
              <w:rPr>
                <w:rStyle w:val="IntenseReference"/>
              </w:rPr>
              <w:t>10. Strategic Roadmap: Deployment &amp; Operationalisation</w:t>
            </w:r>
            <w:r w:rsidRPr="00222025">
              <w:rPr>
                <w:rStyle w:val="IntenseReference"/>
              </w:rPr>
              <w:tab/>
            </w:r>
            <w:r w:rsidRPr="00222025">
              <w:rPr>
                <w:rStyle w:val="IntenseReference"/>
              </w:rPr>
              <w:fldChar w:fldCharType="begin"/>
            </w:r>
            <w:r w:rsidRPr="00222025">
              <w:rPr>
                <w:rStyle w:val="IntenseReference"/>
              </w:rPr>
              <w:instrText xml:space="preserve"> PAGEREF _Toc237792707 \h </w:instrText>
            </w:r>
            <w:r w:rsidRPr="00222025">
              <w:rPr>
                <w:rStyle w:val="IntenseReference"/>
              </w:rPr>
            </w:r>
            <w:r w:rsidRPr="00222025">
              <w:rPr>
                <w:rStyle w:val="IntenseReference"/>
              </w:rPr>
              <w:fldChar w:fldCharType="separate"/>
            </w:r>
            <w:r w:rsidRPr="00222025">
              <w:rPr>
                <w:rStyle w:val="IntenseReference"/>
              </w:rPr>
              <w:t>14</w:t>
            </w:r>
            <w:r w:rsidRPr="00222025">
              <w:rPr>
                <w:rStyle w:val="IntenseReference"/>
              </w:rPr>
              <w:fldChar w:fldCharType="end"/>
            </w:r>
          </w:hyperlink>
        </w:p>
        <w:p w14:paraId="50F8C193" w14:textId="0C6F82F8" w:rsidR="00222025" w:rsidRPr="00222025" w:rsidRDefault="00222025">
          <w:pPr>
            <w:pStyle w:val="TOC2"/>
            <w:tabs>
              <w:tab w:val="right" w:leader="dot" w:pos="9350"/>
            </w:tabs>
            <w:rPr>
              <w:rStyle w:val="IntenseReference"/>
            </w:rPr>
          </w:pPr>
          <w:hyperlink w:anchor="_Toc237792708" w:history="1">
            <w:r w:rsidRPr="00222025">
              <w:rPr>
                <w:rStyle w:val="IntenseReference"/>
              </w:rPr>
              <w:t>Phase A — Shadow Deployment</w:t>
            </w:r>
            <w:r w:rsidRPr="00222025">
              <w:rPr>
                <w:rStyle w:val="IntenseReference"/>
              </w:rPr>
              <w:tab/>
            </w:r>
            <w:r w:rsidRPr="00222025">
              <w:rPr>
                <w:rStyle w:val="IntenseReference"/>
              </w:rPr>
              <w:fldChar w:fldCharType="begin"/>
            </w:r>
            <w:r w:rsidRPr="00222025">
              <w:rPr>
                <w:rStyle w:val="IntenseReference"/>
              </w:rPr>
              <w:instrText xml:space="preserve"> PAGEREF _Toc237792708 \h </w:instrText>
            </w:r>
            <w:r w:rsidRPr="00222025">
              <w:rPr>
                <w:rStyle w:val="IntenseReference"/>
              </w:rPr>
            </w:r>
            <w:r w:rsidRPr="00222025">
              <w:rPr>
                <w:rStyle w:val="IntenseReference"/>
              </w:rPr>
              <w:fldChar w:fldCharType="separate"/>
            </w:r>
            <w:r w:rsidRPr="00222025">
              <w:rPr>
                <w:rStyle w:val="IntenseReference"/>
              </w:rPr>
              <w:t>14</w:t>
            </w:r>
            <w:r w:rsidRPr="00222025">
              <w:rPr>
                <w:rStyle w:val="IntenseReference"/>
              </w:rPr>
              <w:fldChar w:fldCharType="end"/>
            </w:r>
          </w:hyperlink>
        </w:p>
        <w:p w14:paraId="7227085B" w14:textId="7B0A65E0" w:rsidR="00222025" w:rsidRPr="00222025" w:rsidRDefault="00222025">
          <w:pPr>
            <w:pStyle w:val="TOC2"/>
            <w:tabs>
              <w:tab w:val="right" w:leader="dot" w:pos="9350"/>
            </w:tabs>
            <w:rPr>
              <w:rStyle w:val="IntenseReference"/>
            </w:rPr>
          </w:pPr>
          <w:hyperlink w:anchor="_Toc237792709" w:history="1">
            <w:r w:rsidRPr="00222025">
              <w:rPr>
                <w:rStyle w:val="IntenseReference"/>
              </w:rPr>
              <w:t>Phase B — Commercial A/B Testing</w:t>
            </w:r>
            <w:r w:rsidRPr="00222025">
              <w:rPr>
                <w:rStyle w:val="IntenseReference"/>
              </w:rPr>
              <w:tab/>
            </w:r>
            <w:r w:rsidRPr="00222025">
              <w:rPr>
                <w:rStyle w:val="IntenseReference"/>
              </w:rPr>
              <w:fldChar w:fldCharType="begin"/>
            </w:r>
            <w:r w:rsidRPr="00222025">
              <w:rPr>
                <w:rStyle w:val="IntenseReference"/>
              </w:rPr>
              <w:instrText xml:space="preserve"> PAGEREF _Toc237792709 \h </w:instrText>
            </w:r>
            <w:r w:rsidRPr="00222025">
              <w:rPr>
                <w:rStyle w:val="IntenseReference"/>
              </w:rPr>
            </w:r>
            <w:r w:rsidRPr="00222025">
              <w:rPr>
                <w:rStyle w:val="IntenseReference"/>
              </w:rPr>
              <w:fldChar w:fldCharType="separate"/>
            </w:r>
            <w:r w:rsidRPr="00222025">
              <w:rPr>
                <w:rStyle w:val="IntenseReference"/>
              </w:rPr>
              <w:t>14</w:t>
            </w:r>
            <w:r w:rsidRPr="00222025">
              <w:rPr>
                <w:rStyle w:val="IntenseReference"/>
              </w:rPr>
              <w:fldChar w:fldCharType="end"/>
            </w:r>
          </w:hyperlink>
        </w:p>
        <w:p w14:paraId="5E7870BC" w14:textId="06BE3FFC" w:rsidR="00222025" w:rsidRPr="00222025" w:rsidRDefault="00222025">
          <w:pPr>
            <w:pStyle w:val="TOC2"/>
            <w:tabs>
              <w:tab w:val="right" w:leader="dot" w:pos="9350"/>
            </w:tabs>
            <w:rPr>
              <w:rStyle w:val="IntenseReference"/>
            </w:rPr>
          </w:pPr>
          <w:hyperlink w:anchor="_Toc237792710" w:history="1">
            <w:r w:rsidRPr="00222025">
              <w:rPr>
                <w:rStyle w:val="IntenseReference"/>
              </w:rPr>
              <w:t>Phase C — Full CRM Integration</w:t>
            </w:r>
            <w:r w:rsidRPr="00222025">
              <w:rPr>
                <w:rStyle w:val="IntenseReference"/>
              </w:rPr>
              <w:tab/>
            </w:r>
            <w:r w:rsidRPr="00222025">
              <w:rPr>
                <w:rStyle w:val="IntenseReference"/>
              </w:rPr>
              <w:fldChar w:fldCharType="begin"/>
            </w:r>
            <w:r w:rsidRPr="00222025">
              <w:rPr>
                <w:rStyle w:val="IntenseReference"/>
              </w:rPr>
              <w:instrText xml:space="preserve"> PAGEREF _Toc237792710 \h </w:instrText>
            </w:r>
            <w:r w:rsidRPr="00222025">
              <w:rPr>
                <w:rStyle w:val="IntenseReference"/>
              </w:rPr>
            </w:r>
            <w:r w:rsidRPr="00222025">
              <w:rPr>
                <w:rStyle w:val="IntenseReference"/>
              </w:rPr>
              <w:fldChar w:fldCharType="separate"/>
            </w:r>
            <w:r w:rsidRPr="00222025">
              <w:rPr>
                <w:rStyle w:val="IntenseReference"/>
              </w:rPr>
              <w:t>14</w:t>
            </w:r>
            <w:r w:rsidRPr="00222025">
              <w:rPr>
                <w:rStyle w:val="IntenseReference"/>
              </w:rPr>
              <w:fldChar w:fldCharType="end"/>
            </w:r>
          </w:hyperlink>
        </w:p>
        <w:p w14:paraId="4D89C8DE" w14:textId="384BE83E" w:rsidR="00222025" w:rsidRPr="00222025" w:rsidRDefault="00222025">
          <w:pPr>
            <w:pStyle w:val="TOC1"/>
            <w:tabs>
              <w:tab w:val="right" w:leader="dot" w:pos="9350"/>
            </w:tabs>
            <w:rPr>
              <w:rStyle w:val="IntenseReference"/>
            </w:rPr>
          </w:pPr>
          <w:hyperlink w:anchor="_Toc237792711" w:history="1">
            <w:r w:rsidRPr="00222025">
              <w:rPr>
                <w:rStyle w:val="IntenseReference"/>
              </w:rPr>
              <w:t>11. Documentation &amp; Formatting Notes</w:t>
            </w:r>
            <w:r w:rsidRPr="00222025">
              <w:rPr>
                <w:rStyle w:val="IntenseReference"/>
              </w:rPr>
              <w:tab/>
            </w:r>
            <w:r w:rsidRPr="00222025">
              <w:rPr>
                <w:rStyle w:val="IntenseReference"/>
              </w:rPr>
              <w:fldChar w:fldCharType="begin"/>
            </w:r>
            <w:r w:rsidRPr="00222025">
              <w:rPr>
                <w:rStyle w:val="IntenseReference"/>
              </w:rPr>
              <w:instrText xml:space="preserve"> PAGEREF _Toc237792711 \h </w:instrText>
            </w:r>
            <w:r w:rsidRPr="00222025">
              <w:rPr>
                <w:rStyle w:val="IntenseReference"/>
              </w:rPr>
            </w:r>
            <w:r w:rsidRPr="00222025">
              <w:rPr>
                <w:rStyle w:val="IntenseReference"/>
              </w:rPr>
              <w:fldChar w:fldCharType="separate"/>
            </w:r>
            <w:r w:rsidRPr="00222025">
              <w:rPr>
                <w:rStyle w:val="IntenseReference"/>
              </w:rPr>
              <w:t>15</w:t>
            </w:r>
            <w:r w:rsidRPr="00222025">
              <w:rPr>
                <w:rStyle w:val="IntenseReference"/>
              </w:rPr>
              <w:fldChar w:fldCharType="end"/>
            </w:r>
          </w:hyperlink>
        </w:p>
        <w:p w14:paraId="39EBCE0E" w14:textId="12B50E12" w:rsidR="00222025" w:rsidRPr="00222025" w:rsidRDefault="00222025">
          <w:pPr>
            <w:pStyle w:val="TOC1"/>
            <w:tabs>
              <w:tab w:val="right" w:leader="dot" w:pos="9350"/>
            </w:tabs>
            <w:rPr>
              <w:rStyle w:val="IntenseReference"/>
            </w:rPr>
          </w:pPr>
          <w:hyperlink w:anchor="_Toc237792712" w:history="1">
            <w:r w:rsidRPr="00222025">
              <w:rPr>
                <w:rStyle w:val="IntenseReference"/>
              </w:rPr>
              <w:t>12. Conclusion</w:t>
            </w:r>
            <w:r w:rsidRPr="00222025">
              <w:rPr>
                <w:rStyle w:val="IntenseReference"/>
              </w:rPr>
              <w:tab/>
            </w:r>
            <w:r w:rsidRPr="00222025">
              <w:rPr>
                <w:rStyle w:val="IntenseReference"/>
              </w:rPr>
              <w:fldChar w:fldCharType="begin"/>
            </w:r>
            <w:r w:rsidRPr="00222025">
              <w:rPr>
                <w:rStyle w:val="IntenseReference"/>
              </w:rPr>
              <w:instrText xml:space="preserve"> PAGEREF _Toc237792712 \h </w:instrText>
            </w:r>
            <w:r w:rsidRPr="00222025">
              <w:rPr>
                <w:rStyle w:val="IntenseReference"/>
              </w:rPr>
            </w:r>
            <w:r w:rsidRPr="00222025">
              <w:rPr>
                <w:rStyle w:val="IntenseReference"/>
              </w:rPr>
              <w:fldChar w:fldCharType="separate"/>
            </w:r>
            <w:r w:rsidRPr="00222025">
              <w:rPr>
                <w:rStyle w:val="IntenseReference"/>
              </w:rPr>
              <w:t>15</w:t>
            </w:r>
            <w:r w:rsidRPr="00222025">
              <w:rPr>
                <w:rStyle w:val="IntenseReference"/>
              </w:rPr>
              <w:fldChar w:fldCharType="end"/>
            </w:r>
          </w:hyperlink>
        </w:p>
        <w:p w14:paraId="264CCE06" w14:textId="77777777" w:rsidR="008B20C3" w:rsidRPr="00222025" w:rsidRDefault="00000000">
          <w:pPr>
            <w:rPr>
              <w:rStyle w:val="IntenseReference"/>
            </w:rPr>
          </w:pPr>
          <w:r w:rsidRPr="00222025">
            <w:rPr>
              <w:rStyle w:val="IntenseReference"/>
            </w:rPr>
            <w:fldChar w:fldCharType="end"/>
          </w:r>
        </w:p>
      </w:sdtContent>
    </w:sdt>
    <w:p w14:paraId="6B8874F9" w14:textId="77777777" w:rsidR="008B20C3" w:rsidRPr="00222025" w:rsidRDefault="00000000">
      <w:pPr>
        <w:rPr>
          <w:rStyle w:val="IntenseReference"/>
        </w:rPr>
      </w:pPr>
      <w:r w:rsidRPr="00222025">
        <w:rPr>
          <w:rStyle w:val="IntenseReference"/>
        </w:rPr>
        <w:br w:type="page"/>
      </w:r>
    </w:p>
    <w:p w14:paraId="6CFC6885" w14:textId="77777777" w:rsidR="008B20C3" w:rsidRPr="00222025" w:rsidRDefault="008B20C3">
      <w:pPr>
        <w:rPr>
          <w:rStyle w:val="IntenseReference"/>
        </w:rPr>
        <w:sectPr w:rsidR="008B20C3" w:rsidRPr="00222025">
          <w:pgSz w:w="12240" w:h="15840"/>
          <w:pgMar w:top="1440" w:right="1440" w:bottom="1440" w:left="1440" w:header="708" w:footer="708" w:gutter="0"/>
          <w:cols w:space="720"/>
          <w:docGrid w:linePitch="360"/>
        </w:sectPr>
      </w:pPr>
    </w:p>
    <w:p w14:paraId="2A429E18" w14:textId="77777777" w:rsidR="008B20C3" w:rsidRPr="00222025" w:rsidRDefault="00000000">
      <w:pPr>
        <w:pStyle w:val="Heading1"/>
        <w:pBdr>
          <w:bottom w:val="single" w:sz="12" w:space="4" w:color="0891B2"/>
        </w:pBdr>
        <w:spacing w:before="360" w:after="200"/>
        <w:rPr>
          <w:rStyle w:val="IntenseReference"/>
        </w:rPr>
      </w:pPr>
      <w:bookmarkStart w:id="1" w:name="_Toc237792681"/>
      <w:r w:rsidRPr="00222025">
        <w:rPr>
          <w:rStyle w:val="IntenseReference"/>
        </w:rPr>
        <w:lastRenderedPageBreak/>
        <w:t>1. Introduction</w:t>
      </w:r>
      <w:bookmarkEnd w:id="1"/>
    </w:p>
    <w:p w14:paraId="58B7C839" w14:textId="77777777" w:rsidR="008B20C3" w:rsidRPr="00222025" w:rsidRDefault="00000000">
      <w:pPr>
        <w:spacing w:after="160" w:line="300" w:lineRule="auto"/>
        <w:rPr>
          <w:rStyle w:val="IntenseReference"/>
        </w:rPr>
      </w:pPr>
      <w:r w:rsidRPr="00222025">
        <w:rPr>
          <w:rStyle w:val="IntenseReference"/>
        </w:rPr>
        <w:t>Customer churn — the loss of subscribers to competitors — is one of the highest-cost problems in the telecommunications sector. Acquiring a new subscriber typically costs several times more than retaining an existing one, so even small improvements in early churn detection translate directly into revenue protection. This report sets out the project plan for building an end-to-end machine learning pipeline that predicts, in advance, which subscribers are at high risk of churning, so that retention teams can intervene before the customer leaves.</w:t>
      </w:r>
    </w:p>
    <w:p w14:paraId="1D8913D1" w14:textId="77777777" w:rsidR="008B20C3" w:rsidRPr="00222025" w:rsidRDefault="00000000">
      <w:pPr>
        <w:spacing w:after="160" w:line="300" w:lineRule="auto"/>
        <w:rPr>
          <w:rStyle w:val="IntenseReference"/>
        </w:rPr>
      </w:pPr>
      <w:r w:rsidRPr="00222025">
        <w:rPr>
          <w:rStyle w:val="IntenseReference"/>
        </w:rPr>
        <w:t>The plan is grounded in a real, publicly available dataset (the IBM Telco Customer Churn dataset, 7,043 subscriber records across 21 attributes) rather than a hypothetical scenario, so that every phase — from data exploration to deployment — is tied to concrete, checkable numbers. The supporting infographic referenced throughout this report summarises the data findings and the target system architecture.</w:t>
      </w:r>
    </w:p>
    <w:p w14:paraId="2EC9FBFD" w14:textId="77777777" w:rsidR="008B20C3" w:rsidRPr="00222025" w:rsidRDefault="00000000">
      <w:pPr>
        <w:pStyle w:val="Heading2"/>
        <w:spacing w:before="260" w:after="140"/>
        <w:rPr>
          <w:rStyle w:val="IntenseReference"/>
        </w:rPr>
      </w:pPr>
      <w:bookmarkStart w:id="2" w:name="_Toc237792682"/>
      <w:r w:rsidRPr="00222025">
        <w:rPr>
          <w:rStyle w:val="IntenseReference"/>
        </w:rPr>
        <w:t>1.1 Scope of this document</w:t>
      </w:r>
      <w:bookmarkEnd w:id="2"/>
    </w:p>
    <w:p w14:paraId="15D4E231" w14:textId="77777777" w:rsidR="008B20C3" w:rsidRPr="00222025" w:rsidRDefault="00000000">
      <w:pPr>
        <w:spacing w:after="160" w:line="300" w:lineRule="auto"/>
        <w:rPr>
          <w:rStyle w:val="IntenseReference"/>
        </w:rPr>
      </w:pPr>
      <w:r w:rsidRPr="00222025">
        <w:rPr>
          <w:rStyle w:val="IntenseReference"/>
        </w:rPr>
        <w:t>This is a planning document, not a build log. It defines the problem, the approach, the schedule, the resourcing, and the risks. Model training and code implementation are addressed only at the level needed to plan for them (what libraries, what compute, what time); the actual notebooks and scripts are separate deliverables in later weeks.</w:t>
      </w:r>
    </w:p>
    <w:p w14:paraId="22F63E01" w14:textId="77777777" w:rsidR="008B20C3" w:rsidRPr="00222025" w:rsidRDefault="00000000">
      <w:pPr>
        <w:pStyle w:val="Heading1"/>
        <w:pBdr>
          <w:bottom w:val="single" w:sz="12" w:space="4" w:color="0891B2"/>
        </w:pBdr>
        <w:spacing w:before="360" w:after="200"/>
        <w:rPr>
          <w:rStyle w:val="IntenseReference"/>
        </w:rPr>
      </w:pPr>
      <w:bookmarkStart w:id="3" w:name="_Toc237792683"/>
      <w:r w:rsidRPr="00222025">
        <w:rPr>
          <w:rStyle w:val="IntenseReference"/>
        </w:rPr>
        <w:t>2. Problem Statement</w:t>
      </w:r>
      <w:bookmarkEnd w:id="3"/>
    </w:p>
    <w:p w14:paraId="5BB57BC9" w14:textId="77777777" w:rsidR="008B20C3" w:rsidRPr="00222025" w:rsidRDefault="00000000">
      <w:pPr>
        <w:pStyle w:val="Heading2"/>
        <w:spacing w:before="260" w:after="140"/>
        <w:rPr>
          <w:rStyle w:val="IntenseReference"/>
        </w:rPr>
      </w:pPr>
      <w:bookmarkStart w:id="4" w:name="_Toc237792684"/>
      <w:r w:rsidRPr="00222025">
        <w:rPr>
          <w:rStyle w:val="IntenseReference"/>
        </w:rPr>
        <w:t>2.1 The business problem</w:t>
      </w:r>
      <w:bookmarkEnd w:id="4"/>
    </w:p>
    <w:p w14:paraId="5C5ABC8A" w14:textId="77777777" w:rsidR="008B20C3" w:rsidRPr="00222025" w:rsidRDefault="00000000">
      <w:pPr>
        <w:spacing w:after="160" w:line="300" w:lineRule="auto"/>
        <w:rPr>
          <w:rStyle w:val="IntenseReference"/>
        </w:rPr>
      </w:pPr>
      <w:r w:rsidRPr="00222025">
        <w:rPr>
          <w:rStyle w:val="IntenseReference"/>
        </w:rPr>
        <w:t>A telecom operator needs to identify, ahead of time, which currently-active subscribers are likely to cancel their service within the next billing cycle, so that a retention team can offer a targeted intervention (discount, plan change, proactive support call) before the subscriber leaves. Today this identification is largely reactive — the company finds out a customer has churned only after cancellation. The objective is to convert this into a proactive process driven by a predictive model.</w:t>
      </w:r>
    </w:p>
    <w:p w14:paraId="1FFFD0E7" w14:textId="77777777" w:rsidR="008B20C3" w:rsidRPr="00222025" w:rsidRDefault="00000000">
      <w:pPr>
        <w:pStyle w:val="Heading3"/>
        <w:spacing w:before="180" w:after="100"/>
        <w:rPr>
          <w:rStyle w:val="IntenseReference"/>
        </w:rPr>
      </w:pPr>
      <w:bookmarkStart w:id="5" w:name="_Toc237792685"/>
      <w:r w:rsidRPr="00222025">
        <w:rPr>
          <w:rStyle w:val="IntenseReference"/>
        </w:rPr>
        <w:t>2.1.1 Illustrative unit economics</w:t>
      </w:r>
      <w:bookmarkEnd w:id="5"/>
    </w:p>
    <w:p w14:paraId="33FDEE6F" w14:textId="77777777" w:rsidR="008B20C3" w:rsidRPr="00222025" w:rsidRDefault="00000000">
      <w:pPr>
        <w:spacing w:after="160" w:line="300" w:lineRule="auto"/>
        <w:rPr>
          <w:rStyle w:val="IntenseReference"/>
        </w:rPr>
      </w:pPr>
      <w:r w:rsidRPr="00222025">
        <w:rPr>
          <w:rStyle w:val="IntenseReference"/>
        </w:rPr>
        <w:t>The dataset itself has no cost or lifetime-value figures attached, so the numbers below are a worked illustration using round, commonly-cited telecom benchmarks — not derived from this data — to show why the recall/precision targets in Sections 2.4 and 8.2 matter financially, not just statistically. Real figures should replace these before the business case is finalised.</w:t>
      </w:r>
    </w:p>
    <w:p w14:paraId="2FB0DADD" w14:textId="77777777" w:rsidR="008B20C3" w:rsidRPr="00222025" w:rsidRDefault="00000000">
      <w:pPr>
        <w:pStyle w:val="ListParagraph"/>
        <w:numPr>
          <w:ilvl w:val="0"/>
          <w:numId w:val="2"/>
        </w:numPr>
        <w:spacing w:after="80"/>
        <w:rPr>
          <w:rStyle w:val="IntenseReference"/>
        </w:rPr>
      </w:pPr>
      <w:r w:rsidRPr="00222025">
        <w:rPr>
          <w:rStyle w:val="IntenseReference"/>
        </w:rPr>
        <w:t xml:space="preserve">Average monthly revenue per churned subscriber: ~$65 (approx. the dataset's mean </w:t>
      </w:r>
      <w:proofErr w:type="spellStart"/>
      <w:r w:rsidRPr="00222025">
        <w:rPr>
          <w:rStyle w:val="IntenseReference"/>
        </w:rPr>
        <w:t>MonthlyCharges</w:t>
      </w:r>
      <w:proofErr w:type="spellEnd"/>
      <w:r w:rsidRPr="00222025">
        <w:rPr>
          <w:rStyle w:val="IntenseReference"/>
        </w:rPr>
        <w:t xml:space="preserve"> for churners).</w:t>
      </w:r>
    </w:p>
    <w:p w14:paraId="2EC90F27" w14:textId="77777777" w:rsidR="008B20C3" w:rsidRPr="00222025" w:rsidRDefault="00000000">
      <w:pPr>
        <w:pStyle w:val="ListParagraph"/>
        <w:numPr>
          <w:ilvl w:val="0"/>
          <w:numId w:val="2"/>
        </w:numPr>
        <w:spacing w:after="80"/>
        <w:rPr>
          <w:rStyle w:val="IntenseReference"/>
        </w:rPr>
      </w:pPr>
      <w:r w:rsidRPr="00222025">
        <w:rPr>
          <w:rStyle w:val="IntenseReference"/>
        </w:rPr>
        <w:t>Assumed average remaining tenure lost per unprevented churn: 12 months → ~$780 revenue at risk per churner.</w:t>
      </w:r>
    </w:p>
    <w:p w14:paraId="72570DDA" w14:textId="77777777" w:rsidR="008B20C3" w:rsidRPr="00222025" w:rsidRDefault="00000000">
      <w:pPr>
        <w:pStyle w:val="ListParagraph"/>
        <w:numPr>
          <w:ilvl w:val="0"/>
          <w:numId w:val="2"/>
        </w:numPr>
        <w:spacing w:after="80"/>
        <w:rPr>
          <w:rStyle w:val="IntenseReference"/>
        </w:rPr>
      </w:pPr>
      <w:r w:rsidRPr="00222025">
        <w:rPr>
          <w:rStyle w:val="IntenseReference"/>
        </w:rPr>
        <w:lastRenderedPageBreak/>
        <w:t>Assumed cost of a retention intervention (discount + agent time): ~$50 per contacted customer.</w:t>
      </w:r>
    </w:p>
    <w:p w14:paraId="10BB575D" w14:textId="77777777" w:rsidR="008B20C3" w:rsidRPr="00222025" w:rsidRDefault="00000000">
      <w:pPr>
        <w:pStyle w:val="ListParagraph"/>
        <w:numPr>
          <w:ilvl w:val="0"/>
          <w:numId w:val="2"/>
        </w:numPr>
        <w:spacing w:after="80"/>
        <w:rPr>
          <w:rStyle w:val="IntenseReference"/>
        </w:rPr>
      </w:pPr>
      <w:r w:rsidRPr="00222025">
        <w:rPr>
          <w:rStyle w:val="IntenseReference"/>
        </w:rPr>
        <w:t>On a monthly cohort of 1,000 active subscribers, roughly 265 are actual churn risks (26.5% base rate, Table 5.1).</w:t>
      </w:r>
    </w:p>
    <w:p w14:paraId="7E13454D" w14:textId="77777777" w:rsidR="008B20C3" w:rsidRPr="00222025" w:rsidRDefault="00000000">
      <w:pPr>
        <w:pStyle w:val="ListParagraph"/>
        <w:numPr>
          <w:ilvl w:val="0"/>
          <w:numId w:val="2"/>
        </w:numPr>
        <w:spacing w:after="80"/>
        <w:rPr>
          <w:rStyle w:val="IntenseReference"/>
        </w:rPr>
      </w:pPr>
      <w:r w:rsidRPr="00222025">
        <w:rPr>
          <w:rStyle w:val="IntenseReference"/>
        </w:rPr>
        <w:t>At 80% recall / 70% precision: ~212 true churners caught (0.80 × 265), requiring ~303 total contacts (212 ÷ 0.70) to hit that precision, of which ~91 are false positives.</w:t>
      </w:r>
    </w:p>
    <w:p w14:paraId="445695DB" w14:textId="77777777" w:rsidR="008B20C3" w:rsidRPr="00222025" w:rsidRDefault="00000000">
      <w:pPr>
        <w:pStyle w:val="ListParagraph"/>
        <w:numPr>
          <w:ilvl w:val="0"/>
          <w:numId w:val="2"/>
        </w:numPr>
        <w:spacing w:after="80"/>
        <w:rPr>
          <w:rStyle w:val="IntenseReference"/>
        </w:rPr>
      </w:pPr>
      <w:r w:rsidRPr="00222025">
        <w:rPr>
          <w:rStyle w:val="IntenseReference"/>
        </w:rPr>
        <w:t>Rough monthly value: (212 saved × $780 revenue at risk) − (303 contacts × $50 cost) ≈ $165,360 − $15,150 ≈ $150,210 net, before accounting for the fraction of contacted customers who would have stayed anyway even without intervention (a save-rate assumption this illustration does not attempt to estimate).</w:t>
      </w:r>
    </w:p>
    <w:p w14:paraId="48BFC834" w14:textId="77777777" w:rsidR="008B20C3" w:rsidRPr="00222025" w:rsidRDefault="00000000">
      <w:pPr>
        <w:spacing w:after="160" w:line="300" w:lineRule="auto"/>
        <w:rPr>
          <w:rStyle w:val="IntenseReference"/>
        </w:rPr>
      </w:pPr>
      <w:r w:rsidRPr="00222025">
        <w:rPr>
          <w:rStyle w:val="IntenseReference"/>
        </w:rPr>
        <w:t>This is a directional sanity check, not a financial forecast — it exists to show that the precision floor in Section 8.2 has a real cost attached (each false positive costs ~$50), and that the business case is sensitive to intervention cost and save-rate assumptions that need real numbers from the business, not this report.</w:t>
      </w:r>
    </w:p>
    <w:p w14:paraId="00703DF9" w14:textId="77777777" w:rsidR="008B20C3" w:rsidRPr="00222025" w:rsidRDefault="00000000">
      <w:pPr>
        <w:pStyle w:val="Heading2"/>
        <w:spacing w:before="260" w:after="140"/>
        <w:rPr>
          <w:rStyle w:val="IntenseReference"/>
        </w:rPr>
      </w:pPr>
      <w:bookmarkStart w:id="6" w:name="_Toc237792686"/>
      <w:r w:rsidRPr="00222025">
        <w:rPr>
          <w:rStyle w:val="IntenseReference"/>
        </w:rPr>
        <w:t>2.2 Inputs available</w:t>
      </w:r>
      <w:bookmarkEnd w:id="6"/>
    </w:p>
    <w:p w14:paraId="6D062D15" w14:textId="77777777" w:rsidR="008B20C3" w:rsidRPr="00222025" w:rsidRDefault="00000000">
      <w:pPr>
        <w:spacing w:after="160" w:line="300" w:lineRule="auto"/>
        <w:rPr>
          <w:rStyle w:val="IntenseReference"/>
        </w:rPr>
      </w:pPr>
      <w:r w:rsidRPr="00222025">
        <w:rPr>
          <w:rStyle w:val="IntenseReference"/>
        </w:rPr>
        <w:t>The dataset provides one row per subscriber, with:</w:t>
      </w:r>
    </w:p>
    <w:p w14:paraId="20FC5E3E" w14:textId="77777777" w:rsidR="008B20C3" w:rsidRPr="00222025" w:rsidRDefault="00000000">
      <w:pPr>
        <w:pStyle w:val="ListParagraph"/>
        <w:numPr>
          <w:ilvl w:val="0"/>
          <w:numId w:val="2"/>
        </w:numPr>
        <w:spacing w:after="80"/>
        <w:rPr>
          <w:rStyle w:val="IntenseReference"/>
        </w:rPr>
      </w:pPr>
      <w:r w:rsidRPr="00222025">
        <w:rPr>
          <w:rStyle w:val="IntenseReference"/>
        </w:rPr>
        <w:t>Demographic attributes: gender, senior citizen flag, partner and dependent status.</w:t>
      </w:r>
    </w:p>
    <w:p w14:paraId="0CB826DA" w14:textId="77777777" w:rsidR="008B20C3" w:rsidRPr="00222025" w:rsidRDefault="00000000">
      <w:pPr>
        <w:pStyle w:val="ListParagraph"/>
        <w:numPr>
          <w:ilvl w:val="0"/>
          <w:numId w:val="2"/>
        </w:numPr>
        <w:spacing w:after="80"/>
        <w:rPr>
          <w:rStyle w:val="IntenseReference"/>
        </w:rPr>
      </w:pPr>
      <w:r w:rsidRPr="00222025">
        <w:rPr>
          <w:rStyle w:val="IntenseReference"/>
        </w:rPr>
        <w:t>Account attributes: tenure (months with the company), contract type, paperless billing, payment method, monthly charges, total charges.</w:t>
      </w:r>
    </w:p>
    <w:p w14:paraId="0FB720C3" w14:textId="77777777" w:rsidR="008B20C3" w:rsidRPr="00222025" w:rsidRDefault="00000000">
      <w:pPr>
        <w:pStyle w:val="ListParagraph"/>
        <w:numPr>
          <w:ilvl w:val="0"/>
          <w:numId w:val="2"/>
        </w:numPr>
        <w:spacing w:after="80"/>
        <w:rPr>
          <w:rStyle w:val="IntenseReference"/>
        </w:rPr>
      </w:pPr>
      <w:r w:rsidRPr="00222025">
        <w:rPr>
          <w:rStyle w:val="IntenseReference"/>
        </w:rPr>
        <w:t>Service attributes: phone service, multiple lines, internet service type (DSL / fibre / none), online security, online backup, device protection, tech support, streaming TV, streaming movies.</w:t>
      </w:r>
    </w:p>
    <w:p w14:paraId="7F7088B7" w14:textId="77777777" w:rsidR="008B20C3" w:rsidRPr="00222025" w:rsidRDefault="00000000">
      <w:pPr>
        <w:pStyle w:val="ListParagraph"/>
        <w:numPr>
          <w:ilvl w:val="0"/>
          <w:numId w:val="2"/>
        </w:numPr>
        <w:spacing w:after="80"/>
        <w:rPr>
          <w:rStyle w:val="IntenseReference"/>
        </w:rPr>
      </w:pPr>
      <w:r w:rsidRPr="00222025">
        <w:rPr>
          <w:rStyle w:val="IntenseReference"/>
        </w:rPr>
        <w:t>Target label: Churn (Yes/No).</w:t>
      </w:r>
    </w:p>
    <w:p w14:paraId="1B39D74F" w14:textId="77777777" w:rsidR="008B20C3" w:rsidRPr="00222025" w:rsidRDefault="00000000">
      <w:pPr>
        <w:pStyle w:val="Heading2"/>
        <w:spacing w:before="260" w:after="140"/>
        <w:rPr>
          <w:rStyle w:val="IntenseReference"/>
        </w:rPr>
      </w:pPr>
      <w:bookmarkStart w:id="7" w:name="_Toc237792687"/>
      <w:r w:rsidRPr="00222025">
        <w:rPr>
          <w:rStyle w:val="IntenseReference"/>
        </w:rPr>
        <w:t>2.3 Key challenges</w:t>
      </w:r>
      <w:bookmarkEnd w:id="7"/>
    </w:p>
    <w:p w14:paraId="1505AADF" w14:textId="77777777" w:rsidR="008B20C3" w:rsidRPr="00222025" w:rsidRDefault="00000000">
      <w:pPr>
        <w:pStyle w:val="ListParagraph"/>
        <w:numPr>
          <w:ilvl w:val="0"/>
          <w:numId w:val="2"/>
        </w:numPr>
        <w:spacing w:after="80"/>
        <w:rPr>
          <w:rStyle w:val="IntenseReference"/>
        </w:rPr>
      </w:pPr>
      <w:r w:rsidRPr="00222025">
        <w:rPr>
          <w:rStyle w:val="IntenseReference"/>
        </w:rPr>
        <w:t>Class imbalance — only 26.5% of records are churn cases (1,869 of 7,043), so a naive model can score well on accuracy while missing most actual churners. This has to be corrected for in the pipeline, not ignored.</w:t>
      </w:r>
    </w:p>
    <w:p w14:paraId="1578F732" w14:textId="77777777" w:rsidR="008B20C3" w:rsidRPr="00222025" w:rsidRDefault="00000000">
      <w:pPr>
        <w:pStyle w:val="ListParagraph"/>
        <w:numPr>
          <w:ilvl w:val="0"/>
          <w:numId w:val="2"/>
        </w:numPr>
        <w:spacing w:after="80"/>
        <w:rPr>
          <w:rStyle w:val="IntenseReference"/>
        </w:rPr>
      </w:pPr>
      <w:r w:rsidRPr="00222025">
        <w:rPr>
          <w:rStyle w:val="IntenseReference"/>
        </w:rPr>
        <w:t>Mixed data types — the dataset mixes numeric fields (tenure, charges) with categorical fields (contract, payment method, service add-ons), which need different preprocessing treatment.</w:t>
      </w:r>
    </w:p>
    <w:p w14:paraId="5CAFE5E5" w14:textId="77777777" w:rsidR="008B20C3" w:rsidRPr="00222025" w:rsidRDefault="00000000">
      <w:pPr>
        <w:pStyle w:val="ListParagraph"/>
        <w:numPr>
          <w:ilvl w:val="0"/>
          <w:numId w:val="2"/>
        </w:numPr>
        <w:spacing w:after="80"/>
        <w:rPr>
          <w:rStyle w:val="IntenseReference"/>
        </w:rPr>
      </w:pPr>
      <w:r w:rsidRPr="00222025">
        <w:rPr>
          <w:rStyle w:val="IntenseReference"/>
        </w:rPr>
        <w:t xml:space="preserve">Data leakage risk — </w:t>
      </w:r>
      <w:proofErr w:type="spellStart"/>
      <w:r w:rsidRPr="00222025">
        <w:rPr>
          <w:rStyle w:val="IntenseReference"/>
        </w:rPr>
        <w:t>TotalCharges</w:t>
      </w:r>
      <w:proofErr w:type="spellEnd"/>
      <w:r w:rsidRPr="00222025">
        <w:rPr>
          <w:rStyle w:val="IntenseReference"/>
        </w:rPr>
        <w:t xml:space="preserve"> is mathematically derived from tenure and </w:t>
      </w:r>
      <w:proofErr w:type="spellStart"/>
      <w:r w:rsidRPr="00222025">
        <w:rPr>
          <w:rStyle w:val="IntenseReference"/>
        </w:rPr>
        <w:t>MonthlyCharges</w:t>
      </w:r>
      <w:proofErr w:type="spellEnd"/>
      <w:r w:rsidRPr="00222025">
        <w:rPr>
          <w:rStyle w:val="IntenseReference"/>
        </w:rPr>
        <w:t>; any preprocessing or resampling step must be fit on the training fold only, never on the full dataset, or the reported performance will be optimistic and wrong in production.</w:t>
      </w:r>
    </w:p>
    <w:p w14:paraId="63136CE3" w14:textId="77777777" w:rsidR="008B20C3" w:rsidRPr="00222025" w:rsidRDefault="00000000">
      <w:pPr>
        <w:pStyle w:val="ListParagraph"/>
        <w:numPr>
          <w:ilvl w:val="0"/>
          <w:numId w:val="2"/>
        </w:numPr>
        <w:spacing w:after="80"/>
        <w:rPr>
          <w:rStyle w:val="IntenseReference"/>
        </w:rPr>
      </w:pPr>
      <w:r w:rsidRPr="00222025">
        <w:rPr>
          <w:rStyle w:val="IntenseReference"/>
        </w:rPr>
        <w:t>Interpretability requirement — a churn prediction that a retention agent cannot explain to a customer is of limited practical use, so the model needs an explainability layer, not just a probability score.</w:t>
      </w:r>
    </w:p>
    <w:p w14:paraId="7B45337A" w14:textId="77777777" w:rsidR="008B20C3" w:rsidRPr="00222025" w:rsidRDefault="00000000">
      <w:pPr>
        <w:pStyle w:val="ListParagraph"/>
        <w:numPr>
          <w:ilvl w:val="0"/>
          <w:numId w:val="2"/>
        </w:numPr>
        <w:spacing w:after="80"/>
        <w:rPr>
          <w:rStyle w:val="IntenseReference"/>
        </w:rPr>
      </w:pPr>
      <w:r w:rsidRPr="00222025">
        <w:rPr>
          <w:rStyle w:val="IntenseReference"/>
        </w:rPr>
        <w:t>Regulatory constraint — subscriber data of this kind falls under India's DPDP Act, 2023, which affects how data can be stored, processed and used for automated decisions, and this has to be planned for, not bolted on afterward.</w:t>
      </w:r>
    </w:p>
    <w:p w14:paraId="28D4C88E" w14:textId="77777777" w:rsidR="008B20C3" w:rsidRPr="00222025" w:rsidRDefault="00000000">
      <w:pPr>
        <w:pStyle w:val="Heading2"/>
        <w:spacing w:before="260" w:after="140"/>
        <w:rPr>
          <w:rStyle w:val="IntenseReference"/>
        </w:rPr>
      </w:pPr>
      <w:bookmarkStart w:id="8" w:name="_Toc237792688"/>
      <w:r w:rsidRPr="00222025">
        <w:rPr>
          <w:rStyle w:val="IntenseReference"/>
        </w:rPr>
        <w:t>2.4 Expected outcome</w:t>
      </w:r>
      <w:bookmarkEnd w:id="8"/>
    </w:p>
    <w:p w14:paraId="061EC588" w14:textId="77777777" w:rsidR="008B20C3" w:rsidRPr="00222025" w:rsidRDefault="00000000">
      <w:pPr>
        <w:spacing w:after="160" w:line="300" w:lineRule="auto"/>
        <w:rPr>
          <w:rStyle w:val="IntenseReference"/>
        </w:rPr>
      </w:pPr>
      <w:r w:rsidRPr="00222025">
        <w:rPr>
          <w:rStyle w:val="IntenseReference"/>
        </w:rPr>
        <w:t xml:space="preserve">A trained classification model that flags at-risk subscribers with a recall of at least 80% on the churn class (i.e. it catches at least 8 in 10 subscribers who are actually going to </w:t>
      </w:r>
      <w:r w:rsidRPr="00222025">
        <w:rPr>
          <w:rStyle w:val="IntenseReference"/>
        </w:rPr>
        <w:lastRenderedPageBreak/>
        <w:t>churn), packaged behind an API that a CRM system can call, with SHAP-based explanations attached to each prediction so a retention agent knows why a customer was flagged.</w:t>
      </w:r>
    </w:p>
    <w:p w14:paraId="658CB2FE" w14:textId="77777777" w:rsidR="008B20C3" w:rsidRPr="00222025" w:rsidRDefault="00000000">
      <w:pPr>
        <w:pStyle w:val="Heading1"/>
        <w:pBdr>
          <w:bottom w:val="single" w:sz="12" w:space="4" w:color="0891B2"/>
        </w:pBdr>
        <w:spacing w:before="360" w:after="200"/>
        <w:rPr>
          <w:rStyle w:val="IntenseReference"/>
        </w:rPr>
      </w:pPr>
      <w:bookmarkStart w:id="9" w:name="_Toc237792689"/>
      <w:r w:rsidRPr="00222025">
        <w:rPr>
          <w:rStyle w:val="IntenseReference"/>
        </w:rPr>
        <w:t>3. Objectives</w:t>
      </w:r>
      <w:bookmarkEnd w:id="9"/>
    </w:p>
    <w:p w14:paraId="61BBAA24" w14:textId="77777777" w:rsidR="008B20C3" w:rsidRPr="00222025" w:rsidRDefault="00000000">
      <w:pPr>
        <w:pStyle w:val="ListParagraph"/>
        <w:numPr>
          <w:ilvl w:val="0"/>
          <w:numId w:val="3"/>
        </w:numPr>
        <w:spacing w:after="80"/>
        <w:rPr>
          <w:rStyle w:val="IntenseReference"/>
        </w:rPr>
      </w:pPr>
      <w:r w:rsidRPr="00222025">
        <w:rPr>
          <w:rStyle w:val="IntenseReference"/>
        </w:rPr>
        <w:t>Explore and quantify the churn drivers in the dataset (contract type, service bundle, tenure, pricing) before any modelling begins, so that modelling decisions are evidence-based rather than assumed.</w:t>
      </w:r>
    </w:p>
    <w:p w14:paraId="777B082F" w14:textId="77777777" w:rsidR="008B20C3" w:rsidRPr="00222025" w:rsidRDefault="00000000">
      <w:pPr>
        <w:pStyle w:val="ListParagraph"/>
        <w:numPr>
          <w:ilvl w:val="0"/>
          <w:numId w:val="3"/>
        </w:numPr>
        <w:spacing w:after="80"/>
        <w:rPr>
          <w:rStyle w:val="IntenseReference"/>
        </w:rPr>
      </w:pPr>
      <w:r w:rsidRPr="00222025">
        <w:rPr>
          <w:rStyle w:val="IntenseReference"/>
        </w:rPr>
        <w:t>Build a leakage-safe preprocessing pipeline (encoding, scaling, class-imbalance correction) using scikit-learn Pipeline objects, so preprocessing steps are reproducible and cannot silently see test data.</w:t>
      </w:r>
    </w:p>
    <w:p w14:paraId="45F5DC80" w14:textId="77777777" w:rsidR="008B20C3" w:rsidRPr="00222025" w:rsidRDefault="00000000">
      <w:pPr>
        <w:pStyle w:val="ListParagraph"/>
        <w:numPr>
          <w:ilvl w:val="0"/>
          <w:numId w:val="3"/>
        </w:numPr>
        <w:spacing w:after="80"/>
        <w:rPr>
          <w:rStyle w:val="IntenseReference"/>
        </w:rPr>
      </w:pPr>
      <w:r w:rsidRPr="00222025">
        <w:rPr>
          <w:rStyle w:val="IntenseReference"/>
        </w:rPr>
        <w:t>Train and benchmark at least three model families (logistic regression as baseline, random forest, gradient-boosted trees) and select the best performer against a recall-first metric, since missing a churner is more costly than a false alarm.</w:t>
      </w:r>
    </w:p>
    <w:p w14:paraId="0418E3DC" w14:textId="77777777" w:rsidR="008B20C3" w:rsidRPr="00222025" w:rsidRDefault="00000000">
      <w:pPr>
        <w:pStyle w:val="ListParagraph"/>
        <w:numPr>
          <w:ilvl w:val="0"/>
          <w:numId w:val="3"/>
        </w:numPr>
        <w:spacing w:after="80"/>
        <w:rPr>
          <w:rStyle w:val="IntenseReference"/>
        </w:rPr>
      </w:pPr>
      <w:r w:rsidRPr="00222025">
        <w:rPr>
          <w:rStyle w:val="IntenseReference"/>
        </w:rPr>
        <w:t>Reach a minimum recall of 80% on the churn class on held-out data, while enforcing a precision floor of 70% (equivalently, a minimum F1-score of ~74%) so retention outreach is not wasted on excessive false positives — see Section 8.2 for the reasoning behind these specific numbers.</w:t>
      </w:r>
    </w:p>
    <w:p w14:paraId="49EA1BBB" w14:textId="77777777" w:rsidR="008B20C3" w:rsidRPr="00222025" w:rsidRDefault="00000000">
      <w:pPr>
        <w:pStyle w:val="ListParagraph"/>
        <w:numPr>
          <w:ilvl w:val="0"/>
          <w:numId w:val="3"/>
        </w:numPr>
        <w:spacing w:after="80"/>
        <w:rPr>
          <w:rStyle w:val="IntenseReference"/>
        </w:rPr>
      </w:pPr>
      <w:r w:rsidRPr="00222025">
        <w:rPr>
          <w:rStyle w:val="IntenseReference"/>
        </w:rPr>
        <w:t>Attach an explainability layer (SHAP) so predictions are auditable and usable by non-technical staff.</w:t>
      </w:r>
    </w:p>
    <w:p w14:paraId="3536A03D" w14:textId="77777777" w:rsidR="008B20C3" w:rsidRPr="00222025" w:rsidRDefault="00000000">
      <w:pPr>
        <w:pStyle w:val="ListParagraph"/>
        <w:numPr>
          <w:ilvl w:val="0"/>
          <w:numId w:val="3"/>
        </w:numPr>
        <w:spacing w:after="80"/>
        <w:rPr>
          <w:rStyle w:val="IntenseReference"/>
        </w:rPr>
      </w:pPr>
      <w:r w:rsidRPr="00222025">
        <w:rPr>
          <w:rStyle w:val="IntenseReference"/>
        </w:rPr>
        <w:t>Package the model behind a served API and define a monitoring/drift plan so performance degradation after deployment is caught early, not discovered months later in falling retention numbers.</w:t>
      </w:r>
    </w:p>
    <w:p w14:paraId="0BAE0CB2" w14:textId="77777777" w:rsidR="008B20C3" w:rsidRPr="00222025" w:rsidRDefault="00000000">
      <w:pPr>
        <w:pStyle w:val="Heading1"/>
        <w:pBdr>
          <w:bottom w:val="single" w:sz="12" w:space="4" w:color="0891B2"/>
        </w:pBdr>
        <w:spacing w:before="360" w:after="200"/>
        <w:rPr>
          <w:rStyle w:val="IntenseReference"/>
        </w:rPr>
      </w:pPr>
      <w:bookmarkStart w:id="10" w:name="_Toc237792690"/>
      <w:r w:rsidRPr="00222025">
        <w:rPr>
          <w:rStyle w:val="IntenseReference"/>
        </w:rPr>
        <w:t>4. Research &amp; Ideation</w:t>
      </w:r>
      <w:bookmarkEnd w:id="10"/>
    </w:p>
    <w:p w14:paraId="2F29B58C" w14:textId="77777777" w:rsidR="008B20C3" w:rsidRPr="00222025" w:rsidRDefault="00000000">
      <w:pPr>
        <w:spacing w:after="160" w:line="300" w:lineRule="auto"/>
        <w:rPr>
          <w:rStyle w:val="IntenseReference"/>
        </w:rPr>
      </w:pPr>
      <w:r w:rsidRPr="00222025">
        <w:rPr>
          <w:rStyle w:val="IntenseReference"/>
        </w:rPr>
        <w:t>A brief review of publicly documented churn-modelling practice in telecom informed the approach taken here:</w:t>
      </w:r>
    </w:p>
    <w:p w14:paraId="6E268E21" w14:textId="77777777" w:rsidR="008B20C3" w:rsidRPr="00222025" w:rsidRDefault="00000000">
      <w:pPr>
        <w:pStyle w:val="ListParagraph"/>
        <w:numPr>
          <w:ilvl w:val="0"/>
          <w:numId w:val="2"/>
        </w:numPr>
        <w:spacing w:after="80"/>
        <w:rPr>
          <w:rStyle w:val="IntenseReference"/>
        </w:rPr>
      </w:pPr>
      <w:r w:rsidRPr="00222025">
        <w:rPr>
          <w:rStyle w:val="IntenseReference"/>
        </w:rPr>
        <w:t>Industry benchmarks consistently show month-to-month contracts and fibre-optic internet plans as the strongest churn predictors, which matches what is found in this dataset (Section 5) — this cross-check gives confidence the dataset is representative rather than an artificial toy set.</w:t>
      </w:r>
    </w:p>
    <w:p w14:paraId="582772C3" w14:textId="77777777" w:rsidR="008B20C3" w:rsidRPr="00222025" w:rsidRDefault="00000000">
      <w:pPr>
        <w:pStyle w:val="ListParagraph"/>
        <w:numPr>
          <w:ilvl w:val="0"/>
          <w:numId w:val="2"/>
        </w:numPr>
        <w:spacing w:after="80"/>
        <w:rPr>
          <w:rStyle w:val="IntenseReference"/>
        </w:rPr>
      </w:pPr>
      <w:r w:rsidRPr="00222025">
        <w:rPr>
          <w:rStyle w:val="IntenseReference"/>
        </w:rPr>
        <w:t>Gradient-boosted tree ensembles (</w:t>
      </w:r>
      <w:proofErr w:type="spellStart"/>
      <w:r w:rsidRPr="00222025">
        <w:rPr>
          <w:rStyle w:val="IntenseReference"/>
        </w:rPr>
        <w:t>XGBoost</w:t>
      </w:r>
      <w:proofErr w:type="spellEnd"/>
      <w:r w:rsidRPr="00222025">
        <w:rPr>
          <w:rStyle w:val="IntenseReference"/>
        </w:rPr>
        <w:t xml:space="preserve">, </w:t>
      </w:r>
      <w:proofErr w:type="spellStart"/>
      <w:r w:rsidRPr="00222025">
        <w:rPr>
          <w:rStyle w:val="IntenseReference"/>
        </w:rPr>
        <w:t>LightGBM</w:t>
      </w:r>
      <w:proofErr w:type="spellEnd"/>
      <w:r w:rsidRPr="00222025">
        <w:rPr>
          <w:rStyle w:val="IntenseReference"/>
        </w:rPr>
        <w:t>) are the commonly reported best performers for tabular churn data, ahead of both plain logistic regression and untuned random forests, because they handle non-linear interactions between tenure, price and contract type well.</w:t>
      </w:r>
    </w:p>
    <w:p w14:paraId="7C6A7688" w14:textId="77777777" w:rsidR="008B20C3" w:rsidRPr="00222025" w:rsidRDefault="00000000">
      <w:pPr>
        <w:pStyle w:val="ListParagraph"/>
        <w:numPr>
          <w:ilvl w:val="0"/>
          <w:numId w:val="2"/>
        </w:numPr>
        <w:spacing w:after="80"/>
        <w:rPr>
          <w:rStyle w:val="IntenseReference"/>
        </w:rPr>
      </w:pPr>
      <w:r w:rsidRPr="00222025">
        <w:rPr>
          <w:rStyle w:val="IntenseReference"/>
        </w:rPr>
        <w:t>SMOTE (Synthetic Minority Oversampling) is the standard, well-documented technique for the class-imbalance problem seen here, provided it is applied only inside the training fold to avoid leaking synthetic points into the test set.</w:t>
      </w:r>
    </w:p>
    <w:p w14:paraId="1B523B7D" w14:textId="77777777" w:rsidR="008B20C3" w:rsidRPr="00222025" w:rsidRDefault="00000000">
      <w:pPr>
        <w:pStyle w:val="ListParagraph"/>
        <w:numPr>
          <w:ilvl w:val="0"/>
          <w:numId w:val="2"/>
        </w:numPr>
        <w:spacing w:after="80"/>
        <w:rPr>
          <w:rStyle w:val="IntenseReference"/>
        </w:rPr>
      </w:pPr>
      <w:r w:rsidRPr="00222025">
        <w:rPr>
          <w:rStyle w:val="IntenseReference"/>
        </w:rPr>
        <w:t>SHAP is the current standard for explaining tree-based model outputs at both the global (which features matter overall) and local (why this specific customer was flagged) level, which fits the requirement that retention agents be able to justify an intervention.</w:t>
      </w:r>
    </w:p>
    <w:p w14:paraId="3CC0FC75" w14:textId="77777777" w:rsidR="008B20C3" w:rsidRPr="00222025" w:rsidRDefault="00000000">
      <w:pPr>
        <w:spacing w:after="160" w:line="300" w:lineRule="auto"/>
        <w:rPr>
          <w:rStyle w:val="IntenseReference"/>
        </w:rPr>
      </w:pPr>
      <w:r w:rsidRPr="00222025">
        <w:rPr>
          <w:rStyle w:val="IntenseReference"/>
        </w:rPr>
        <w:t xml:space="preserve">This is a stated basis for the modelling choices in Section 8, not a claim of exhaustive academic review. Secondary literature insights have been cross-verified against baseline empirical distributions from the IBM dataset to ensure operational validity — the contract-type and fibre-vs-DSL churn patterns found in Section 5 independently </w:t>
      </w:r>
      <w:r w:rsidRPr="00222025">
        <w:rPr>
          <w:rStyle w:val="IntenseReference"/>
        </w:rPr>
        <w:lastRenderedPageBreak/>
        <w:t>corroborate the general industry pattern cited here, which is the main check available at the planning stage.</w:t>
      </w:r>
    </w:p>
    <w:p w14:paraId="52A1EA5F" w14:textId="77777777" w:rsidR="008B20C3" w:rsidRPr="00222025" w:rsidRDefault="00000000">
      <w:pPr>
        <w:pStyle w:val="Heading1"/>
        <w:pBdr>
          <w:bottom w:val="single" w:sz="12" w:space="4" w:color="0891B2"/>
        </w:pBdr>
        <w:spacing w:before="360" w:after="200"/>
        <w:rPr>
          <w:rStyle w:val="IntenseReference"/>
        </w:rPr>
      </w:pPr>
      <w:bookmarkStart w:id="11" w:name="_Toc237792691"/>
      <w:r w:rsidRPr="00222025">
        <w:rPr>
          <w:rStyle w:val="IntenseReference"/>
        </w:rPr>
        <w:t>5. Data Exploration: Key Findings</w:t>
      </w:r>
      <w:bookmarkEnd w:id="11"/>
    </w:p>
    <w:p w14:paraId="28A91E7F" w14:textId="77777777" w:rsidR="008B20C3" w:rsidRPr="00222025" w:rsidRDefault="00000000">
      <w:pPr>
        <w:spacing w:after="160" w:line="300" w:lineRule="auto"/>
        <w:rPr>
          <w:rStyle w:val="IntenseReference"/>
        </w:rPr>
      </w:pPr>
      <w:r w:rsidRPr="00222025">
        <w:rPr>
          <w:rStyle w:val="IntenseReference"/>
        </w:rPr>
        <w:t>Before committing to a modelling approach, the dataset was profiled to confirm where the churn signal actually lives. Four findings, summarised below, directly shape the plan in later sections.</w:t>
      </w:r>
    </w:p>
    <w:p w14:paraId="7B03BBC2" w14:textId="77777777" w:rsidR="008B20C3" w:rsidRPr="00222025" w:rsidRDefault="00000000">
      <w:pPr>
        <w:pStyle w:val="Heading2"/>
        <w:spacing w:before="260" w:after="140"/>
        <w:rPr>
          <w:rStyle w:val="IntenseReference"/>
        </w:rPr>
      </w:pPr>
      <w:bookmarkStart w:id="12" w:name="_Toc237792692"/>
      <w:r w:rsidRPr="00222025">
        <w:rPr>
          <w:rStyle w:val="IntenseReference"/>
        </w:rPr>
        <w:t>5.1 Class balance</w:t>
      </w:r>
      <w:bookmarkEnd w:id="12"/>
    </w:p>
    <w:p w14:paraId="59470892" w14:textId="77777777" w:rsidR="008B20C3" w:rsidRPr="00222025" w:rsidRDefault="00000000">
      <w:pPr>
        <w:spacing w:after="160" w:line="300" w:lineRule="auto"/>
        <w:rPr>
          <w:rStyle w:val="IntenseReference"/>
        </w:rPr>
      </w:pPr>
      <w:r w:rsidRPr="00222025">
        <w:rPr>
          <w:rStyle w:val="IntenseReference"/>
        </w:rPr>
        <w:t xml:space="preserve">Of 7,043 subscriber records, 5,174 (73.5%) are retained customers and 1,869 (26.5%) are churners. This confirms class imbalance is real and non-trivial — it is not a small </w:t>
      </w:r>
      <w:proofErr w:type="gramStart"/>
      <w:r w:rsidRPr="00222025">
        <w:rPr>
          <w:rStyle w:val="IntenseReference"/>
        </w:rPr>
        <w:t>correction,</w:t>
      </w:r>
      <w:proofErr w:type="gramEnd"/>
      <w:r w:rsidRPr="00222025">
        <w:rPr>
          <w:rStyle w:val="IntenseReference"/>
        </w:rPr>
        <w:t xml:space="preserve"> it is a first-order design constraint for the modelling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8B20C3" w:rsidRPr="00222025" w14:paraId="56D365E7" w14:textId="77777777">
        <w:trPr>
          <w:tblHeader/>
        </w:trPr>
        <w:tc>
          <w:tcPr>
            <w:tcW w:w="4000" w:type="dxa"/>
            <w:shd w:val="clear" w:color="auto" w:fill="1E293B"/>
            <w:tcMar>
              <w:top w:w="80" w:type="dxa"/>
              <w:left w:w="100" w:type="dxa"/>
              <w:bottom w:w="80" w:type="dxa"/>
              <w:right w:w="100" w:type="dxa"/>
            </w:tcMar>
            <w:vAlign w:val="center"/>
          </w:tcPr>
          <w:p w14:paraId="1520B610" w14:textId="77777777" w:rsidR="008B20C3" w:rsidRPr="00222025" w:rsidRDefault="00000000">
            <w:pPr>
              <w:jc w:val="center"/>
              <w:rPr>
                <w:rStyle w:val="IntenseReference"/>
              </w:rPr>
            </w:pPr>
            <w:r w:rsidRPr="00222025">
              <w:rPr>
                <w:rStyle w:val="IntenseReference"/>
              </w:rPr>
              <w:t>Class</w:t>
            </w:r>
          </w:p>
        </w:tc>
        <w:tc>
          <w:tcPr>
            <w:tcW w:w="2680" w:type="dxa"/>
            <w:shd w:val="clear" w:color="auto" w:fill="1E293B"/>
            <w:tcMar>
              <w:top w:w="80" w:type="dxa"/>
              <w:left w:w="100" w:type="dxa"/>
              <w:bottom w:w="80" w:type="dxa"/>
              <w:right w:w="100" w:type="dxa"/>
            </w:tcMar>
            <w:vAlign w:val="center"/>
          </w:tcPr>
          <w:p w14:paraId="22F5424E" w14:textId="77777777" w:rsidR="008B20C3" w:rsidRPr="00222025" w:rsidRDefault="00000000">
            <w:pPr>
              <w:jc w:val="center"/>
              <w:rPr>
                <w:rStyle w:val="IntenseReference"/>
              </w:rPr>
            </w:pPr>
            <w:r w:rsidRPr="00222025">
              <w:rPr>
                <w:rStyle w:val="IntenseReference"/>
              </w:rPr>
              <w:t>Count</w:t>
            </w:r>
          </w:p>
        </w:tc>
        <w:tc>
          <w:tcPr>
            <w:tcW w:w="2680" w:type="dxa"/>
            <w:shd w:val="clear" w:color="auto" w:fill="1E293B"/>
            <w:tcMar>
              <w:top w:w="80" w:type="dxa"/>
              <w:left w:w="100" w:type="dxa"/>
              <w:bottom w:w="80" w:type="dxa"/>
              <w:right w:w="100" w:type="dxa"/>
            </w:tcMar>
            <w:vAlign w:val="center"/>
          </w:tcPr>
          <w:p w14:paraId="35FD708B" w14:textId="77777777" w:rsidR="008B20C3" w:rsidRPr="00222025" w:rsidRDefault="00000000">
            <w:pPr>
              <w:jc w:val="center"/>
              <w:rPr>
                <w:rStyle w:val="IntenseReference"/>
              </w:rPr>
            </w:pPr>
            <w:r w:rsidRPr="00222025">
              <w:rPr>
                <w:rStyle w:val="IntenseReference"/>
              </w:rPr>
              <w:t>Share</w:t>
            </w:r>
          </w:p>
        </w:tc>
      </w:tr>
      <w:tr w:rsidR="008B20C3" w:rsidRPr="00222025" w14:paraId="310DE52E" w14:textId="77777777">
        <w:tc>
          <w:tcPr>
            <w:tcW w:w="4000" w:type="dxa"/>
            <w:shd w:val="clear" w:color="auto" w:fill="F1F5F9"/>
            <w:tcMar>
              <w:top w:w="80" w:type="dxa"/>
              <w:left w:w="100" w:type="dxa"/>
              <w:bottom w:w="80" w:type="dxa"/>
              <w:right w:w="100" w:type="dxa"/>
            </w:tcMar>
            <w:vAlign w:val="center"/>
          </w:tcPr>
          <w:p w14:paraId="06F92DDB" w14:textId="77777777" w:rsidR="008B20C3" w:rsidRPr="00222025" w:rsidRDefault="00000000">
            <w:pPr>
              <w:rPr>
                <w:rStyle w:val="IntenseReference"/>
              </w:rPr>
            </w:pPr>
            <w:r w:rsidRPr="00222025">
              <w:rPr>
                <w:rStyle w:val="IntenseReference"/>
              </w:rPr>
              <w:t>Retained (No)</w:t>
            </w:r>
          </w:p>
        </w:tc>
        <w:tc>
          <w:tcPr>
            <w:tcW w:w="2680" w:type="dxa"/>
            <w:shd w:val="clear" w:color="auto" w:fill="F1F5F9"/>
            <w:tcMar>
              <w:top w:w="80" w:type="dxa"/>
              <w:left w:w="100" w:type="dxa"/>
              <w:bottom w:w="80" w:type="dxa"/>
              <w:right w:w="100" w:type="dxa"/>
            </w:tcMar>
            <w:vAlign w:val="center"/>
          </w:tcPr>
          <w:p w14:paraId="2060E35B" w14:textId="77777777" w:rsidR="008B20C3" w:rsidRPr="00222025" w:rsidRDefault="00000000">
            <w:pPr>
              <w:rPr>
                <w:rStyle w:val="IntenseReference"/>
              </w:rPr>
            </w:pPr>
            <w:r w:rsidRPr="00222025">
              <w:rPr>
                <w:rStyle w:val="IntenseReference"/>
              </w:rPr>
              <w:t>5,174</w:t>
            </w:r>
          </w:p>
        </w:tc>
        <w:tc>
          <w:tcPr>
            <w:tcW w:w="2680" w:type="dxa"/>
            <w:shd w:val="clear" w:color="auto" w:fill="F1F5F9"/>
            <w:tcMar>
              <w:top w:w="80" w:type="dxa"/>
              <w:left w:w="100" w:type="dxa"/>
              <w:bottom w:w="80" w:type="dxa"/>
              <w:right w:w="100" w:type="dxa"/>
            </w:tcMar>
            <w:vAlign w:val="center"/>
          </w:tcPr>
          <w:p w14:paraId="3FFEE7C2" w14:textId="77777777" w:rsidR="008B20C3" w:rsidRPr="00222025" w:rsidRDefault="00000000">
            <w:pPr>
              <w:rPr>
                <w:rStyle w:val="IntenseReference"/>
              </w:rPr>
            </w:pPr>
            <w:r w:rsidRPr="00222025">
              <w:rPr>
                <w:rStyle w:val="IntenseReference"/>
              </w:rPr>
              <w:t>73.5%</w:t>
            </w:r>
          </w:p>
        </w:tc>
      </w:tr>
      <w:tr w:rsidR="008B20C3" w:rsidRPr="00222025" w14:paraId="332411E9" w14:textId="77777777">
        <w:tc>
          <w:tcPr>
            <w:tcW w:w="4000" w:type="dxa"/>
            <w:shd w:val="clear" w:color="auto" w:fill="FFFFFF"/>
            <w:tcMar>
              <w:top w:w="80" w:type="dxa"/>
              <w:left w:w="100" w:type="dxa"/>
              <w:bottom w:w="80" w:type="dxa"/>
              <w:right w:w="100" w:type="dxa"/>
            </w:tcMar>
            <w:vAlign w:val="center"/>
          </w:tcPr>
          <w:p w14:paraId="7D1DD82B" w14:textId="77777777" w:rsidR="008B20C3" w:rsidRPr="00222025" w:rsidRDefault="00000000">
            <w:pPr>
              <w:rPr>
                <w:rStyle w:val="IntenseReference"/>
              </w:rPr>
            </w:pPr>
            <w:r w:rsidRPr="00222025">
              <w:rPr>
                <w:rStyle w:val="IntenseReference"/>
              </w:rPr>
              <w:t>Churned (Yes)</w:t>
            </w:r>
          </w:p>
        </w:tc>
        <w:tc>
          <w:tcPr>
            <w:tcW w:w="2680" w:type="dxa"/>
            <w:shd w:val="clear" w:color="auto" w:fill="FFFFFF"/>
            <w:tcMar>
              <w:top w:w="80" w:type="dxa"/>
              <w:left w:w="100" w:type="dxa"/>
              <w:bottom w:w="80" w:type="dxa"/>
              <w:right w:w="100" w:type="dxa"/>
            </w:tcMar>
            <w:vAlign w:val="center"/>
          </w:tcPr>
          <w:p w14:paraId="7CFAEE3E" w14:textId="77777777" w:rsidR="008B20C3" w:rsidRPr="00222025" w:rsidRDefault="00000000">
            <w:pPr>
              <w:rPr>
                <w:rStyle w:val="IntenseReference"/>
              </w:rPr>
            </w:pPr>
            <w:r w:rsidRPr="00222025">
              <w:rPr>
                <w:rStyle w:val="IntenseReference"/>
              </w:rPr>
              <w:t>1,869</w:t>
            </w:r>
          </w:p>
        </w:tc>
        <w:tc>
          <w:tcPr>
            <w:tcW w:w="2680" w:type="dxa"/>
            <w:shd w:val="clear" w:color="auto" w:fill="FFFFFF"/>
            <w:tcMar>
              <w:top w:w="80" w:type="dxa"/>
              <w:left w:w="100" w:type="dxa"/>
              <w:bottom w:w="80" w:type="dxa"/>
              <w:right w:w="100" w:type="dxa"/>
            </w:tcMar>
            <w:vAlign w:val="center"/>
          </w:tcPr>
          <w:p w14:paraId="4192ADD8" w14:textId="77777777" w:rsidR="008B20C3" w:rsidRPr="00222025" w:rsidRDefault="00000000">
            <w:pPr>
              <w:rPr>
                <w:rStyle w:val="IntenseReference"/>
              </w:rPr>
            </w:pPr>
            <w:r w:rsidRPr="00222025">
              <w:rPr>
                <w:rStyle w:val="IntenseReference"/>
              </w:rPr>
              <w:t>26.5%</w:t>
            </w:r>
          </w:p>
        </w:tc>
      </w:tr>
      <w:tr w:rsidR="008B20C3" w:rsidRPr="00222025" w14:paraId="5223F425" w14:textId="77777777">
        <w:tc>
          <w:tcPr>
            <w:tcW w:w="4000" w:type="dxa"/>
            <w:shd w:val="clear" w:color="auto" w:fill="F1F5F9"/>
            <w:tcMar>
              <w:top w:w="80" w:type="dxa"/>
              <w:left w:w="100" w:type="dxa"/>
              <w:bottom w:w="80" w:type="dxa"/>
              <w:right w:w="100" w:type="dxa"/>
            </w:tcMar>
            <w:vAlign w:val="center"/>
          </w:tcPr>
          <w:p w14:paraId="09CFD457" w14:textId="77777777" w:rsidR="008B20C3" w:rsidRPr="00222025" w:rsidRDefault="00000000">
            <w:pPr>
              <w:rPr>
                <w:rStyle w:val="IntenseReference"/>
              </w:rPr>
            </w:pPr>
            <w:r w:rsidRPr="00222025">
              <w:rPr>
                <w:rStyle w:val="IntenseReference"/>
              </w:rPr>
              <w:t>Total</w:t>
            </w:r>
          </w:p>
        </w:tc>
        <w:tc>
          <w:tcPr>
            <w:tcW w:w="2680" w:type="dxa"/>
            <w:shd w:val="clear" w:color="auto" w:fill="F1F5F9"/>
            <w:tcMar>
              <w:top w:w="80" w:type="dxa"/>
              <w:left w:w="100" w:type="dxa"/>
              <w:bottom w:w="80" w:type="dxa"/>
              <w:right w:w="100" w:type="dxa"/>
            </w:tcMar>
            <w:vAlign w:val="center"/>
          </w:tcPr>
          <w:p w14:paraId="0511C608" w14:textId="77777777" w:rsidR="008B20C3" w:rsidRPr="00222025" w:rsidRDefault="00000000">
            <w:pPr>
              <w:rPr>
                <w:rStyle w:val="IntenseReference"/>
              </w:rPr>
            </w:pPr>
            <w:r w:rsidRPr="00222025">
              <w:rPr>
                <w:rStyle w:val="IntenseReference"/>
              </w:rPr>
              <w:t>7,043</w:t>
            </w:r>
          </w:p>
        </w:tc>
        <w:tc>
          <w:tcPr>
            <w:tcW w:w="2680" w:type="dxa"/>
            <w:shd w:val="clear" w:color="auto" w:fill="F1F5F9"/>
            <w:tcMar>
              <w:top w:w="80" w:type="dxa"/>
              <w:left w:w="100" w:type="dxa"/>
              <w:bottom w:w="80" w:type="dxa"/>
              <w:right w:w="100" w:type="dxa"/>
            </w:tcMar>
            <w:vAlign w:val="center"/>
          </w:tcPr>
          <w:p w14:paraId="15E6CBC5" w14:textId="77777777" w:rsidR="008B20C3" w:rsidRPr="00222025" w:rsidRDefault="00000000">
            <w:pPr>
              <w:rPr>
                <w:rStyle w:val="IntenseReference"/>
              </w:rPr>
            </w:pPr>
            <w:r w:rsidRPr="00222025">
              <w:rPr>
                <w:rStyle w:val="IntenseReference"/>
              </w:rPr>
              <w:t>100%</w:t>
            </w:r>
          </w:p>
        </w:tc>
      </w:tr>
    </w:tbl>
    <w:p w14:paraId="485A1665" w14:textId="77777777" w:rsidR="008B20C3" w:rsidRPr="00222025" w:rsidRDefault="00000000">
      <w:pPr>
        <w:spacing w:before="80" w:after="240"/>
        <w:jc w:val="center"/>
        <w:rPr>
          <w:rStyle w:val="IntenseReference"/>
        </w:rPr>
      </w:pPr>
      <w:r w:rsidRPr="00222025">
        <w:rPr>
          <w:rStyle w:val="IntenseReference"/>
        </w:rPr>
        <w:t>Table 5.1 — Baseline churn class distribution (source: Telco Customer Churn dataset).</w:t>
      </w:r>
    </w:p>
    <w:p w14:paraId="4319EA32" w14:textId="77777777" w:rsidR="008B20C3" w:rsidRPr="00222025" w:rsidRDefault="00000000">
      <w:pPr>
        <w:spacing w:before="120" w:after="40"/>
        <w:jc w:val="center"/>
        <w:rPr>
          <w:rStyle w:val="IntenseReference"/>
        </w:rPr>
      </w:pPr>
      <w:r w:rsidRPr="00222025">
        <w:rPr>
          <w:rStyle w:val="IntenseReference"/>
          <w:noProof/>
        </w:rPr>
        <w:drawing>
          <wp:inline distT="0" distB="0" distL="0" distR="0" wp14:anchorId="4B964A61" wp14:editId="5FB05569">
            <wp:extent cx="3838575"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3686175"/>
                    </a:xfrm>
                    <a:prstGeom prst="rect">
                      <a:avLst/>
                    </a:prstGeom>
                  </pic:spPr>
                </pic:pic>
              </a:graphicData>
            </a:graphic>
          </wp:inline>
        </w:drawing>
      </w:r>
    </w:p>
    <w:p w14:paraId="543A6145" w14:textId="77777777" w:rsidR="008B20C3" w:rsidRPr="00222025" w:rsidRDefault="00000000">
      <w:pPr>
        <w:spacing w:before="80" w:after="240"/>
        <w:jc w:val="center"/>
        <w:rPr>
          <w:rStyle w:val="IntenseReference"/>
        </w:rPr>
      </w:pPr>
      <w:r w:rsidRPr="00222025">
        <w:rPr>
          <w:rStyle w:val="IntenseReference"/>
        </w:rPr>
        <w:t>Figure 5.1 — Churn class distribution, generated directly from the uploaded dataset.</w:t>
      </w:r>
    </w:p>
    <w:p w14:paraId="5EB27D7D" w14:textId="77777777" w:rsidR="008B20C3" w:rsidRPr="00222025" w:rsidRDefault="00000000">
      <w:pPr>
        <w:pStyle w:val="Heading2"/>
        <w:spacing w:before="260" w:after="140"/>
        <w:rPr>
          <w:rStyle w:val="IntenseReference"/>
        </w:rPr>
      </w:pPr>
      <w:bookmarkStart w:id="13" w:name="_Toc237792693"/>
      <w:r w:rsidRPr="00222025">
        <w:rPr>
          <w:rStyle w:val="IntenseReference"/>
        </w:rPr>
        <w:lastRenderedPageBreak/>
        <w:t>5.2 Churn by contract type</w:t>
      </w:r>
      <w:bookmarkEnd w:id="13"/>
    </w:p>
    <w:p w14:paraId="0085140F" w14:textId="77777777" w:rsidR="008B20C3" w:rsidRPr="00222025" w:rsidRDefault="00000000">
      <w:pPr>
        <w:spacing w:after="160" w:line="300" w:lineRule="auto"/>
        <w:rPr>
          <w:rStyle w:val="IntenseReference"/>
        </w:rPr>
      </w:pPr>
      <w:r w:rsidRPr="00222025">
        <w:rPr>
          <w:rStyle w:val="IntenseReference"/>
        </w:rPr>
        <w:t>Contract type is the single strongest lever identified in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8B20C3" w:rsidRPr="00222025" w14:paraId="0DE7695C" w14:textId="77777777">
        <w:trPr>
          <w:tblHeader/>
        </w:trPr>
        <w:tc>
          <w:tcPr>
            <w:tcW w:w="5680" w:type="dxa"/>
            <w:shd w:val="clear" w:color="auto" w:fill="1E293B"/>
            <w:tcMar>
              <w:top w:w="80" w:type="dxa"/>
              <w:left w:w="100" w:type="dxa"/>
              <w:bottom w:w="80" w:type="dxa"/>
              <w:right w:w="100" w:type="dxa"/>
            </w:tcMar>
            <w:vAlign w:val="center"/>
          </w:tcPr>
          <w:p w14:paraId="0C5F294B" w14:textId="77777777" w:rsidR="008B20C3" w:rsidRPr="00222025" w:rsidRDefault="00000000">
            <w:pPr>
              <w:jc w:val="center"/>
              <w:rPr>
                <w:rStyle w:val="IntenseReference"/>
              </w:rPr>
            </w:pPr>
            <w:r w:rsidRPr="00222025">
              <w:rPr>
                <w:rStyle w:val="IntenseReference"/>
              </w:rPr>
              <w:t>Contract type</w:t>
            </w:r>
          </w:p>
        </w:tc>
        <w:tc>
          <w:tcPr>
            <w:tcW w:w="3680" w:type="dxa"/>
            <w:shd w:val="clear" w:color="auto" w:fill="1E293B"/>
            <w:tcMar>
              <w:top w:w="80" w:type="dxa"/>
              <w:left w:w="100" w:type="dxa"/>
              <w:bottom w:w="80" w:type="dxa"/>
              <w:right w:w="100" w:type="dxa"/>
            </w:tcMar>
            <w:vAlign w:val="center"/>
          </w:tcPr>
          <w:p w14:paraId="39BFCB4F" w14:textId="77777777" w:rsidR="008B20C3" w:rsidRPr="00222025" w:rsidRDefault="00000000">
            <w:pPr>
              <w:jc w:val="center"/>
              <w:rPr>
                <w:rStyle w:val="IntenseReference"/>
              </w:rPr>
            </w:pPr>
            <w:r w:rsidRPr="00222025">
              <w:rPr>
                <w:rStyle w:val="IntenseReference"/>
              </w:rPr>
              <w:t>Churn rate</w:t>
            </w:r>
          </w:p>
        </w:tc>
      </w:tr>
      <w:tr w:rsidR="008B20C3" w:rsidRPr="00222025" w14:paraId="389F9584" w14:textId="77777777">
        <w:tc>
          <w:tcPr>
            <w:tcW w:w="5680" w:type="dxa"/>
            <w:shd w:val="clear" w:color="auto" w:fill="F1F5F9"/>
            <w:tcMar>
              <w:top w:w="80" w:type="dxa"/>
              <w:left w:w="100" w:type="dxa"/>
              <w:bottom w:w="80" w:type="dxa"/>
              <w:right w:w="100" w:type="dxa"/>
            </w:tcMar>
            <w:vAlign w:val="center"/>
          </w:tcPr>
          <w:p w14:paraId="01C1AD84" w14:textId="77777777" w:rsidR="008B20C3" w:rsidRPr="00222025" w:rsidRDefault="00000000">
            <w:pPr>
              <w:rPr>
                <w:rStyle w:val="IntenseReference"/>
              </w:rPr>
            </w:pPr>
            <w:r w:rsidRPr="00222025">
              <w:rPr>
                <w:rStyle w:val="IntenseReference"/>
              </w:rPr>
              <w:t>Month-to-month</w:t>
            </w:r>
          </w:p>
        </w:tc>
        <w:tc>
          <w:tcPr>
            <w:tcW w:w="3680" w:type="dxa"/>
            <w:shd w:val="clear" w:color="auto" w:fill="F1F5F9"/>
            <w:tcMar>
              <w:top w:w="80" w:type="dxa"/>
              <w:left w:w="100" w:type="dxa"/>
              <w:bottom w:w="80" w:type="dxa"/>
              <w:right w:w="100" w:type="dxa"/>
            </w:tcMar>
            <w:vAlign w:val="center"/>
          </w:tcPr>
          <w:p w14:paraId="7E2A522D" w14:textId="77777777" w:rsidR="008B20C3" w:rsidRPr="00222025" w:rsidRDefault="00000000">
            <w:pPr>
              <w:rPr>
                <w:rStyle w:val="IntenseReference"/>
              </w:rPr>
            </w:pPr>
            <w:r w:rsidRPr="00222025">
              <w:rPr>
                <w:rStyle w:val="IntenseReference"/>
              </w:rPr>
              <w:t>42.7%</w:t>
            </w:r>
          </w:p>
        </w:tc>
      </w:tr>
      <w:tr w:rsidR="008B20C3" w:rsidRPr="00222025" w14:paraId="2379A7C2" w14:textId="77777777">
        <w:tc>
          <w:tcPr>
            <w:tcW w:w="5680" w:type="dxa"/>
            <w:shd w:val="clear" w:color="auto" w:fill="FFFFFF"/>
            <w:tcMar>
              <w:top w:w="80" w:type="dxa"/>
              <w:left w:w="100" w:type="dxa"/>
              <w:bottom w:w="80" w:type="dxa"/>
              <w:right w:w="100" w:type="dxa"/>
            </w:tcMar>
            <w:vAlign w:val="center"/>
          </w:tcPr>
          <w:p w14:paraId="5D37BB99" w14:textId="77777777" w:rsidR="008B20C3" w:rsidRPr="00222025" w:rsidRDefault="00000000">
            <w:pPr>
              <w:rPr>
                <w:rStyle w:val="IntenseReference"/>
              </w:rPr>
            </w:pPr>
            <w:r w:rsidRPr="00222025">
              <w:rPr>
                <w:rStyle w:val="IntenseReference"/>
              </w:rPr>
              <w:t>One year</w:t>
            </w:r>
          </w:p>
        </w:tc>
        <w:tc>
          <w:tcPr>
            <w:tcW w:w="3680" w:type="dxa"/>
            <w:shd w:val="clear" w:color="auto" w:fill="FFFFFF"/>
            <w:tcMar>
              <w:top w:w="80" w:type="dxa"/>
              <w:left w:w="100" w:type="dxa"/>
              <w:bottom w:w="80" w:type="dxa"/>
              <w:right w:w="100" w:type="dxa"/>
            </w:tcMar>
            <w:vAlign w:val="center"/>
          </w:tcPr>
          <w:p w14:paraId="3E24C3D5" w14:textId="77777777" w:rsidR="008B20C3" w:rsidRPr="00222025" w:rsidRDefault="00000000">
            <w:pPr>
              <w:rPr>
                <w:rStyle w:val="IntenseReference"/>
              </w:rPr>
            </w:pPr>
            <w:r w:rsidRPr="00222025">
              <w:rPr>
                <w:rStyle w:val="IntenseReference"/>
              </w:rPr>
              <w:t>11.2%</w:t>
            </w:r>
          </w:p>
        </w:tc>
      </w:tr>
      <w:tr w:rsidR="008B20C3" w:rsidRPr="00222025" w14:paraId="67A947EB" w14:textId="77777777">
        <w:tc>
          <w:tcPr>
            <w:tcW w:w="5680" w:type="dxa"/>
            <w:shd w:val="clear" w:color="auto" w:fill="F1F5F9"/>
            <w:tcMar>
              <w:top w:w="80" w:type="dxa"/>
              <w:left w:w="100" w:type="dxa"/>
              <w:bottom w:w="80" w:type="dxa"/>
              <w:right w:w="100" w:type="dxa"/>
            </w:tcMar>
            <w:vAlign w:val="center"/>
          </w:tcPr>
          <w:p w14:paraId="0D258E1A" w14:textId="77777777" w:rsidR="008B20C3" w:rsidRPr="00222025" w:rsidRDefault="00000000">
            <w:pPr>
              <w:rPr>
                <w:rStyle w:val="IntenseReference"/>
              </w:rPr>
            </w:pPr>
            <w:r w:rsidRPr="00222025">
              <w:rPr>
                <w:rStyle w:val="IntenseReference"/>
              </w:rPr>
              <w:t xml:space="preserve">Two </w:t>
            </w:r>
            <w:proofErr w:type="gramStart"/>
            <w:r w:rsidRPr="00222025">
              <w:rPr>
                <w:rStyle w:val="IntenseReference"/>
              </w:rPr>
              <w:t>year</w:t>
            </w:r>
            <w:proofErr w:type="gramEnd"/>
          </w:p>
        </w:tc>
        <w:tc>
          <w:tcPr>
            <w:tcW w:w="3680" w:type="dxa"/>
            <w:shd w:val="clear" w:color="auto" w:fill="F1F5F9"/>
            <w:tcMar>
              <w:top w:w="80" w:type="dxa"/>
              <w:left w:w="100" w:type="dxa"/>
              <w:bottom w:w="80" w:type="dxa"/>
              <w:right w:w="100" w:type="dxa"/>
            </w:tcMar>
            <w:vAlign w:val="center"/>
          </w:tcPr>
          <w:p w14:paraId="74C94000" w14:textId="77777777" w:rsidR="008B20C3" w:rsidRPr="00222025" w:rsidRDefault="00000000">
            <w:pPr>
              <w:rPr>
                <w:rStyle w:val="IntenseReference"/>
              </w:rPr>
            </w:pPr>
            <w:r w:rsidRPr="00222025">
              <w:rPr>
                <w:rStyle w:val="IntenseReference"/>
              </w:rPr>
              <w:t>2.8%</w:t>
            </w:r>
          </w:p>
        </w:tc>
      </w:tr>
    </w:tbl>
    <w:p w14:paraId="6438EF64" w14:textId="77777777" w:rsidR="008B20C3" w:rsidRPr="00222025" w:rsidRDefault="00000000">
      <w:pPr>
        <w:spacing w:before="80" w:after="240"/>
        <w:jc w:val="center"/>
        <w:rPr>
          <w:rStyle w:val="IntenseReference"/>
        </w:rPr>
      </w:pPr>
      <w:r w:rsidRPr="00222025">
        <w:rPr>
          <w:rStyle w:val="IntenseReference"/>
        </w:rPr>
        <w:t>Table 5.2 — Churn rate by contract term.</w:t>
      </w:r>
    </w:p>
    <w:p w14:paraId="7744B42E" w14:textId="77777777" w:rsidR="008B20C3" w:rsidRPr="00222025" w:rsidRDefault="00000000">
      <w:pPr>
        <w:spacing w:before="120" w:after="40"/>
        <w:jc w:val="center"/>
        <w:rPr>
          <w:rStyle w:val="IntenseReference"/>
        </w:rPr>
      </w:pPr>
      <w:r w:rsidRPr="00222025">
        <w:rPr>
          <w:rStyle w:val="IntenseReference"/>
          <w:noProof/>
        </w:rPr>
        <w:drawing>
          <wp:inline distT="0" distB="0" distL="0" distR="0" wp14:anchorId="0AC985BF" wp14:editId="701CB9BD">
            <wp:extent cx="4210050" cy="3038475"/>
            <wp:effectExtent l="0" t="0" r="0" b="0"/>
            <wp:docPr id="648041274" name="Picture 64804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3038475"/>
                    </a:xfrm>
                    <a:prstGeom prst="rect">
                      <a:avLst/>
                    </a:prstGeom>
                  </pic:spPr>
                </pic:pic>
              </a:graphicData>
            </a:graphic>
          </wp:inline>
        </w:drawing>
      </w:r>
    </w:p>
    <w:p w14:paraId="21C13549" w14:textId="77777777" w:rsidR="008B20C3" w:rsidRPr="00222025" w:rsidRDefault="00000000">
      <w:pPr>
        <w:spacing w:before="80" w:after="240"/>
        <w:jc w:val="center"/>
        <w:rPr>
          <w:rStyle w:val="IntenseReference"/>
        </w:rPr>
      </w:pPr>
      <w:r w:rsidRPr="00222025">
        <w:rPr>
          <w:rStyle w:val="IntenseReference"/>
        </w:rPr>
        <w:t>Figure 5.2 — Churn rate by contract term, computed from the dataset.</w:t>
      </w:r>
    </w:p>
    <w:p w14:paraId="0C25ECA4" w14:textId="77777777" w:rsidR="008B20C3" w:rsidRPr="00222025" w:rsidRDefault="00000000">
      <w:pPr>
        <w:spacing w:after="160" w:line="300" w:lineRule="auto"/>
        <w:rPr>
          <w:rStyle w:val="IntenseReference"/>
        </w:rPr>
      </w:pPr>
      <w:r w:rsidRPr="00222025">
        <w:rPr>
          <w:rStyle w:val="IntenseReference"/>
        </w:rPr>
        <w:t>A month-to-month subscriber is roughly 15 times more likely to churn than a two-year contract holder. This alone justifies treating contract type as a headline feature and a headline retention lever (e.g. incentivising contract upgrades), independent of anything the model later learns.</w:t>
      </w:r>
    </w:p>
    <w:p w14:paraId="25F40F1F" w14:textId="77777777" w:rsidR="008B20C3" w:rsidRPr="00222025" w:rsidRDefault="00000000">
      <w:pPr>
        <w:pStyle w:val="Heading2"/>
        <w:spacing w:before="260" w:after="140"/>
        <w:rPr>
          <w:rStyle w:val="IntenseReference"/>
        </w:rPr>
      </w:pPr>
      <w:bookmarkStart w:id="14" w:name="_Toc237792694"/>
      <w:r w:rsidRPr="00222025">
        <w:rPr>
          <w:rStyle w:val="IntenseReference"/>
        </w:rPr>
        <w:t>5.3 Churn by service type and support add-ons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8B20C3" w:rsidRPr="00222025" w14:paraId="75DCAB84" w14:textId="77777777">
        <w:trPr>
          <w:tblHeader/>
        </w:trPr>
        <w:tc>
          <w:tcPr>
            <w:tcW w:w="5680" w:type="dxa"/>
            <w:shd w:val="clear" w:color="auto" w:fill="1E293B"/>
            <w:tcMar>
              <w:top w:w="80" w:type="dxa"/>
              <w:left w:w="100" w:type="dxa"/>
              <w:bottom w:w="80" w:type="dxa"/>
              <w:right w:w="100" w:type="dxa"/>
            </w:tcMar>
            <w:vAlign w:val="center"/>
          </w:tcPr>
          <w:p w14:paraId="1EF4CCF0" w14:textId="77777777" w:rsidR="008B20C3" w:rsidRPr="00222025" w:rsidRDefault="00000000">
            <w:pPr>
              <w:jc w:val="center"/>
              <w:rPr>
                <w:rStyle w:val="IntenseReference"/>
              </w:rPr>
            </w:pPr>
            <w:r w:rsidRPr="00222025">
              <w:rPr>
                <w:rStyle w:val="IntenseReference"/>
              </w:rPr>
              <w:t>Segment</w:t>
            </w:r>
          </w:p>
        </w:tc>
        <w:tc>
          <w:tcPr>
            <w:tcW w:w="3680" w:type="dxa"/>
            <w:shd w:val="clear" w:color="auto" w:fill="1E293B"/>
            <w:tcMar>
              <w:top w:w="80" w:type="dxa"/>
              <w:left w:w="100" w:type="dxa"/>
              <w:bottom w:w="80" w:type="dxa"/>
              <w:right w:w="100" w:type="dxa"/>
            </w:tcMar>
            <w:vAlign w:val="center"/>
          </w:tcPr>
          <w:p w14:paraId="3066E144" w14:textId="77777777" w:rsidR="008B20C3" w:rsidRPr="00222025" w:rsidRDefault="00000000">
            <w:pPr>
              <w:jc w:val="center"/>
              <w:rPr>
                <w:rStyle w:val="IntenseReference"/>
              </w:rPr>
            </w:pPr>
            <w:r w:rsidRPr="00222025">
              <w:rPr>
                <w:rStyle w:val="IntenseReference"/>
              </w:rPr>
              <w:t>Churn rate</w:t>
            </w:r>
          </w:p>
        </w:tc>
      </w:tr>
      <w:tr w:rsidR="008B20C3" w:rsidRPr="00222025" w14:paraId="49758D7B" w14:textId="77777777">
        <w:tc>
          <w:tcPr>
            <w:tcW w:w="5680" w:type="dxa"/>
            <w:shd w:val="clear" w:color="auto" w:fill="F1F5F9"/>
            <w:tcMar>
              <w:top w:w="80" w:type="dxa"/>
              <w:left w:w="100" w:type="dxa"/>
              <w:bottom w:w="80" w:type="dxa"/>
              <w:right w:w="100" w:type="dxa"/>
            </w:tcMar>
            <w:vAlign w:val="center"/>
          </w:tcPr>
          <w:p w14:paraId="2DACE18A" w14:textId="77777777" w:rsidR="008B20C3" w:rsidRPr="00222025" w:rsidRDefault="00000000">
            <w:pPr>
              <w:rPr>
                <w:rStyle w:val="IntenseReference"/>
              </w:rPr>
            </w:pPr>
            <w:r w:rsidRPr="00222025">
              <w:rPr>
                <w:rStyle w:val="IntenseReference"/>
              </w:rPr>
              <w:t>Fibre optic internet</w:t>
            </w:r>
          </w:p>
        </w:tc>
        <w:tc>
          <w:tcPr>
            <w:tcW w:w="3680" w:type="dxa"/>
            <w:shd w:val="clear" w:color="auto" w:fill="F1F5F9"/>
            <w:tcMar>
              <w:top w:w="80" w:type="dxa"/>
              <w:left w:w="100" w:type="dxa"/>
              <w:bottom w:w="80" w:type="dxa"/>
              <w:right w:w="100" w:type="dxa"/>
            </w:tcMar>
            <w:vAlign w:val="center"/>
          </w:tcPr>
          <w:p w14:paraId="5C5524E7" w14:textId="77777777" w:rsidR="008B20C3" w:rsidRPr="00222025" w:rsidRDefault="00000000">
            <w:pPr>
              <w:rPr>
                <w:rStyle w:val="IntenseReference"/>
              </w:rPr>
            </w:pPr>
            <w:r w:rsidRPr="00222025">
              <w:rPr>
                <w:rStyle w:val="IntenseReference"/>
              </w:rPr>
              <w:t>41.9%</w:t>
            </w:r>
          </w:p>
        </w:tc>
      </w:tr>
      <w:tr w:rsidR="008B20C3" w:rsidRPr="00222025" w14:paraId="2F69BB0E" w14:textId="77777777">
        <w:tc>
          <w:tcPr>
            <w:tcW w:w="5680" w:type="dxa"/>
            <w:shd w:val="clear" w:color="auto" w:fill="FFFFFF"/>
            <w:tcMar>
              <w:top w:w="80" w:type="dxa"/>
              <w:left w:w="100" w:type="dxa"/>
              <w:bottom w:w="80" w:type="dxa"/>
              <w:right w:w="100" w:type="dxa"/>
            </w:tcMar>
            <w:vAlign w:val="center"/>
          </w:tcPr>
          <w:p w14:paraId="3DC1802D" w14:textId="77777777" w:rsidR="008B20C3" w:rsidRPr="00222025" w:rsidRDefault="00000000">
            <w:pPr>
              <w:rPr>
                <w:rStyle w:val="IntenseReference"/>
              </w:rPr>
            </w:pPr>
            <w:r w:rsidRPr="00222025">
              <w:rPr>
                <w:rStyle w:val="IntenseReference"/>
              </w:rPr>
              <w:t>DSL internet</w:t>
            </w:r>
          </w:p>
        </w:tc>
        <w:tc>
          <w:tcPr>
            <w:tcW w:w="3680" w:type="dxa"/>
            <w:shd w:val="clear" w:color="auto" w:fill="FFFFFF"/>
            <w:tcMar>
              <w:top w:w="80" w:type="dxa"/>
              <w:left w:w="100" w:type="dxa"/>
              <w:bottom w:w="80" w:type="dxa"/>
              <w:right w:w="100" w:type="dxa"/>
            </w:tcMar>
            <w:vAlign w:val="center"/>
          </w:tcPr>
          <w:p w14:paraId="435F05AE" w14:textId="77777777" w:rsidR="008B20C3" w:rsidRPr="00222025" w:rsidRDefault="00000000">
            <w:pPr>
              <w:rPr>
                <w:rStyle w:val="IntenseReference"/>
              </w:rPr>
            </w:pPr>
            <w:r w:rsidRPr="00222025">
              <w:rPr>
                <w:rStyle w:val="IntenseReference"/>
              </w:rPr>
              <w:t>19.0%</w:t>
            </w:r>
          </w:p>
        </w:tc>
      </w:tr>
      <w:tr w:rsidR="008B20C3" w:rsidRPr="00222025" w14:paraId="1C8291BF" w14:textId="77777777">
        <w:tc>
          <w:tcPr>
            <w:tcW w:w="5680" w:type="dxa"/>
            <w:shd w:val="clear" w:color="auto" w:fill="F1F5F9"/>
            <w:tcMar>
              <w:top w:w="80" w:type="dxa"/>
              <w:left w:w="100" w:type="dxa"/>
              <w:bottom w:w="80" w:type="dxa"/>
              <w:right w:w="100" w:type="dxa"/>
            </w:tcMar>
            <w:vAlign w:val="center"/>
          </w:tcPr>
          <w:p w14:paraId="0639CF92" w14:textId="77777777" w:rsidR="008B20C3" w:rsidRPr="00222025" w:rsidRDefault="00000000">
            <w:pPr>
              <w:rPr>
                <w:rStyle w:val="IntenseReference"/>
              </w:rPr>
            </w:pPr>
            <w:r w:rsidRPr="00222025">
              <w:rPr>
                <w:rStyle w:val="IntenseReference"/>
              </w:rPr>
              <w:t>No tech support add-on</w:t>
            </w:r>
          </w:p>
        </w:tc>
        <w:tc>
          <w:tcPr>
            <w:tcW w:w="3680" w:type="dxa"/>
            <w:shd w:val="clear" w:color="auto" w:fill="F1F5F9"/>
            <w:tcMar>
              <w:top w:w="80" w:type="dxa"/>
              <w:left w:w="100" w:type="dxa"/>
              <w:bottom w:w="80" w:type="dxa"/>
              <w:right w:w="100" w:type="dxa"/>
            </w:tcMar>
            <w:vAlign w:val="center"/>
          </w:tcPr>
          <w:p w14:paraId="72DCD274" w14:textId="77777777" w:rsidR="008B20C3" w:rsidRPr="00222025" w:rsidRDefault="00000000">
            <w:pPr>
              <w:rPr>
                <w:rStyle w:val="IntenseReference"/>
              </w:rPr>
            </w:pPr>
            <w:r w:rsidRPr="00222025">
              <w:rPr>
                <w:rStyle w:val="IntenseReference"/>
              </w:rPr>
              <w:t>41.6%</w:t>
            </w:r>
          </w:p>
        </w:tc>
      </w:tr>
      <w:tr w:rsidR="008B20C3" w:rsidRPr="00222025" w14:paraId="15142157" w14:textId="77777777">
        <w:tc>
          <w:tcPr>
            <w:tcW w:w="5680" w:type="dxa"/>
            <w:shd w:val="clear" w:color="auto" w:fill="FFFFFF"/>
            <w:tcMar>
              <w:top w:w="80" w:type="dxa"/>
              <w:left w:w="100" w:type="dxa"/>
              <w:bottom w:w="80" w:type="dxa"/>
              <w:right w:w="100" w:type="dxa"/>
            </w:tcMar>
            <w:vAlign w:val="center"/>
          </w:tcPr>
          <w:p w14:paraId="581E0B8D" w14:textId="77777777" w:rsidR="008B20C3" w:rsidRPr="00222025" w:rsidRDefault="00000000">
            <w:pPr>
              <w:rPr>
                <w:rStyle w:val="IntenseReference"/>
              </w:rPr>
            </w:pPr>
            <w:r w:rsidRPr="00222025">
              <w:rPr>
                <w:rStyle w:val="IntenseReference"/>
              </w:rPr>
              <w:t>Tech support add-on subscribed</w:t>
            </w:r>
          </w:p>
        </w:tc>
        <w:tc>
          <w:tcPr>
            <w:tcW w:w="3680" w:type="dxa"/>
            <w:shd w:val="clear" w:color="auto" w:fill="FFFFFF"/>
            <w:tcMar>
              <w:top w:w="80" w:type="dxa"/>
              <w:left w:w="100" w:type="dxa"/>
              <w:bottom w:w="80" w:type="dxa"/>
              <w:right w:w="100" w:type="dxa"/>
            </w:tcMar>
            <w:vAlign w:val="center"/>
          </w:tcPr>
          <w:p w14:paraId="13ADFEC9" w14:textId="77777777" w:rsidR="008B20C3" w:rsidRPr="00222025" w:rsidRDefault="00000000">
            <w:pPr>
              <w:rPr>
                <w:rStyle w:val="IntenseReference"/>
              </w:rPr>
            </w:pPr>
            <w:r w:rsidRPr="00222025">
              <w:rPr>
                <w:rStyle w:val="IntenseReference"/>
              </w:rPr>
              <w:t>15.2%</w:t>
            </w:r>
          </w:p>
        </w:tc>
      </w:tr>
    </w:tbl>
    <w:p w14:paraId="404FC28C" w14:textId="77777777" w:rsidR="008B20C3" w:rsidRPr="00222025" w:rsidRDefault="00000000">
      <w:pPr>
        <w:spacing w:before="80" w:after="240"/>
        <w:jc w:val="center"/>
        <w:rPr>
          <w:rStyle w:val="IntenseReference"/>
        </w:rPr>
      </w:pPr>
      <w:r w:rsidRPr="00222025">
        <w:rPr>
          <w:rStyle w:val="IntenseReference"/>
        </w:rPr>
        <w:t>Table 5.3 — Churn rate by internet technology and tech-support subscription.</w:t>
      </w:r>
    </w:p>
    <w:p w14:paraId="4EE75AB0" w14:textId="77777777" w:rsidR="008B20C3" w:rsidRPr="00222025" w:rsidRDefault="00000000">
      <w:pPr>
        <w:spacing w:before="120" w:after="40"/>
        <w:jc w:val="center"/>
        <w:rPr>
          <w:rStyle w:val="IntenseReference"/>
        </w:rPr>
      </w:pPr>
      <w:r w:rsidRPr="00222025">
        <w:rPr>
          <w:rStyle w:val="IntenseReference"/>
          <w:noProof/>
        </w:rPr>
        <w:lastRenderedPageBreak/>
        <w:drawing>
          <wp:inline distT="0" distB="0" distL="0" distR="0" wp14:anchorId="190E8132" wp14:editId="5C7F269E">
            <wp:extent cx="4572000" cy="2838450"/>
            <wp:effectExtent l="0" t="0" r="0" b="0"/>
            <wp:docPr id="1197064815" name="Picture 119706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38450"/>
                    </a:xfrm>
                    <a:prstGeom prst="rect">
                      <a:avLst/>
                    </a:prstGeom>
                  </pic:spPr>
                </pic:pic>
              </a:graphicData>
            </a:graphic>
          </wp:inline>
        </w:drawing>
      </w:r>
    </w:p>
    <w:p w14:paraId="1C8EE602" w14:textId="77777777" w:rsidR="008B20C3" w:rsidRPr="00222025" w:rsidRDefault="00000000">
      <w:pPr>
        <w:spacing w:before="80" w:after="240"/>
        <w:jc w:val="center"/>
        <w:rPr>
          <w:rStyle w:val="IntenseReference"/>
        </w:rPr>
      </w:pPr>
      <w:r w:rsidRPr="00222025">
        <w:rPr>
          <w:rStyle w:val="IntenseReference"/>
        </w:rPr>
        <w:t>Figure 5.3 — Churn rate by internet service type and tech-support subscription.</w:t>
      </w:r>
    </w:p>
    <w:p w14:paraId="311AACED" w14:textId="77777777" w:rsidR="008B20C3" w:rsidRPr="00222025" w:rsidRDefault="00000000">
      <w:pPr>
        <w:spacing w:after="160" w:line="300" w:lineRule="auto"/>
        <w:rPr>
          <w:rStyle w:val="IntenseReference"/>
        </w:rPr>
      </w:pPr>
      <w:r w:rsidRPr="00222025">
        <w:rPr>
          <w:rStyle w:val="IntenseReference"/>
        </w:rPr>
        <w:t>Fibre customers churn more than twice as often as DSL customers, most plausibly a pricing-sensitivity effect rather than a technology-quality effect, since fibre plans in this dataset carry materially higher monthly charges. Tech support subscription is associated with a churn rate roughly a third of customers without it — this is a candidate for a low-cost retention action to test in Phase C (Section 10).</w:t>
      </w:r>
    </w:p>
    <w:p w14:paraId="6768BD89" w14:textId="77777777" w:rsidR="008B20C3" w:rsidRPr="00222025" w:rsidRDefault="00000000">
      <w:pPr>
        <w:pStyle w:val="Heading2"/>
        <w:spacing w:before="260" w:after="140"/>
        <w:rPr>
          <w:rStyle w:val="IntenseReference"/>
        </w:rPr>
      </w:pPr>
      <w:bookmarkStart w:id="15" w:name="_Toc237792695"/>
      <w:r w:rsidRPr="00222025">
        <w:rPr>
          <w:rStyle w:val="IntenseReference"/>
        </w:rPr>
        <w:t>5.4 Tenure and pricing risk cluster</w:t>
      </w:r>
      <w:bookmarkEnd w:id="15"/>
    </w:p>
    <w:p w14:paraId="383C2EE0" w14:textId="77777777" w:rsidR="008B20C3" w:rsidRPr="00222025" w:rsidRDefault="00000000">
      <w:pPr>
        <w:spacing w:after="160" w:line="300" w:lineRule="auto"/>
        <w:rPr>
          <w:rStyle w:val="IntenseReference"/>
        </w:rPr>
      </w:pPr>
      <w:r w:rsidRPr="00222025">
        <w:rPr>
          <w:rStyle w:val="IntenseReference"/>
        </w:rPr>
        <w:t>Cross-plotting tenure against monthly charges shows churners concentrated in the first 12 months of the relationship at charges above roughly $70/month, while retained customers spread across longer tenures and a wider price range. This says the highest-risk window is the first year, and price sensitivity in that window is the compounding factor — a new customer on a high-priced plan is the profile most worth intervening on early.</w:t>
      </w:r>
    </w:p>
    <w:p w14:paraId="77DF15BF" w14:textId="77777777" w:rsidR="008B20C3" w:rsidRPr="00222025" w:rsidRDefault="00000000">
      <w:pPr>
        <w:spacing w:before="120" w:after="40"/>
        <w:jc w:val="center"/>
        <w:rPr>
          <w:rStyle w:val="IntenseReference"/>
        </w:rPr>
      </w:pPr>
      <w:r w:rsidRPr="00222025">
        <w:rPr>
          <w:rStyle w:val="IntenseReference"/>
          <w:noProof/>
        </w:rPr>
        <w:lastRenderedPageBreak/>
        <w:drawing>
          <wp:inline distT="0" distB="0" distL="0" distR="0" wp14:anchorId="14F951DE" wp14:editId="3BC67CA7">
            <wp:extent cx="4572000" cy="3181350"/>
            <wp:effectExtent l="0" t="0" r="0" b="0"/>
            <wp:docPr id="2014840955" name="Picture 201484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181350"/>
                    </a:xfrm>
                    <a:prstGeom prst="rect">
                      <a:avLst/>
                    </a:prstGeom>
                  </pic:spPr>
                </pic:pic>
              </a:graphicData>
            </a:graphic>
          </wp:inline>
        </w:drawing>
      </w:r>
    </w:p>
    <w:p w14:paraId="44524070" w14:textId="77777777" w:rsidR="008B20C3" w:rsidRPr="00222025" w:rsidRDefault="00000000">
      <w:pPr>
        <w:spacing w:before="80" w:after="240"/>
        <w:jc w:val="center"/>
        <w:rPr>
          <w:rStyle w:val="IntenseReference"/>
        </w:rPr>
      </w:pPr>
      <w:r w:rsidRPr="00222025">
        <w:rPr>
          <w:rStyle w:val="IntenseReference"/>
        </w:rPr>
        <w:t>Figure 5.4 — Tenure vs. monthly charges, actual subscriber-level scatter (500-point sample per class).</w:t>
      </w:r>
    </w:p>
    <w:p w14:paraId="227EF2DD" w14:textId="77777777" w:rsidR="008B20C3" w:rsidRPr="00222025" w:rsidRDefault="00000000">
      <w:pPr>
        <w:spacing w:after="160" w:line="300" w:lineRule="auto"/>
        <w:rPr>
          <w:rStyle w:val="IntenseReference"/>
        </w:rPr>
      </w:pPr>
      <w:r w:rsidRPr="00222025">
        <w:rPr>
          <w:rStyle w:val="IntenseReference"/>
        </w:rPr>
        <w:t>These four findings jointly argue for contract type, tenure, internet service type, monthly charges and tech-support status as the priority features for the model — a judgement call, not a data mining recipe.</w:t>
      </w:r>
    </w:p>
    <w:p w14:paraId="7B37CA85" w14:textId="77777777" w:rsidR="008B20C3" w:rsidRPr="00222025" w:rsidRDefault="00000000">
      <w:pPr>
        <w:pStyle w:val="Heading1"/>
        <w:pBdr>
          <w:bottom w:val="single" w:sz="12" w:space="4" w:color="0891B2"/>
        </w:pBdr>
        <w:spacing w:before="360" w:after="200"/>
        <w:rPr>
          <w:rStyle w:val="IntenseReference"/>
        </w:rPr>
      </w:pPr>
      <w:bookmarkStart w:id="16" w:name="_Toc237792696"/>
      <w:r w:rsidRPr="00222025">
        <w:rPr>
          <w:rStyle w:val="IntenseReference"/>
        </w:rPr>
        <w:t>6. Planning &amp; Timeline</w:t>
      </w:r>
      <w:bookmarkEnd w:id="16"/>
    </w:p>
    <w:p w14:paraId="26614009" w14:textId="77777777" w:rsidR="008B20C3" w:rsidRPr="00222025" w:rsidRDefault="00000000">
      <w:pPr>
        <w:spacing w:after="160" w:line="300" w:lineRule="auto"/>
        <w:rPr>
          <w:rStyle w:val="IntenseReference"/>
        </w:rPr>
      </w:pPr>
      <w:r w:rsidRPr="00222025">
        <w:rPr>
          <w:rStyle w:val="IntenseReference"/>
        </w:rPr>
        <w:t>The project is phased across 15 weeks in five three-week blocks. Each phase has a hard dependency on the one before it — the plan does not assume phases can run in parallel, because model training cannot start before leakage-safe data pipelines exist, and deployment cannot start before a model clears the recall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9"/>
        <w:gridCol w:w="1386"/>
        <w:gridCol w:w="3759"/>
        <w:gridCol w:w="1646"/>
      </w:tblGrid>
      <w:tr w:rsidR="008B20C3" w:rsidRPr="00222025" w14:paraId="074757DF" w14:textId="77777777">
        <w:trPr>
          <w:tblHeader/>
        </w:trPr>
        <w:tc>
          <w:tcPr>
            <w:tcW w:w="2600" w:type="dxa"/>
            <w:shd w:val="clear" w:color="auto" w:fill="1E293B"/>
            <w:tcMar>
              <w:top w:w="80" w:type="dxa"/>
              <w:left w:w="100" w:type="dxa"/>
              <w:bottom w:w="80" w:type="dxa"/>
              <w:right w:w="100" w:type="dxa"/>
            </w:tcMar>
            <w:vAlign w:val="center"/>
          </w:tcPr>
          <w:p w14:paraId="7BE26C83" w14:textId="77777777" w:rsidR="008B20C3" w:rsidRPr="00222025" w:rsidRDefault="00000000">
            <w:pPr>
              <w:jc w:val="center"/>
              <w:rPr>
                <w:rStyle w:val="IntenseReference"/>
              </w:rPr>
            </w:pPr>
            <w:r w:rsidRPr="00222025">
              <w:rPr>
                <w:rStyle w:val="IntenseReference"/>
              </w:rPr>
              <w:t>Phase</w:t>
            </w:r>
          </w:p>
        </w:tc>
        <w:tc>
          <w:tcPr>
            <w:tcW w:w="1400" w:type="dxa"/>
            <w:shd w:val="clear" w:color="auto" w:fill="1E293B"/>
            <w:tcMar>
              <w:top w:w="80" w:type="dxa"/>
              <w:left w:w="100" w:type="dxa"/>
              <w:bottom w:w="80" w:type="dxa"/>
              <w:right w:w="100" w:type="dxa"/>
            </w:tcMar>
            <w:vAlign w:val="center"/>
          </w:tcPr>
          <w:p w14:paraId="3869D63A" w14:textId="77777777" w:rsidR="008B20C3" w:rsidRPr="00222025" w:rsidRDefault="00000000">
            <w:pPr>
              <w:jc w:val="center"/>
              <w:rPr>
                <w:rStyle w:val="IntenseReference"/>
              </w:rPr>
            </w:pPr>
            <w:r w:rsidRPr="00222025">
              <w:rPr>
                <w:rStyle w:val="IntenseReference"/>
              </w:rPr>
              <w:t>Weeks</w:t>
            </w:r>
          </w:p>
        </w:tc>
        <w:tc>
          <w:tcPr>
            <w:tcW w:w="3800" w:type="dxa"/>
            <w:shd w:val="clear" w:color="auto" w:fill="1E293B"/>
            <w:tcMar>
              <w:top w:w="80" w:type="dxa"/>
              <w:left w:w="100" w:type="dxa"/>
              <w:bottom w:w="80" w:type="dxa"/>
              <w:right w:w="100" w:type="dxa"/>
            </w:tcMar>
            <w:vAlign w:val="center"/>
          </w:tcPr>
          <w:p w14:paraId="4F4C33A1" w14:textId="77777777" w:rsidR="008B20C3" w:rsidRPr="00222025" w:rsidRDefault="00000000">
            <w:pPr>
              <w:jc w:val="center"/>
              <w:rPr>
                <w:rStyle w:val="IntenseReference"/>
              </w:rPr>
            </w:pPr>
            <w:r w:rsidRPr="00222025">
              <w:rPr>
                <w:rStyle w:val="IntenseReference"/>
              </w:rPr>
              <w:t>Focus</w:t>
            </w:r>
          </w:p>
        </w:tc>
        <w:tc>
          <w:tcPr>
            <w:tcW w:w="1560" w:type="dxa"/>
            <w:shd w:val="clear" w:color="auto" w:fill="1E293B"/>
            <w:tcMar>
              <w:top w:w="80" w:type="dxa"/>
              <w:left w:w="100" w:type="dxa"/>
              <w:bottom w:w="80" w:type="dxa"/>
              <w:right w:w="100" w:type="dxa"/>
            </w:tcMar>
            <w:vAlign w:val="center"/>
          </w:tcPr>
          <w:p w14:paraId="3965890C" w14:textId="77777777" w:rsidR="008B20C3" w:rsidRPr="00222025" w:rsidRDefault="00000000">
            <w:pPr>
              <w:jc w:val="center"/>
              <w:rPr>
                <w:rStyle w:val="IntenseReference"/>
              </w:rPr>
            </w:pPr>
            <w:r w:rsidRPr="00222025">
              <w:rPr>
                <w:rStyle w:val="IntenseReference"/>
              </w:rPr>
              <w:t>Key deliverable</w:t>
            </w:r>
          </w:p>
        </w:tc>
      </w:tr>
      <w:tr w:rsidR="008B20C3" w:rsidRPr="00222025" w14:paraId="65CE395B" w14:textId="77777777">
        <w:tc>
          <w:tcPr>
            <w:tcW w:w="2600" w:type="dxa"/>
            <w:shd w:val="clear" w:color="auto" w:fill="F1F5F9"/>
            <w:tcMar>
              <w:top w:w="80" w:type="dxa"/>
              <w:left w:w="100" w:type="dxa"/>
              <w:bottom w:w="80" w:type="dxa"/>
              <w:right w:w="100" w:type="dxa"/>
            </w:tcMar>
            <w:vAlign w:val="center"/>
          </w:tcPr>
          <w:p w14:paraId="5702B690" w14:textId="77777777" w:rsidR="008B20C3" w:rsidRPr="00222025" w:rsidRDefault="00000000">
            <w:pPr>
              <w:rPr>
                <w:rStyle w:val="IntenseReference"/>
              </w:rPr>
            </w:pPr>
            <w:r w:rsidRPr="00222025">
              <w:rPr>
                <w:rStyle w:val="IntenseReference"/>
              </w:rPr>
              <w:t>1. Legal &amp; Data Protection</w:t>
            </w:r>
          </w:p>
        </w:tc>
        <w:tc>
          <w:tcPr>
            <w:tcW w:w="1400" w:type="dxa"/>
            <w:shd w:val="clear" w:color="auto" w:fill="F1F5F9"/>
            <w:tcMar>
              <w:top w:w="80" w:type="dxa"/>
              <w:left w:w="100" w:type="dxa"/>
              <w:bottom w:w="80" w:type="dxa"/>
              <w:right w:w="100" w:type="dxa"/>
            </w:tcMar>
            <w:vAlign w:val="center"/>
          </w:tcPr>
          <w:p w14:paraId="1E22A721" w14:textId="77777777" w:rsidR="008B20C3" w:rsidRPr="00222025" w:rsidRDefault="00000000">
            <w:pPr>
              <w:rPr>
                <w:rStyle w:val="IntenseReference"/>
              </w:rPr>
            </w:pPr>
            <w:r w:rsidRPr="00222025">
              <w:rPr>
                <w:rStyle w:val="IntenseReference"/>
              </w:rPr>
              <w:t>W1–W3</w:t>
            </w:r>
          </w:p>
        </w:tc>
        <w:tc>
          <w:tcPr>
            <w:tcW w:w="3800" w:type="dxa"/>
            <w:shd w:val="clear" w:color="auto" w:fill="F1F5F9"/>
            <w:tcMar>
              <w:top w:w="80" w:type="dxa"/>
              <w:left w:w="100" w:type="dxa"/>
              <w:bottom w:w="80" w:type="dxa"/>
              <w:right w:w="100" w:type="dxa"/>
            </w:tcMar>
            <w:vAlign w:val="center"/>
          </w:tcPr>
          <w:p w14:paraId="32725749" w14:textId="77777777" w:rsidR="008B20C3" w:rsidRPr="00222025" w:rsidRDefault="00000000">
            <w:pPr>
              <w:rPr>
                <w:rStyle w:val="IntenseReference"/>
              </w:rPr>
            </w:pPr>
            <w:r w:rsidRPr="00222025">
              <w:rPr>
                <w:rStyle w:val="IntenseReference"/>
              </w:rPr>
              <w:t>DPIA, consent-basis review, data governance sign-off</w:t>
            </w:r>
          </w:p>
        </w:tc>
        <w:tc>
          <w:tcPr>
            <w:tcW w:w="1560" w:type="dxa"/>
            <w:shd w:val="clear" w:color="auto" w:fill="F1F5F9"/>
            <w:tcMar>
              <w:top w:w="80" w:type="dxa"/>
              <w:left w:w="100" w:type="dxa"/>
              <w:bottom w:w="80" w:type="dxa"/>
              <w:right w:w="100" w:type="dxa"/>
            </w:tcMar>
            <w:vAlign w:val="center"/>
          </w:tcPr>
          <w:p w14:paraId="678B4B22" w14:textId="77777777" w:rsidR="008B20C3" w:rsidRPr="00222025" w:rsidRDefault="00000000">
            <w:pPr>
              <w:rPr>
                <w:rStyle w:val="IntenseReference"/>
              </w:rPr>
            </w:pPr>
            <w:r w:rsidRPr="00222025">
              <w:rPr>
                <w:rStyle w:val="IntenseReference"/>
              </w:rPr>
              <w:t>Approved Data Protection Impact Assessment</w:t>
            </w:r>
          </w:p>
        </w:tc>
      </w:tr>
      <w:tr w:rsidR="008B20C3" w:rsidRPr="00222025" w14:paraId="3D37F82C" w14:textId="77777777">
        <w:tc>
          <w:tcPr>
            <w:tcW w:w="2600" w:type="dxa"/>
            <w:shd w:val="clear" w:color="auto" w:fill="FFFFFF"/>
            <w:tcMar>
              <w:top w:w="80" w:type="dxa"/>
              <w:left w:w="100" w:type="dxa"/>
              <w:bottom w:w="80" w:type="dxa"/>
              <w:right w:w="100" w:type="dxa"/>
            </w:tcMar>
            <w:vAlign w:val="center"/>
          </w:tcPr>
          <w:p w14:paraId="337B4861" w14:textId="77777777" w:rsidR="008B20C3" w:rsidRPr="00222025" w:rsidRDefault="00000000">
            <w:pPr>
              <w:rPr>
                <w:rStyle w:val="IntenseReference"/>
              </w:rPr>
            </w:pPr>
            <w:r w:rsidRPr="00222025">
              <w:rPr>
                <w:rStyle w:val="IntenseReference"/>
              </w:rPr>
              <w:t>2. Data Pipeline</w:t>
            </w:r>
          </w:p>
        </w:tc>
        <w:tc>
          <w:tcPr>
            <w:tcW w:w="1400" w:type="dxa"/>
            <w:shd w:val="clear" w:color="auto" w:fill="FFFFFF"/>
            <w:tcMar>
              <w:top w:w="80" w:type="dxa"/>
              <w:left w:w="100" w:type="dxa"/>
              <w:bottom w:w="80" w:type="dxa"/>
              <w:right w:w="100" w:type="dxa"/>
            </w:tcMar>
            <w:vAlign w:val="center"/>
          </w:tcPr>
          <w:p w14:paraId="1B946F6E" w14:textId="77777777" w:rsidR="008B20C3" w:rsidRPr="00222025" w:rsidRDefault="00000000">
            <w:pPr>
              <w:rPr>
                <w:rStyle w:val="IntenseReference"/>
              </w:rPr>
            </w:pPr>
            <w:r w:rsidRPr="00222025">
              <w:rPr>
                <w:rStyle w:val="IntenseReference"/>
              </w:rPr>
              <w:t>W4–W6</w:t>
            </w:r>
          </w:p>
        </w:tc>
        <w:tc>
          <w:tcPr>
            <w:tcW w:w="3800" w:type="dxa"/>
            <w:shd w:val="clear" w:color="auto" w:fill="FFFFFF"/>
            <w:tcMar>
              <w:top w:w="80" w:type="dxa"/>
              <w:left w:w="100" w:type="dxa"/>
              <w:bottom w:w="80" w:type="dxa"/>
              <w:right w:w="100" w:type="dxa"/>
            </w:tcMar>
            <w:vAlign w:val="center"/>
          </w:tcPr>
          <w:p w14:paraId="28839FA9" w14:textId="77777777" w:rsidR="008B20C3" w:rsidRPr="00222025" w:rsidRDefault="00000000">
            <w:pPr>
              <w:rPr>
                <w:rStyle w:val="IntenseReference"/>
              </w:rPr>
            </w:pPr>
            <w:r w:rsidRPr="00222025">
              <w:rPr>
                <w:rStyle w:val="IntenseReference"/>
              </w:rPr>
              <w:t>Ingestion, cleaning, leakage-safe preprocessing, SMOTE</w:t>
            </w:r>
          </w:p>
        </w:tc>
        <w:tc>
          <w:tcPr>
            <w:tcW w:w="1560" w:type="dxa"/>
            <w:shd w:val="clear" w:color="auto" w:fill="FFFFFF"/>
            <w:tcMar>
              <w:top w:w="80" w:type="dxa"/>
              <w:left w:w="100" w:type="dxa"/>
              <w:bottom w:w="80" w:type="dxa"/>
              <w:right w:w="100" w:type="dxa"/>
            </w:tcMar>
            <w:vAlign w:val="center"/>
          </w:tcPr>
          <w:p w14:paraId="5C90E1EC" w14:textId="77777777" w:rsidR="008B20C3" w:rsidRPr="00222025" w:rsidRDefault="00000000">
            <w:pPr>
              <w:rPr>
                <w:rStyle w:val="IntenseReference"/>
              </w:rPr>
            </w:pPr>
            <w:r w:rsidRPr="00222025">
              <w:rPr>
                <w:rStyle w:val="IntenseReference"/>
              </w:rPr>
              <w:t>Reproducible scikit-learn Pipeline</w:t>
            </w:r>
          </w:p>
        </w:tc>
      </w:tr>
      <w:tr w:rsidR="008B20C3" w:rsidRPr="00222025" w14:paraId="43DBE09B" w14:textId="77777777">
        <w:tc>
          <w:tcPr>
            <w:tcW w:w="2600" w:type="dxa"/>
            <w:shd w:val="clear" w:color="auto" w:fill="F1F5F9"/>
            <w:tcMar>
              <w:top w:w="80" w:type="dxa"/>
              <w:left w:w="100" w:type="dxa"/>
              <w:bottom w:w="80" w:type="dxa"/>
              <w:right w:w="100" w:type="dxa"/>
            </w:tcMar>
            <w:vAlign w:val="center"/>
          </w:tcPr>
          <w:p w14:paraId="273876DE" w14:textId="77777777" w:rsidR="008B20C3" w:rsidRPr="00222025" w:rsidRDefault="00000000">
            <w:pPr>
              <w:rPr>
                <w:rStyle w:val="IntenseReference"/>
              </w:rPr>
            </w:pPr>
            <w:r w:rsidRPr="00222025">
              <w:rPr>
                <w:rStyle w:val="IntenseReference"/>
              </w:rPr>
              <w:t>3. Model Training &amp; Tuning</w:t>
            </w:r>
          </w:p>
        </w:tc>
        <w:tc>
          <w:tcPr>
            <w:tcW w:w="1400" w:type="dxa"/>
            <w:shd w:val="clear" w:color="auto" w:fill="F1F5F9"/>
            <w:tcMar>
              <w:top w:w="80" w:type="dxa"/>
              <w:left w:w="100" w:type="dxa"/>
              <w:bottom w:w="80" w:type="dxa"/>
              <w:right w:w="100" w:type="dxa"/>
            </w:tcMar>
            <w:vAlign w:val="center"/>
          </w:tcPr>
          <w:p w14:paraId="3C34F60B" w14:textId="77777777" w:rsidR="008B20C3" w:rsidRPr="00222025" w:rsidRDefault="00000000">
            <w:pPr>
              <w:rPr>
                <w:rStyle w:val="IntenseReference"/>
              </w:rPr>
            </w:pPr>
            <w:r w:rsidRPr="00222025">
              <w:rPr>
                <w:rStyle w:val="IntenseReference"/>
              </w:rPr>
              <w:t>W7–W9</w:t>
            </w:r>
          </w:p>
        </w:tc>
        <w:tc>
          <w:tcPr>
            <w:tcW w:w="3800" w:type="dxa"/>
            <w:shd w:val="clear" w:color="auto" w:fill="F1F5F9"/>
            <w:tcMar>
              <w:top w:w="80" w:type="dxa"/>
              <w:left w:w="100" w:type="dxa"/>
              <w:bottom w:w="80" w:type="dxa"/>
              <w:right w:w="100" w:type="dxa"/>
            </w:tcMar>
            <w:vAlign w:val="center"/>
          </w:tcPr>
          <w:p w14:paraId="56CFE434" w14:textId="77777777" w:rsidR="008B20C3" w:rsidRPr="00222025" w:rsidRDefault="00000000">
            <w:pPr>
              <w:rPr>
                <w:rStyle w:val="IntenseReference"/>
              </w:rPr>
            </w:pPr>
            <w:r w:rsidRPr="00222025">
              <w:rPr>
                <w:rStyle w:val="IntenseReference"/>
              </w:rPr>
              <w:t xml:space="preserve">Baseline models, </w:t>
            </w:r>
            <w:proofErr w:type="spellStart"/>
            <w:r w:rsidRPr="00222025">
              <w:rPr>
                <w:rStyle w:val="IntenseReference"/>
              </w:rPr>
              <w:t>XGBoost</w:t>
            </w:r>
            <w:proofErr w:type="spellEnd"/>
            <w:r w:rsidRPr="00222025">
              <w:rPr>
                <w:rStyle w:val="IntenseReference"/>
              </w:rPr>
              <w:t xml:space="preserve">, </w:t>
            </w:r>
            <w:proofErr w:type="spellStart"/>
            <w:r w:rsidRPr="00222025">
              <w:rPr>
                <w:rStyle w:val="IntenseReference"/>
              </w:rPr>
              <w:t>Optuna</w:t>
            </w:r>
            <w:proofErr w:type="spellEnd"/>
            <w:r w:rsidRPr="00222025">
              <w:rPr>
                <w:rStyle w:val="IntenseReference"/>
              </w:rPr>
              <w:t xml:space="preserve"> tuning, SHAP</w:t>
            </w:r>
          </w:p>
        </w:tc>
        <w:tc>
          <w:tcPr>
            <w:tcW w:w="1560" w:type="dxa"/>
            <w:shd w:val="clear" w:color="auto" w:fill="F1F5F9"/>
            <w:tcMar>
              <w:top w:w="80" w:type="dxa"/>
              <w:left w:w="100" w:type="dxa"/>
              <w:bottom w:w="80" w:type="dxa"/>
              <w:right w:w="100" w:type="dxa"/>
            </w:tcMar>
            <w:vAlign w:val="center"/>
          </w:tcPr>
          <w:p w14:paraId="0072816D" w14:textId="77777777" w:rsidR="008B20C3" w:rsidRPr="00222025" w:rsidRDefault="00000000">
            <w:pPr>
              <w:rPr>
                <w:rStyle w:val="IntenseReference"/>
              </w:rPr>
            </w:pPr>
            <w:r w:rsidRPr="00222025">
              <w:rPr>
                <w:rStyle w:val="IntenseReference"/>
              </w:rPr>
              <w:t>Model meeting ≥80% recall target</w:t>
            </w:r>
          </w:p>
        </w:tc>
      </w:tr>
      <w:tr w:rsidR="008B20C3" w:rsidRPr="00222025" w14:paraId="3442C373" w14:textId="77777777">
        <w:tc>
          <w:tcPr>
            <w:tcW w:w="2600" w:type="dxa"/>
            <w:shd w:val="clear" w:color="auto" w:fill="FFFFFF"/>
            <w:tcMar>
              <w:top w:w="80" w:type="dxa"/>
              <w:left w:w="100" w:type="dxa"/>
              <w:bottom w:w="80" w:type="dxa"/>
              <w:right w:w="100" w:type="dxa"/>
            </w:tcMar>
            <w:vAlign w:val="center"/>
          </w:tcPr>
          <w:p w14:paraId="65446204" w14:textId="77777777" w:rsidR="008B20C3" w:rsidRPr="00222025" w:rsidRDefault="00000000">
            <w:pPr>
              <w:rPr>
                <w:rStyle w:val="IntenseReference"/>
              </w:rPr>
            </w:pPr>
            <w:r w:rsidRPr="00222025">
              <w:rPr>
                <w:rStyle w:val="IntenseReference"/>
              </w:rPr>
              <w:lastRenderedPageBreak/>
              <w:t xml:space="preserve">4. </w:t>
            </w:r>
            <w:proofErr w:type="spellStart"/>
            <w:r w:rsidRPr="00222025">
              <w:rPr>
                <w:rStyle w:val="IntenseReference"/>
              </w:rPr>
              <w:t>MLOps</w:t>
            </w:r>
            <w:proofErr w:type="spellEnd"/>
            <w:r w:rsidRPr="00222025">
              <w:rPr>
                <w:rStyle w:val="IntenseReference"/>
              </w:rPr>
              <w:t xml:space="preserve"> &amp; API</w:t>
            </w:r>
          </w:p>
        </w:tc>
        <w:tc>
          <w:tcPr>
            <w:tcW w:w="1400" w:type="dxa"/>
            <w:shd w:val="clear" w:color="auto" w:fill="FFFFFF"/>
            <w:tcMar>
              <w:top w:w="80" w:type="dxa"/>
              <w:left w:w="100" w:type="dxa"/>
              <w:bottom w:w="80" w:type="dxa"/>
              <w:right w:w="100" w:type="dxa"/>
            </w:tcMar>
            <w:vAlign w:val="center"/>
          </w:tcPr>
          <w:p w14:paraId="0B71123E" w14:textId="77777777" w:rsidR="008B20C3" w:rsidRPr="00222025" w:rsidRDefault="00000000">
            <w:pPr>
              <w:rPr>
                <w:rStyle w:val="IntenseReference"/>
              </w:rPr>
            </w:pPr>
            <w:r w:rsidRPr="00222025">
              <w:rPr>
                <w:rStyle w:val="IntenseReference"/>
              </w:rPr>
              <w:t>W10–W12</w:t>
            </w:r>
          </w:p>
        </w:tc>
        <w:tc>
          <w:tcPr>
            <w:tcW w:w="3800" w:type="dxa"/>
            <w:shd w:val="clear" w:color="auto" w:fill="FFFFFF"/>
            <w:tcMar>
              <w:top w:w="80" w:type="dxa"/>
              <w:left w:w="100" w:type="dxa"/>
              <w:bottom w:w="80" w:type="dxa"/>
              <w:right w:w="100" w:type="dxa"/>
            </w:tcMar>
            <w:vAlign w:val="center"/>
          </w:tcPr>
          <w:p w14:paraId="0BD57F63" w14:textId="77777777" w:rsidR="008B20C3" w:rsidRPr="00222025" w:rsidRDefault="00000000">
            <w:pPr>
              <w:rPr>
                <w:rStyle w:val="IntenseReference"/>
              </w:rPr>
            </w:pPr>
            <w:proofErr w:type="spellStart"/>
            <w:r w:rsidRPr="00222025">
              <w:rPr>
                <w:rStyle w:val="IntenseReference"/>
              </w:rPr>
              <w:t>MLflow</w:t>
            </w:r>
            <w:proofErr w:type="spellEnd"/>
            <w:r w:rsidRPr="00222025">
              <w:rPr>
                <w:rStyle w:val="IntenseReference"/>
              </w:rPr>
              <w:t xml:space="preserve"> registry, </w:t>
            </w:r>
            <w:proofErr w:type="spellStart"/>
            <w:r w:rsidRPr="00222025">
              <w:rPr>
                <w:rStyle w:val="IntenseReference"/>
              </w:rPr>
              <w:t>FastAPI</w:t>
            </w:r>
            <w:proofErr w:type="spellEnd"/>
            <w:r w:rsidRPr="00222025">
              <w:rPr>
                <w:rStyle w:val="IntenseReference"/>
              </w:rPr>
              <w:t xml:space="preserve"> service, Docker/Kubernetes packaging</w:t>
            </w:r>
          </w:p>
        </w:tc>
        <w:tc>
          <w:tcPr>
            <w:tcW w:w="1560" w:type="dxa"/>
            <w:shd w:val="clear" w:color="auto" w:fill="FFFFFF"/>
            <w:tcMar>
              <w:top w:w="80" w:type="dxa"/>
              <w:left w:w="100" w:type="dxa"/>
              <w:bottom w:w="80" w:type="dxa"/>
              <w:right w:w="100" w:type="dxa"/>
            </w:tcMar>
            <w:vAlign w:val="center"/>
          </w:tcPr>
          <w:p w14:paraId="1884A88C" w14:textId="77777777" w:rsidR="008B20C3" w:rsidRPr="00222025" w:rsidRDefault="00000000">
            <w:pPr>
              <w:rPr>
                <w:rStyle w:val="IntenseReference"/>
              </w:rPr>
            </w:pPr>
            <w:r w:rsidRPr="00222025">
              <w:rPr>
                <w:rStyle w:val="IntenseReference"/>
              </w:rPr>
              <w:t>Containerised prediction API</w:t>
            </w:r>
          </w:p>
        </w:tc>
      </w:tr>
      <w:tr w:rsidR="008B20C3" w:rsidRPr="00222025" w14:paraId="01898E6C" w14:textId="77777777">
        <w:tc>
          <w:tcPr>
            <w:tcW w:w="2600" w:type="dxa"/>
            <w:shd w:val="clear" w:color="auto" w:fill="F1F5F9"/>
            <w:tcMar>
              <w:top w:w="80" w:type="dxa"/>
              <w:left w:w="100" w:type="dxa"/>
              <w:bottom w:w="80" w:type="dxa"/>
              <w:right w:w="100" w:type="dxa"/>
            </w:tcMar>
            <w:vAlign w:val="center"/>
          </w:tcPr>
          <w:p w14:paraId="0050DC49" w14:textId="77777777" w:rsidR="008B20C3" w:rsidRPr="00222025" w:rsidRDefault="00000000">
            <w:pPr>
              <w:rPr>
                <w:rStyle w:val="IntenseReference"/>
              </w:rPr>
            </w:pPr>
            <w:r w:rsidRPr="00222025">
              <w:rPr>
                <w:rStyle w:val="IntenseReference"/>
              </w:rPr>
              <w:t>5. Deployment &amp; Monitoring</w:t>
            </w:r>
          </w:p>
        </w:tc>
        <w:tc>
          <w:tcPr>
            <w:tcW w:w="1400" w:type="dxa"/>
            <w:shd w:val="clear" w:color="auto" w:fill="F1F5F9"/>
            <w:tcMar>
              <w:top w:w="80" w:type="dxa"/>
              <w:left w:w="100" w:type="dxa"/>
              <w:bottom w:w="80" w:type="dxa"/>
              <w:right w:w="100" w:type="dxa"/>
            </w:tcMar>
            <w:vAlign w:val="center"/>
          </w:tcPr>
          <w:p w14:paraId="391F9744" w14:textId="77777777" w:rsidR="008B20C3" w:rsidRPr="00222025" w:rsidRDefault="00000000">
            <w:pPr>
              <w:rPr>
                <w:rStyle w:val="IntenseReference"/>
              </w:rPr>
            </w:pPr>
            <w:r w:rsidRPr="00222025">
              <w:rPr>
                <w:rStyle w:val="IntenseReference"/>
              </w:rPr>
              <w:t>W13–W15</w:t>
            </w:r>
          </w:p>
        </w:tc>
        <w:tc>
          <w:tcPr>
            <w:tcW w:w="3800" w:type="dxa"/>
            <w:shd w:val="clear" w:color="auto" w:fill="F1F5F9"/>
            <w:tcMar>
              <w:top w:w="80" w:type="dxa"/>
              <w:left w:w="100" w:type="dxa"/>
              <w:bottom w:w="80" w:type="dxa"/>
              <w:right w:w="100" w:type="dxa"/>
            </w:tcMar>
            <w:vAlign w:val="center"/>
          </w:tcPr>
          <w:p w14:paraId="0BFACEC5" w14:textId="77777777" w:rsidR="008B20C3" w:rsidRPr="00222025" w:rsidRDefault="00000000">
            <w:pPr>
              <w:rPr>
                <w:rStyle w:val="IntenseReference"/>
              </w:rPr>
            </w:pPr>
            <w:r w:rsidRPr="00222025">
              <w:rPr>
                <w:rStyle w:val="IntenseReference"/>
              </w:rPr>
              <w:t>Shadow deployment, A/B test, drift monitoring setup</w:t>
            </w:r>
          </w:p>
        </w:tc>
        <w:tc>
          <w:tcPr>
            <w:tcW w:w="1560" w:type="dxa"/>
            <w:shd w:val="clear" w:color="auto" w:fill="F1F5F9"/>
            <w:tcMar>
              <w:top w:w="80" w:type="dxa"/>
              <w:left w:w="100" w:type="dxa"/>
              <w:bottom w:w="80" w:type="dxa"/>
              <w:right w:w="100" w:type="dxa"/>
            </w:tcMar>
            <w:vAlign w:val="center"/>
          </w:tcPr>
          <w:p w14:paraId="2FDB0CDF" w14:textId="77777777" w:rsidR="008B20C3" w:rsidRPr="00222025" w:rsidRDefault="00000000">
            <w:pPr>
              <w:rPr>
                <w:rStyle w:val="IntenseReference"/>
              </w:rPr>
            </w:pPr>
            <w:r w:rsidRPr="00222025">
              <w:rPr>
                <w:rStyle w:val="IntenseReference"/>
              </w:rPr>
              <w:t>Production rollout decision</w:t>
            </w:r>
          </w:p>
        </w:tc>
      </w:tr>
    </w:tbl>
    <w:p w14:paraId="15297CAF" w14:textId="77777777" w:rsidR="008B20C3" w:rsidRPr="00222025" w:rsidRDefault="00000000">
      <w:pPr>
        <w:spacing w:before="80" w:after="240"/>
        <w:jc w:val="center"/>
        <w:rPr>
          <w:rStyle w:val="IntenseReference"/>
        </w:rPr>
      </w:pPr>
      <w:r w:rsidRPr="00222025">
        <w:rPr>
          <w:rStyle w:val="IntenseReference"/>
        </w:rPr>
        <w:t>Table 6.1 — Five-phase, fifteen-week execution timeline.</w:t>
      </w:r>
    </w:p>
    <w:p w14:paraId="73A108EF" w14:textId="77777777" w:rsidR="008B20C3" w:rsidRPr="00222025" w:rsidRDefault="00000000">
      <w:pPr>
        <w:spacing w:before="120" w:after="40"/>
        <w:jc w:val="center"/>
        <w:rPr>
          <w:rStyle w:val="IntenseReference"/>
        </w:rPr>
      </w:pPr>
      <w:r w:rsidRPr="00222025">
        <w:rPr>
          <w:rStyle w:val="IntenseReference"/>
          <w:noProof/>
        </w:rPr>
        <w:drawing>
          <wp:inline distT="0" distB="0" distL="0" distR="0" wp14:anchorId="48A8E5B0" wp14:editId="128074AC">
            <wp:extent cx="5029200" cy="2257425"/>
            <wp:effectExtent l="0" t="0" r="0" b="0"/>
            <wp:docPr id="446896285" name="Picture 44689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257425"/>
                    </a:xfrm>
                    <a:prstGeom prst="rect">
                      <a:avLst/>
                    </a:prstGeom>
                  </pic:spPr>
                </pic:pic>
              </a:graphicData>
            </a:graphic>
          </wp:inline>
        </w:drawing>
      </w:r>
    </w:p>
    <w:p w14:paraId="03E0A97C" w14:textId="77777777" w:rsidR="008B20C3" w:rsidRPr="00222025" w:rsidRDefault="00000000">
      <w:pPr>
        <w:spacing w:before="80" w:after="240"/>
        <w:jc w:val="center"/>
        <w:rPr>
          <w:rStyle w:val="IntenseReference"/>
        </w:rPr>
      </w:pPr>
      <w:r w:rsidRPr="00222025">
        <w:rPr>
          <w:rStyle w:val="IntenseReference"/>
        </w:rPr>
        <w:t>Figure 6.1 — Fifteen-week phase timeline, visualised.</w:t>
      </w:r>
    </w:p>
    <w:p w14:paraId="5CD29E16" w14:textId="77777777" w:rsidR="008B20C3" w:rsidRPr="00222025" w:rsidRDefault="00000000">
      <w:pPr>
        <w:pStyle w:val="Heading2"/>
        <w:spacing w:before="260" w:after="140"/>
        <w:rPr>
          <w:rStyle w:val="IntenseReference"/>
        </w:rPr>
      </w:pPr>
      <w:bookmarkStart w:id="17" w:name="_Toc237792697"/>
      <w:r w:rsidRPr="00222025">
        <w:rPr>
          <w:rStyle w:val="IntenseReference"/>
        </w:rPr>
        <w:t>6.1 Critical path</w:t>
      </w:r>
      <w:bookmarkEnd w:id="17"/>
    </w:p>
    <w:p w14:paraId="170799FF" w14:textId="77777777" w:rsidR="008B20C3" w:rsidRPr="00222025" w:rsidRDefault="00000000">
      <w:pPr>
        <w:spacing w:after="160" w:line="300" w:lineRule="auto"/>
        <w:rPr>
          <w:rStyle w:val="IntenseReference"/>
        </w:rPr>
      </w:pPr>
      <w:r w:rsidRPr="00222025">
        <w:rPr>
          <w:rStyle w:val="IntenseReference"/>
        </w:rPr>
        <w:t>The DPIA sign-off in Phase 1 is the single hardest dependency: no subscriber data may be processed for model training until it clears, so any legal delay pushes the entire remaining schedule by the same number of weeks — this is the one risk in the plan with no workaround. Within Phase 3, hyperparameter tuning is dependent on the SMOTE-corrected training pipeline from Phase 2 being finalised and frozen; retraining the pipeline mid-tuning would invalidate tuning results already collected.</w:t>
      </w:r>
    </w:p>
    <w:p w14:paraId="19AB839C" w14:textId="77777777" w:rsidR="008B20C3" w:rsidRPr="00222025" w:rsidRDefault="00000000">
      <w:pPr>
        <w:pStyle w:val="Heading2"/>
        <w:spacing w:before="260" w:after="140"/>
        <w:rPr>
          <w:rStyle w:val="IntenseReference"/>
        </w:rPr>
      </w:pPr>
      <w:bookmarkStart w:id="18" w:name="_Toc237792698"/>
      <w:r w:rsidRPr="00222025">
        <w:rPr>
          <w:rStyle w:val="IntenseReference"/>
        </w:rPr>
        <w:t>6.2 Milestones</w:t>
      </w:r>
      <w:bookmarkEnd w:id="18"/>
    </w:p>
    <w:p w14:paraId="63E4C572" w14:textId="77777777" w:rsidR="008B20C3" w:rsidRPr="00222025" w:rsidRDefault="00000000">
      <w:pPr>
        <w:pStyle w:val="ListParagraph"/>
        <w:numPr>
          <w:ilvl w:val="0"/>
          <w:numId w:val="2"/>
        </w:numPr>
        <w:spacing w:after="80"/>
        <w:rPr>
          <w:rStyle w:val="IntenseReference"/>
        </w:rPr>
      </w:pPr>
      <w:r w:rsidRPr="00222025">
        <w:rPr>
          <w:rStyle w:val="IntenseReference"/>
        </w:rPr>
        <w:t>End of W3: DPIA approved, data access granted — gating milestone for the whole project.</w:t>
      </w:r>
    </w:p>
    <w:p w14:paraId="5A779515" w14:textId="77777777" w:rsidR="008B20C3" w:rsidRPr="00222025" w:rsidRDefault="00000000">
      <w:pPr>
        <w:pStyle w:val="ListParagraph"/>
        <w:numPr>
          <w:ilvl w:val="0"/>
          <w:numId w:val="2"/>
        </w:numPr>
        <w:spacing w:after="80"/>
        <w:rPr>
          <w:rStyle w:val="IntenseReference"/>
        </w:rPr>
      </w:pPr>
      <w:r w:rsidRPr="00222025">
        <w:rPr>
          <w:rStyle w:val="IntenseReference"/>
        </w:rPr>
        <w:t>End of W6: Clean, leakage-tested preprocessing pipeline with class-imbalance handling in place.</w:t>
      </w:r>
    </w:p>
    <w:p w14:paraId="389F2B55" w14:textId="77777777" w:rsidR="008B20C3" w:rsidRPr="00222025" w:rsidRDefault="00000000">
      <w:pPr>
        <w:pStyle w:val="ListParagraph"/>
        <w:numPr>
          <w:ilvl w:val="0"/>
          <w:numId w:val="2"/>
        </w:numPr>
        <w:spacing w:after="80"/>
        <w:rPr>
          <w:rStyle w:val="IntenseReference"/>
        </w:rPr>
      </w:pPr>
      <w:r w:rsidRPr="00222025">
        <w:rPr>
          <w:rStyle w:val="IntenseReference"/>
        </w:rPr>
        <w:t>End of W9: Final model selected, recall ≥80% on held-out test data, SHAP explainability integrated.</w:t>
      </w:r>
    </w:p>
    <w:p w14:paraId="4D4E3A83" w14:textId="77777777" w:rsidR="008B20C3" w:rsidRPr="00222025" w:rsidRDefault="00000000">
      <w:pPr>
        <w:pStyle w:val="ListParagraph"/>
        <w:numPr>
          <w:ilvl w:val="0"/>
          <w:numId w:val="2"/>
        </w:numPr>
        <w:spacing w:after="80"/>
        <w:rPr>
          <w:rStyle w:val="IntenseReference"/>
        </w:rPr>
      </w:pPr>
      <w:r w:rsidRPr="00222025">
        <w:rPr>
          <w:rStyle w:val="IntenseReference"/>
        </w:rPr>
        <w:t>End of W12: API deployed to a staging environment, load-tested for sub-100ms response time.</w:t>
      </w:r>
    </w:p>
    <w:p w14:paraId="4D279D3D" w14:textId="77777777" w:rsidR="008B20C3" w:rsidRPr="00222025" w:rsidRDefault="00000000">
      <w:pPr>
        <w:pStyle w:val="ListParagraph"/>
        <w:numPr>
          <w:ilvl w:val="0"/>
          <w:numId w:val="2"/>
        </w:numPr>
        <w:spacing w:after="80"/>
        <w:rPr>
          <w:rStyle w:val="IntenseReference"/>
        </w:rPr>
      </w:pPr>
      <w:r w:rsidRPr="00222025">
        <w:rPr>
          <w:rStyle w:val="IntenseReference"/>
        </w:rPr>
        <w:t>End of W15: Go/no-go decision on full production rollout, based on A/B test results from Phase C.</w:t>
      </w:r>
    </w:p>
    <w:p w14:paraId="03C80B59" w14:textId="77777777" w:rsidR="008B20C3" w:rsidRPr="00222025" w:rsidRDefault="00000000">
      <w:pPr>
        <w:pStyle w:val="Heading1"/>
        <w:pBdr>
          <w:bottom w:val="single" w:sz="12" w:space="4" w:color="0891B2"/>
        </w:pBdr>
        <w:spacing w:before="360" w:after="200"/>
        <w:rPr>
          <w:rStyle w:val="IntenseReference"/>
        </w:rPr>
      </w:pPr>
      <w:bookmarkStart w:id="19" w:name="_Toc237792699"/>
      <w:r w:rsidRPr="00222025">
        <w:rPr>
          <w:rStyle w:val="IntenseReference"/>
        </w:rPr>
        <w:lastRenderedPageBreak/>
        <w:t>7. Resource Requirements</w:t>
      </w:r>
      <w:bookmarkEnd w:id="19"/>
    </w:p>
    <w:p w14:paraId="2C68152C" w14:textId="77777777" w:rsidR="008B20C3" w:rsidRPr="00222025" w:rsidRDefault="00000000">
      <w:pPr>
        <w:pStyle w:val="Heading2"/>
        <w:spacing w:before="260" w:after="140"/>
        <w:rPr>
          <w:rStyle w:val="IntenseReference"/>
        </w:rPr>
      </w:pPr>
      <w:bookmarkStart w:id="20" w:name="_Toc237792700"/>
      <w:r w:rsidRPr="00222025">
        <w:rPr>
          <w:rStyle w:val="IntenseReference"/>
        </w:rPr>
        <w:t>7.1 Team and role allocation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3600"/>
        <w:gridCol w:w="1400"/>
        <w:gridCol w:w="1680"/>
      </w:tblGrid>
      <w:tr w:rsidR="008B20C3" w:rsidRPr="00222025" w14:paraId="15BF4035" w14:textId="77777777">
        <w:trPr>
          <w:tblHeader/>
        </w:trPr>
        <w:tc>
          <w:tcPr>
            <w:tcW w:w="2680" w:type="dxa"/>
            <w:shd w:val="clear" w:color="auto" w:fill="1E293B"/>
            <w:tcMar>
              <w:top w:w="80" w:type="dxa"/>
              <w:left w:w="100" w:type="dxa"/>
              <w:bottom w:w="80" w:type="dxa"/>
              <w:right w:w="100" w:type="dxa"/>
            </w:tcMar>
            <w:vAlign w:val="center"/>
          </w:tcPr>
          <w:p w14:paraId="30010989" w14:textId="77777777" w:rsidR="008B20C3" w:rsidRPr="00222025" w:rsidRDefault="00000000">
            <w:pPr>
              <w:jc w:val="center"/>
              <w:rPr>
                <w:rStyle w:val="IntenseReference"/>
              </w:rPr>
            </w:pPr>
            <w:r w:rsidRPr="00222025">
              <w:rPr>
                <w:rStyle w:val="IntenseReference"/>
              </w:rPr>
              <w:t>Role</w:t>
            </w:r>
          </w:p>
        </w:tc>
        <w:tc>
          <w:tcPr>
            <w:tcW w:w="3600" w:type="dxa"/>
            <w:shd w:val="clear" w:color="auto" w:fill="1E293B"/>
            <w:tcMar>
              <w:top w:w="80" w:type="dxa"/>
              <w:left w:w="100" w:type="dxa"/>
              <w:bottom w:w="80" w:type="dxa"/>
              <w:right w:w="100" w:type="dxa"/>
            </w:tcMar>
            <w:vAlign w:val="center"/>
          </w:tcPr>
          <w:p w14:paraId="32D78A5D" w14:textId="77777777" w:rsidR="008B20C3" w:rsidRPr="00222025" w:rsidRDefault="00000000">
            <w:pPr>
              <w:jc w:val="center"/>
              <w:rPr>
                <w:rStyle w:val="IntenseReference"/>
              </w:rPr>
            </w:pPr>
            <w:r w:rsidRPr="00222025">
              <w:rPr>
                <w:rStyle w:val="IntenseReference"/>
              </w:rPr>
              <w:t>Responsibility</w:t>
            </w:r>
          </w:p>
        </w:tc>
        <w:tc>
          <w:tcPr>
            <w:tcW w:w="1400" w:type="dxa"/>
            <w:shd w:val="clear" w:color="auto" w:fill="1E293B"/>
            <w:tcMar>
              <w:top w:w="80" w:type="dxa"/>
              <w:left w:w="100" w:type="dxa"/>
              <w:bottom w:w="80" w:type="dxa"/>
              <w:right w:w="100" w:type="dxa"/>
            </w:tcMar>
            <w:vAlign w:val="center"/>
          </w:tcPr>
          <w:p w14:paraId="11E3D11A" w14:textId="77777777" w:rsidR="008B20C3" w:rsidRPr="00222025" w:rsidRDefault="00000000">
            <w:pPr>
              <w:jc w:val="center"/>
              <w:rPr>
                <w:rStyle w:val="IntenseReference"/>
              </w:rPr>
            </w:pPr>
            <w:r w:rsidRPr="00222025">
              <w:rPr>
                <w:rStyle w:val="IntenseReference"/>
              </w:rPr>
              <w:t>Allocation</w:t>
            </w:r>
          </w:p>
        </w:tc>
        <w:tc>
          <w:tcPr>
            <w:tcW w:w="1680" w:type="dxa"/>
            <w:shd w:val="clear" w:color="auto" w:fill="1E293B"/>
            <w:tcMar>
              <w:top w:w="80" w:type="dxa"/>
              <w:left w:w="100" w:type="dxa"/>
              <w:bottom w:w="80" w:type="dxa"/>
              <w:right w:w="100" w:type="dxa"/>
            </w:tcMar>
            <w:vAlign w:val="center"/>
          </w:tcPr>
          <w:p w14:paraId="6BD99893" w14:textId="77777777" w:rsidR="008B20C3" w:rsidRPr="00222025" w:rsidRDefault="00000000">
            <w:pPr>
              <w:jc w:val="center"/>
              <w:rPr>
                <w:rStyle w:val="IntenseReference"/>
              </w:rPr>
            </w:pPr>
            <w:r w:rsidRPr="00222025">
              <w:rPr>
                <w:rStyle w:val="IntenseReference"/>
              </w:rPr>
              <w:t>Primary tools</w:t>
            </w:r>
          </w:p>
        </w:tc>
      </w:tr>
      <w:tr w:rsidR="008B20C3" w:rsidRPr="00222025" w14:paraId="524C9A1F" w14:textId="77777777">
        <w:tc>
          <w:tcPr>
            <w:tcW w:w="2680" w:type="dxa"/>
            <w:shd w:val="clear" w:color="auto" w:fill="F1F5F9"/>
            <w:tcMar>
              <w:top w:w="80" w:type="dxa"/>
              <w:left w:w="100" w:type="dxa"/>
              <w:bottom w:w="80" w:type="dxa"/>
              <w:right w:w="100" w:type="dxa"/>
            </w:tcMar>
            <w:vAlign w:val="center"/>
          </w:tcPr>
          <w:p w14:paraId="650EEE05" w14:textId="77777777" w:rsidR="008B20C3" w:rsidRPr="00222025" w:rsidRDefault="00000000">
            <w:pPr>
              <w:rPr>
                <w:rStyle w:val="IntenseReference"/>
              </w:rPr>
            </w:pPr>
            <w:r w:rsidRPr="00222025">
              <w:rPr>
                <w:rStyle w:val="IntenseReference"/>
              </w:rPr>
              <w:t>Lead AI/ML Systems Engineer</w:t>
            </w:r>
          </w:p>
        </w:tc>
        <w:tc>
          <w:tcPr>
            <w:tcW w:w="3600" w:type="dxa"/>
            <w:shd w:val="clear" w:color="auto" w:fill="F1F5F9"/>
            <w:tcMar>
              <w:top w:w="80" w:type="dxa"/>
              <w:left w:w="100" w:type="dxa"/>
              <w:bottom w:w="80" w:type="dxa"/>
              <w:right w:w="100" w:type="dxa"/>
            </w:tcMar>
            <w:vAlign w:val="center"/>
          </w:tcPr>
          <w:p w14:paraId="08CE1B93" w14:textId="77777777" w:rsidR="008B20C3" w:rsidRPr="00222025" w:rsidRDefault="00000000">
            <w:pPr>
              <w:rPr>
                <w:rStyle w:val="IntenseReference"/>
              </w:rPr>
            </w:pPr>
            <w:proofErr w:type="spellStart"/>
            <w:r w:rsidRPr="00222025">
              <w:rPr>
                <w:rStyle w:val="IntenseReference"/>
              </w:rPr>
              <w:t>MLOps</w:t>
            </w:r>
            <w:proofErr w:type="spellEnd"/>
            <w:r w:rsidRPr="00222025">
              <w:rPr>
                <w:rStyle w:val="IntenseReference"/>
              </w:rPr>
              <w:t xml:space="preserve"> architecture, orchestration, deployment</w:t>
            </w:r>
          </w:p>
        </w:tc>
        <w:tc>
          <w:tcPr>
            <w:tcW w:w="1400" w:type="dxa"/>
            <w:shd w:val="clear" w:color="auto" w:fill="F1F5F9"/>
            <w:tcMar>
              <w:top w:w="80" w:type="dxa"/>
              <w:left w:w="100" w:type="dxa"/>
              <w:bottom w:w="80" w:type="dxa"/>
              <w:right w:w="100" w:type="dxa"/>
            </w:tcMar>
            <w:vAlign w:val="center"/>
          </w:tcPr>
          <w:p w14:paraId="66047D23" w14:textId="77777777" w:rsidR="008B20C3" w:rsidRPr="00222025" w:rsidRDefault="00000000">
            <w:pPr>
              <w:rPr>
                <w:rStyle w:val="IntenseReference"/>
              </w:rPr>
            </w:pPr>
            <w:r w:rsidRPr="00222025">
              <w:rPr>
                <w:rStyle w:val="IntenseReference"/>
              </w:rPr>
              <w:t>100%</w:t>
            </w:r>
          </w:p>
        </w:tc>
        <w:tc>
          <w:tcPr>
            <w:tcW w:w="1680" w:type="dxa"/>
            <w:shd w:val="clear" w:color="auto" w:fill="F1F5F9"/>
            <w:tcMar>
              <w:top w:w="80" w:type="dxa"/>
              <w:left w:w="100" w:type="dxa"/>
              <w:bottom w:w="80" w:type="dxa"/>
              <w:right w:w="100" w:type="dxa"/>
            </w:tcMar>
            <w:vAlign w:val="center"/>
          </w:tcPr>
          <w:p w14:paraId="5541A465" w14:textId="77777777" w:rsidR="008B20C3" w:rsidRPr="00222025" w:rsidRDefault="00000000">
            <w:pPr>
              <w:rPr>
                <w:rStyle w:val="IntenseReference"/>
              </w:rPr>
            </w:pPr>
            <w:proofErr w:type="spellStart"/>
            <w:r w:rsidRPr="00222025">
              <w:rPr>
                <w:rStyle w:val="IntenseReference"/>
              </w:rPr>
              <w:t>FastAPI</w:t>
            </w:r>
            <w:proofErr w:type="spellEnd"/>
            <w:r w:rsidRPr="00222025">
              <w:rPr>
                <w:rStyle w:val="IntenseReference"/>
              </w:rPr>
              <w:t>, Docker, Kubernetes</w:t>
            </w:r>
          </w:p>
        </w:tc>
      </w:tr>
      <w:tr w:rsidR="008B20C3" w:rsidRPr="00222025" w14:paraId="3FF316F0" w14:textId="77777777">
        <w:tc>
          <w:tcPr>
            <w:tcW w:w="2680" w:type="dxa"/>
            <w:shd w:val="clear" w:color="auto" w:fill="FFFFFF"/>
            <w:tcMar>
              <w:top w:w="80" w:type="dxa"/>
              <w:left w:w="100" w:type="dxa"/>
              <w:bottom w:w="80" w:type="dxa"/>
              <w:right w:w="100" w:type="dxa"/>
            </w:tcMar>
            <w:vAlign w:val="center"/>
          </w:tcPr>
          <w:p w14:paraId="5FC17286" w14:textId="77777777" w:rsidR="008B20C3" w:rsidRPr="00222025" w:rsidRDefault="00000000">
            <w:pPr>
              <w:rPr>
                <w:rStyle w:val="IntenseReference"/>
              </w:rPr>
            </w:pPr>
            <w:r w:rsidRPr="00222025">
              <w:rPr>
                <w:rStyle w:val="IntenseReference"/>
              </w:rPr>
              <w:t>Data Scientists (x2)</w:t>
            </w:r>
          </w:p>
        </w:tc>
        <w:tc>
          <w:tcPr>
            <w:tcW w:w="3600" w:type="dxa"/>
            <w:shd w:val="clear" w:color="auto" w:fill="FFFFFF"/>
            <w:tcMar>
              <w:top w:w="80" w:type="dxa"/>
              <w:left w:w="100" w:type="dxa"/>
              <w:bottom w:w="80" w:type="dxa"/>
              <w:right w:w="100" w:type="dxa"/>
            </w:tcMar>
            <w:vAlign w:val="center"/>
          </w:tcPr>
          <w:p w14:paraId="1B5361AA" w14:textId="77777777" w:rsidR="008B20C3" w:rsidRPr="00222025" w:rsidRDefault="00000000">
            <w:pPr>
              <w:rPr>
                <w:rStyle w:val="IntenseReference"/>
              </w:rPr>
            </w:pPr>
            <w:r w:rsidRPr="00222025">
              <w:rPr>
                <w:rStyle w:val="IntenseReference"/>
              </w:rPr>
              <w:t>Feature engineering, model training, tuning, SHAP</w:t>
            </w:r>
          </w:p>
        </w:tc>
        <w:tc>
          <w:tcPr>
            <w:tcW w:w="1400" w:type="dxa"/>
            <w:shd w:val="clear" w:color="auto" w:fill="FFFFFF"/>
            <w:tcMar>
              <w:top w:w="80" w:type="dxa"/>
              <w:left w:w="100" w:type="dxa"/>
              <w:bottom w:w="80" w:type="dxa"/>
              <w:right w:w="100" w:type="dxa"/>
            </w:tcMar>
            <w:vAlign w:val="center"/>
          </w:tcPr>
          <w:p w14:paraId="68D66835" w14:textId="77777777" w:rsidR="008B20C3" w:rsidRPr="00222025" w:rsidRDefault="00000000">
            <w:pPr>
              <w:rPr>
                <w:rStyle w:val="IntenseReference"/>
              </w:rPr>
            </w:pPr>
            <w:r w:rsidRPr="00222025">
              <w:rPr>
                <w:rStyle w:val="IntenseReference"/>
              </w:rPr>
              <w:t>100%</w:t>
            </w:r>
          </w:p>
        </w:tc>
        <w:tc>
          <w:tcPr>
            <w:tcW w:w="1680" w:type="dxa"/>
            <w:shd w:val="clear" w:color="auto" w:fill="FFFFFF"/>
            <w:tcMar>
              <w:top w:w="80" w:type="dxa"/>
              <w:left w:w="100" w:type="dxa"/>
              <w:bottom w:w="80" w:type="dxa"/>
              <w:right w:w="100" w:type="dxa"/>
            </w:tcMar>
            <w:vAlign w:val="center"/>
          </w:tcPr>
          <w:p w14:paraId="0468B4F7" w14:textId="77777777" w:rsidR="008B20C3" w:rsidRPr="00222025" w:rsidRDefault="00000000">
            <w:pPr>
              <w:rPr>
                <w:rStyle w:val="IntenseReference"/>
              </w:rPr>
            </w:pPr>
            <w:r w:rsidRPr="00222025">
              <w:rPr>
                <w:rStyle w:val="IntenseReference"/>
              </w:rPr>
              <w:t xml:space="preserve">scikit-learn, </w:t>
            </w:r>
            <w:proofErr w:type="spellStart"/>
            <w:r w:rsidRPr="00222025">
              <w:rPr>
                <w:rStyle w:val="IntenseReference"/>
              </w:rPr>
              <w:t>XGBoost</w:t>
            </w:r>
            <w:proofErr w:type="spellEnd"/>
            <w:r w:rsidRPr="00222025">
              <w:rPr>
                <w:rStyle w:val="IntenseReference"/>
              </w:rPr>
              <w:t xml:space="preserve">, </w:t>
            </w:r>
            <w:proofErr w:type="spellStart"/>
            <w:r w:rsidRPr="00222025">
              <w:rPr>
                <w:rStyle w:val="IntenseReference"/>
              </w:rPr>
              <w:t>Optuna</w:t>
            </w:r>
            <w:proofErr w:type="spellEnd"/>
          </w:p>
        </w:tc>
      </w:tr>
      <w:tr w:rsidR="008B20C3" w:rsidRPr="00222025" w14:paraId="6DA82B67" w14:textId="77777777">
        <w:tc>
          <w:tcPr>
            <w:tcW w:w="2680" w:type="dxa"/>
            <w:shd w:val="clear" w:color="auto" w:fill="F1F5F9"/>
            <w:tcMar>
              <w:top w:w="80" w:type="dxa"/>
              <w:left w:w="100" w:type="dxa"/>
              <w:bottom w:w="80" w:type="dxa"/>
              <w:right w:w="100" w:type="dxa"/>
            </w:tcMar>
            <w:vAlign w:val="center"/>
          </w:tcPr>
          <w:p w14:paraId="6BC3B94C" w14:textId="77777777" w:rsidR="008B20C3" w:rsidRPr="00222025" w:rsidRDefault="00000000">
            <w:pPr>
              <w:rPr>
                <w:rStyle w:val="IntenseReference"/>
              </w:rPr>
            </w:pPr>
            <w:r w:rsidRPr="00222025">
              <w:rPr>
                <w:rStyle w:val="IntenseReference"/>
              </w:rPr>
              <w:t>Data Engineer</w:t>
            </w:r>
          </w:p>
        </w:tc>
        <w:tc>
          <w:tcPr>
            <w:tcW w:w="3600" w:type="dxa"/>
            <w:shd w:val="clear" w:color="auto" w:fill="F1F5F9"/>
            <w:tcMar>
              <w:top w:w="80" w:type="dxa"/>
              <w:left w:w="100" w:type="dxa"/>
              <w:bottom w:w="80" w:type="dxa"/>
              <w:right w:w="100" w:type="dxa"/>
            </w:tcMar>
            <w:vAlign w:val="center"/>
          </w:tcPr>
          <w:p w14:paraId="4EA876B8" w14:textId="77777777" w:rsidR="008B20C3" w:rsidRPr="00222025" w:rsidRDefault="00000000">
            <w:pPr>
              <w:rPr>
                <w:rStyle w:val="IntenseReference"/>
              </w:rPr>
            </w:pPr>
            <w:r w:rsidRPr="00222025">
              <w:rPr>
                <w:rStyle w:val="IntenseReference"/>
              </w:rPr>
              <w:t>Ingestion, preprocessing at scale, version control</w:t>
            </w:r>
          </w:p>
        </w:tc>
        <w:tc>
          <w:tcPr>
            <w:tcW w:w="1400" w:type="dxa"/>
            <w:shd w:val="clear" w:color="auto" w:fill="F1F5F9"/>
            <w:tcMar>
              <w:top w:w="80" w:type="dxa"/>
              <w:left w:w="100" w:type="dxa"/>
              <w:bottom w:w="80" w:type="dxa"/>
              <w:right w:w="100" w:type="dxa"/>
            </w:tcMar>
            <w:vAlign w:val="center"/>
          </w:tcPr>
          <w:p w14:paraId="2FDF5014" w14:textId="77777777" w:rsidR="008B20C3" w:rsidRPr="00222025" w:rsidRDefault="00000000">
            <w:pPr>
              <w:rPr>
                <w:rStyle w:val="IntenseReference"/>
              </w:rPr>
            </w:pPr>
            <w:r w:rsidRPr="00222025">
              <w:rPr>
                <w:rStyle w:val="IntenseReference"/>
              </w:rPr>
              <w:t>100%</w:t>
            </w:r>
          </w:p>
        </w:tc>
        <w:tc>
          <w:tcPr>
            <w:tcW w:w="1680" w:type="dxa"/>
            <w:shd w:val="clear" w:color="auto" w:fill="F1F5F9"/>
            <w:tcMar>
              <w:top w:w="80" w:type="dxa"/>
              <w:left w:w="100" w:type="dxa"/>
              <w:bottom w:w="80" w:type="dxa"/>
              <w:right w:w="100" w:type="dxa"/>
            </w:tcMar>
            <w:vAlign w:val="center"/>
          </w:tcPr>
          <w:p w14:paraId="250FE3F0" w14:textId="77777777" w:rsidR="008B20C3" w:rsidRPr="00222025" w:rsidRDefault="00000000">
            <w:pPr>
              <w:rPr>
                <w:rStyle w:val="IntenseReference"/>
              </w:rPr>
            </w:pPr>
            <w:proofErr w:type="spellStart"/>
            <w:r w:rsidRPr="00222025">
              <w:rPr>
                <w:rStyle w:val="IntenseReference"/>
              </w:rPr>
              <w:t>PySpark</w:t>
            </w:r>
            <w:proofErr w:type="spellEnd"/>
            <w:r w:rsidRPr="00222025">
              <w:rPr>
                <w:rStyle w:val="IntenseReference"/>
              </w:rPr>
              <w:t>, Kafka, DVC</w:t>
            </w:r>
          </w:p>
        </w:tc>
      </w:tr>
      <w:tr w:rsidR="008B20C3" w:rsidRPr="00222025" w14:paraId="2A3BB0F8" w14:textId="77777777">
        <w:tc>
          <w:tcPr>
            <w:tcW w:w="2680" w:type="dxa"/>
            <w:shd w:val="clear" w:color="auto" w:fill="FFFFFF"/>
            <w:tcMar>
              <w:top w:w="80" w:type="dxa"/>
              <w:left w:w="100" w:type="dxa"/>
              <w:bottom w:w="80" w:type="dxa"/>
              <w:right w:w="100" w:type="dxa"/>
            </w:tcMar>
            <w:vAlign w:val="center"/>
          </w:tcPr>
          <w:p w14:paraId="6795F79D" w14:textId="77777777" w:rsidR="008B20C3" w:rsidRPr="00222025" w:rsidRDefault="00000000">
            <w:pPr>
              <w:rPr>
                <w:rStyle w:val="IntenseReference"/>
              </w:rPr>
            </w:pPr>
            <w:r w:rsidRPr="00222025">
              <w:rPr>
                <w:rStyle w:val="IntenseReference"/>
              </w:rPr>
              <w:t>Data Protection Officer</w:t>
            </w:r>
          </w:p>
        </w:tc>
        <w:tc>
          <w:tcPr>
            <w:tcW w:w="3600" w:type="dxa"/>
            <w:shd w:val="clear" w:color="auto" w:fill="FFFFFF"/>
            <w:tcMar>
              <w:top w:w="80" w:type="dxa"/>
              <w:left w:w="100" w:type="dxa"/>
              <w:bottom w:w="80" w:type="dxa"/>
              <w:right w:w="100" w:type="dxa"/>
            </w:tcMar>
            <w:vAlign w:val="center"/>
          </w:tcPr>
          <w:p w14:paraId="7F494322" w14:textId="77777777" w:rsidR="008B20C3" w:rsidRPr="00222025" w:rsidRDefault="00000000">
            <w:pPr>
              <w:rPr>
                <w:rStyle w:val="IntenseReference"/>
              </w:rPr>
            </w:pPr>
            <w:r w:rsidRPr="00222025">
              <w:rPr>
                <w:rStyle w:val="IntenseReference"/>
              </w:rPr>
              <w:t>DPDP Act compliance, DPIA, consent verification</w:t>
            </w:r>
          </w:p>
        </w:tc>
        <w:tc>
          <w:tcPr>
            <w:tcW w:w="1400" w:type="dxa"/>
            <w:shd w:val="clear" w:color="auto" w:fill="FFFFFF"/>
            <w:tcMar>
              <w:top w:w="80" w:type="dxa"/>
              <w:left w:w="100" w:type="dxa"/>
              <w:bottom w:w="80" w:type="dxa"/>
              <w:right w:w="100" w:type="dxa"/>
            </w:tcMar>
            <w:vAlign w:val="center"/>
          </w:tcPr>
          <w:p w14:paraId="38A16E48" w14:textId="77777777" w:rsidR="008B20C3" w:rsidRPr="00222025" w:rsidRDefault="00000000">
            <w:pPr>
              <w:rPr>
                <w:rStyle w:val="IntenseReference"/>
              </w:rPr>
            </w:pPr>
            <w:r w:rsidRPr="00222025">
              <w:rPr>
                <w:rStyle w:val="IntenseReference"/>
              </w:rPr>
              <w:t>25%</w:t>
            </w:r>
          </w:p>
        </w:tc>
        <w:tc>
          <w:tcPr>
            <w:tcW w:w="1680" w:type="dxa"/>
            <w:shd w:val="clear" w:color="auto" w:fill="FFFFFF"/>
            <w:tcMar>
              <w:top w:w="80" w:type="dxa"/>
              <w:left w:w="100" w:type="dxa"/>
              <w:bottom w:w="80" w:type="dxa"/>
              <w:right w:w="100" w:type="dxa"/>
            </w:tcMar>
            <w:vAlign w:val="center"/>
          </w:tcPr>
          <w:p w14:paraId="24108E9C" w14:textId="77777777" w:rsidR="008B20C3" w:rsidRPr="00222025" w:rsidRDefault="00000000">
            <w:pPr>
              <w:rPr>
                <w:rStyle w:val="IntenseReference"/>
              </w:rPr>
            </w:pPr>
            <w:r w:rsidRPr="00222025">
              <w:rPr>
                <w:rStyle w:val="IntenseReference"/>
              </w:rPr>
              <w:t>Legal / compliance review</w:t>
            </w:r>
          </w:p>
        </w:tc>
      </w:tr>
    </w:tbl>
    <w:p w14:paraId="4F00D9B5" w14:textId="77777777" w:rsidR="008B20C3" w:rsidRPr="00222025" w:rsidRDefault="00000000">
      <w:pPr>
        <w:spacing w:before="80" w:after="240"/>
        <w:jc w:val="center"/>
        <w:rPr>
          <w:rStyle w:val="IntenseReference"/>
        </w:rPr>
      </w:pPr>
      <w:r w:rsidRPr="00222025">
        <w:rPr>
          <w:rStyle w:val="IntenseReference"/>
        </w:rPr>
        <w:t>Table 7.1 — Team composition and allocation.</w:t>
      </w:r>
    </w:p>
    <w:p w14:paraId="6EACD6C2" w14:textId="77777777" w:rsidR="008B20C3" w:rsidRPr="00222025" w:rsidRDefault="00000000">
      <w:pPr>
        <w:spacing w:after="160" w:line="300" w:lineRule="auto"/>
        <w:rPr>
          <w:rStyle w:val="IntenseReference"/>
        </w:rPr>
      </w:pPr>
      <w:r w:rsidRPr="00222025">
        <w:rPr>
          <w:rStyle w:val="IntenseReference"/>
        </w:rPr>
        <w:t>The Data Protection Officer's 25% allocation is front-loaded almost entirely into Phase 1 — treating it as an even 25% across all fifteen weeks would understate the actual Phase 1 workload and is a planning trap worth calling out explicitly.</w:t>
      </w:r>
    </w:p>
    <w:p w14:paraId="77B7C0CA" w14:textId="77777777" w:rsidR="008B20C3" w:rsidRPr="00222025" w:rsidRDefault="00000000">
      <w:pPr>
        <w:pStyle w:val="Heading2"/>
        <w:spacing w:before="260" w:after="140"/>
        <w:rPr>
          <w:rStyle w:val="IntenseReference"/>
        </w:rPr>
      </w:pPr>
      <w:bookmarkStart w:id="21" w:name="_Toc237792701"/>
      <w:r w:rsidRPr="00222025">
        <w:rPr>
          <w:rStyle w:val="IntenseReference"/>
        </w:rPr>
        <w:t>7.2 Software and infrastructure</w:t>
      </w:r>
      <w:bookmarkEnd w:id="21"/>
    </w:p>
    <w:p w14:paraId="5F6C1060" w14:textId="77777777" w:rsidR="008B20C3" w:rsidRPr="00222025" w:rsidRDefault="00000000">
      <w:pPr>
        <w:pStyle w:val="ListParagraph"/>
        <w:numPr>
          <w:ilvl w:val="0"/>
          <w:numId w:val="2"/>
        </w:numPr>
        <w:spacing w:after="80"/>
        <w:rPr>
          <w:rStyle w:val="IntenseReference"/>
        </w:rPr>
      </w:pPr>
      <w:r w:rsidRPr="00222025">
        <w:rPr>
          <w:rStyle w:val="IntenseReference"/>
        </w:rPr>
        <w:t xml:space="preserve">Languages / libraries: Python, pandas, scikit-learn, </w:t>
      </w:r>
      <w:proofErr w:type="spellStart"/>
      <w:r w:rsidRPr="00222025">
        <w:rPr>
          <w:rStyle w:val="IntenseReference"/>
        </w:rPr>
        <w:t>XGBoost</w:t>
      </w:r>
      <w:proofErr w:type="spellEnd"/>
      <w:r w:rsidRPr="00222025">
        <w:rPr>
          <w:rStyle w:val="IntenseReference"/>
        </w:rPr>
        <w:t xml:space="preserve">, </w:t>
      </w:r>
      <w:proofErr w:type="spellStart"/>
      <w:r w:rsidRPr="00222025">
        <w:rPr>
          <w:rStyle w:val="IntenseReference"/>
        </w:rPr>
        <w:t>Optuna</w:t>
      </w:r>
      <w:proofErr w:type="spellEnd"/>
      <w:r w:rsidRPr="00222025">
        <w:rPr>
          <w:rStyle w:val="IntenseReference"/>
        </w:rPr>
        <w:t>, SHAP, imbalanced-learn (SMOTE).</w:t>
      </w:r>
    </w:p>
    <w:p w14:paraId="4FBD0A9E" w14:textId="77777777" w:rsidR="008B20C3" w:rsidRPr="00222025" w:rsidRDefault="00000000">
      <w:pPr>
        <w:pStyle w:val="ListParagraph"/>
        <w:numPr>
          <w:ilvl w:val="0"/>
          <w:numId w:val="2"/>
        </w:numPr>
        <w:spacing w:after="80"/>
        <w:rPr>
          <w:rStyle w:val="IntenseReference"/>
        </w:rPr>
      </w:pPr>
      <w:r w:rsidRPr="00222025">
        <w:rPr>
          <w:rStyle w:val="IntenseReference"/>
        </w:rPr>
        <w:t>Data infrastructure: Kafka for streaming ingestion, Data Version Control (DVC) backed by S3-compatible object storage.</w:t>
      </w:r>
    </w:p>
    <w:p w14:paraId="224D1DC7" w14:textId="77777777" w:rsidR="008B20C3" w:rsidRPr="00222025" w:rsidRDefault="00000000">
      <w:pPr>
        <w:pStyle w:val="ListParagraph"/>
        <w:numPr>
          <w:ilvl w:val="0"/>
          <w:numId w:val="2"/>
        </w:numPr>
        <w:spacing w:after="80"/>
        <w:rPr>
          <w:rStyle w:val="IntenseReference"/>
        </w:rPr>
      </w:pPr>
      <w:r w:rsidRPr="00222025">
        <w:rPr>
          <w:rStyle w:val="IntenseReference"/>
        </w:rPr>
        <w:t xml:space="preserve">Experiment tracking: </w:t>
      </w:r>
      <w:proofErr w:type="spellStart"/>
      <w:r w:rsidRPr="00222025">
        <w:rPr>
          <w:rStyle w:val="IntenseReference"/>
        </w:rPr>
        <w:t>MLflow</w:t>
      </w:r>
      <w:proofErr w:type="spellEnd"/>
      <w:r w:rsidRPr="00222025">
        <w:rPr>
          <w:rStyle w:val="IntenseReference"/>
        </w:rPr>
        <w:t xml:space="preserve"> with a PostgreSQL backing store, for run comparison and model staging.</w:t>
      </w:r>
    </w:p>
    <w:p w14:paraId="037C0E9F" w14:textId="77777777" w:rsidR="008B20C3" w:rsidRPr="00222025" w:rsidRDefault="00000000">
      <w:pPr>
        <w:pStyle w:val="ListParagraph"/>
        <w:numPr>
          <w:ilvl w:val="0"/>
          <w:numId w:val="2"/>
        </w:numPr>
        <w:spacing w:after="80"/>
        <w:rPr>
          <w:rStyle w:val="IntenseReference"/>
        </w:rPr>
      </w:pPr>
      <w:r w:rsidRPr="00222025">
        <w:rPr>
          <w:rStyle w:val="IntenseReference"/>
        </w:rPr>
        <w:t xml:space="preserve">Serving: </w:t>
      </w:r>
      <w:proofErr w:type="spellStart"/>
      <w:r w:rsidRPr="00222025">
        <w:rPr>
          <w:rStyle w:val="IntenseReference"/>
        </w:rPr>
        <w:t>FastAPI</w:t>
      </w:r>
      <w:proofErr w:type="spellEnd"/>
      <w:r w:rsidRPr="00222025">
        <w:rPr>
          <w:rStyle w:val="IntenseReference"/>
        </w:rPr>
        <w:t xml:space="preserve"> application, containerised in Docker, orchestrated on Kubernetes with horizontal pod autoscaling; Airflow for scheduled retraining DAGs.</w:t>
      </w:r>
    </w:p>
    <w:p w14:paraId="4949AD7F" w14:textId="77777777" w:rsidR="008B20C3" w:rsidRPr="00222025" w:rsidRDefault="00000000">
      <w:pPr>
        <w:pStyle w:val="ListParagraph"/>
        <w:numPr>
          <w:ilvl w:val="0"/>
          <w:numId w:val="2"/>
        </w:numPr>
        <w:spacing w:after="80"/>
        <w:rPr>
          <w:rStyle w:val="IntenseReference"/>
        </w:rPr>
      </w:pPr>
      <w:r w:rsidRPr="00222025">
        <w:rPr>
          <w:rStyle w:val="IntenseReference"/>
        </w:rPr>
        <w:t>Compute: GPU is not required for this dataset size (7,043 rows); standard CPU compute is sufficient for training, but the API-serving layer should be sized for concurrent request load, not training load.</w:t>
      </w:r>
    </w:p>
    <w:p w14:paraId="2A91C2C5" w14:textId="77777777" w:rsidR="008B20C3" w:rsidRPr="00222025" w:rsidRDefault="00000000">
      <w:pPr>
        <w:spacing w:after="160" w:line="300" w:lineRule="auto"/>
        <w:rPr>
          <w:rStyle w:val="IntenseReference"/>
        </w:rPr>
      </w:pPr>
      <w:r w:rsidRPr="00222025">
        <w:rPr>
          <w:rStyle w:val="IntenseReference"/>
        </w:rPr>
        <w:t xml:space="preserve">Note on stack sizing: </w:t>
      </w:r>
      <w:proofErr w:type="spellStart"/>
      <w:r w:rsidRPr="00222025">
        <w:rPr>
          <w:rStyle w:val="IntenseReference"/>
        </w:rPr>
        <w:t>PySpark</w:t>
      </w:r>
      <w:proofErr w:type="spellEnd"/>
      <w:r w:rsidRPr="00222025">
        <w:rPr>
          <w:rStyle w:val="IntenseReference"/>
        </w:rPr>
        <w:t xml:space="preserve"> and Kafka are specified above for enterprise-scale streaming parity — i.e. what the production system would run on at a real operator's full subscriber volume. At the current dataset size (7,043 records), local prototyping and all Phase 2–3 development work in this plan actually runs on plain pandas and scikit-learn Pipeline objects; </w:t>
      </w:r>
      <w:proofErr w:type="spellStart"/>
      <w:r w:rsidRPr="00222025">
        <w:rPr>
          <w:rStyle w:val="IntenseReference"/>
        </w:rPr>
        <w:t>PySpark</w:t>
      </w:r>
      <w:proofErr w:type="spellEnd"/>
      <w:r w:rsidRPr="00222025">
        <w:rPr>
          <w:rStyle w:val="IntenseReference"/>
        </w:rPr>
        <w:t>/Kafka only become necessary once ingestion moves to live, high-volume subscriber streams in Phase 4–5. This distinction matters for resourcing — provisioning a Spark cluster for a 7,043-row prototype would be over-engineering.</w:t>
      </w:r>
    </w:p>
    <w:p w14:paraId="34E9CD0B" w14:textId="77777777" w:rsidR="008B20C3" w:rsidRPr="00222025" w:rsidRDefault="00000000">
      <w:pPr>
        <w:pStyle w:val="Heading1"/>
        <w:pBdr>
          <w:bottom w:val="single" w:sz="12" w:space="4" w:color="0891B2"/>
        </w:pBdr>
        <w:spacing w:before="360" w:after="200"/>
        <w:rPr>
          <w:rStyle w:val="IntenseReference"/>
        </w:rPr>
      </w:pPr>
      <w:bookmarkStart w:id="22" w:name="_Toc237792702"/>
      <w:r w:rsidRPr="00222025">
        <w:rPr>
          <w:rStyle w:val="IntenseReference"/>
        </w:rPr>
        <w:t>8. Model Evaluation Strategy</w:t>
      </w:r>
      <w:bookmarkEnd w:id="22"/>
    </w:p>
    <w:p w14:paraId="086BF1CC" w14:textId="77777777" w:rsidR="008B20C3" w:rsidRPr="00222025" w:rsidRDefault="00000000">
      <w:pPr>
        <w:spacing w:after="160" w:line="300" w:lineRule="auto"/>
        <w:rPr>
          <w:rStyle w:val="IntenseReference"/>
        </w:rPr>
      </w:pPr>
      <w:r w:rsidRPr="00222025">
        <w:rPr>
          <w:rStyle w:val="IntenseReference"/>
        </w:rPr>
        <w:lastRenderedPageBreak/>
        <w:t>The recall target (≥80% on the churn class) is set deliberately above what a default, untuned model reaches. Planned benchmarking sequence, in order of expected recall: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8B20C3" w:rsidRPr="00222025" w14:paraId="55F5F561" w14:textId="77777777">
        <w:trPr>
          <w:tblHeader/>
        </w:trPr>
        <w:tc>
          <w:tcPr>
            <w:tcW w:w="4200" w:type="dxa"/>
            <w:shd w:val="clear" w:color="auto" w:fill="1E293B"/>
            <w:tcMar>
              <w:top w:w="80" w:type="dxa"/>
              <w:left w:w="100" w:type="dxa"/>
              <w:bottom w:w="80" w:type="dxa"/>
              <w:right w:w="100" w:type="dxa"/>
            </w:tcMar>
            <w:vAlign w:val="center"/>
          </w:tcPr>
          <w:p w14:paraId="3027C792" w14:textId="77777777" w:rsidR="008B20C3" w:rsidRPr="00222025" w:rsidRDefault="00000000">
            <w:pPr>
              <w:jc w:val="center"/>
              <w:rPr>
                <w:rStyle w:val="IntenseReference"/>
              </w:rPr>
            </w:pPr>
            <w:r w:rsidRPr="00222025">
              <w:rPr>
                <w:rStyle w:val="IntenseReference"/>
              </w:rPr>
              <w:t>Model</w:t>
            </w:r>
          </w:p>
        </w:tc>
        <w:tc>
          <w:tcPr>
            <w:tcW w:w="1720" w:type="dxa"/>
            <w:shd w:val="clear" w:color="auto" w:fill="1E293B"/>
            <w:tcMar>
              <w:top w:w="80" w:type="dxa"/>
              <w:left w:w="100" w:type="dxa"/>
              <w:bottom w:w="80" w:type="dxa"/>
              <w:right w:w="100" w:type="dxa"/>
            </w:tcMar>
            <w:vAlign w:val="center"/>
          </w:tcPr>
          <w:p w14:paraId="0120092E" w14:textId="77777777" w:rsidR="008B20C3" w:rsidRPr="00222025" w:rsidRDefault="00000000">
            <w:pPr>
              <w:jc w:val="center"/>
              <w:rPr>
                <w:rStyle w:val="IntenseReference"/>
              </w:rPr>
            </w:pPr>
            <w:r w:rsidRPr="00222025">
              <w:rPr>
                <w:rStyle w:val="IntenseReference"/>
              </w:rPr>
              <w:t>Recall</w:t>
            </w:r>
          </w:p>
        </w:tc>
        <w:tc>
          <w:tcPr>
            <w:tcW w:w="1720" w:type="dxa"/>
            <w:shd w:val="clear" w:color="auto" w:fill="1E293B"/>
            <w:tcMar>
              <w:top w:w="80" w:type="dxa"/>
              <w:left w:w="100" w:type="dxa"/>
              <w:bottom w:w="80" w:type="dxa"/>
              <w:right w:w="100" w:type="dxa"/>
            </w:tcMar>
            <w:vAlign w:val="center"/>
          </w:tcPr>
          <w:p w14:paraId="450CD4B8" w14:textId="77777777" w:rsidR="008B20C3" w:rsidRPr="00222025" w:rsidRDefault="00000000">
            <w:pPr>
              <w:jc w:val="center"/>
              <w:rPr>
                <w:rStyle w:val="IntenseReference"/>
              </w:rPr>
            </w:pPr>
            <w:r w:rsidRPr="00222025">
              <w:rPr>
                <w:rStyle w:val="IntenseReference"/>
              </w:rPr>
              <w:t>Precision</w:t>
            </w:r>
          </w:p>
        </w:tc>
        <w:tc>
          <w:tcPr>
            <w:tcW w:w="1720" w:type="dxa"/>
            <w:shd w:val="clear" w:color="auto" w:fill="1E293B"/>
            <w:tcMar>
              <w:top w:w="80" w:type="dxa"/>
              <w:left w:w="100" w:type="dxa"/>
              <w:bottom w:w="80" w:type="dxa"/>
              <w:right w:w="100" w:type="dxa"/>
            </w:tcMar>
            <w:vAlign w:val="center"/>
          </w:tcPr>
          <w:p w14:paraId="18497ABA" w14:textId="77777777" w:rsidR="008B20C3" w:rsidRPr="00222025" w:rsidRDefault="00000000">
            <w:pPr>
              <w:jc w:val="center"/>
              <w:rPr>
                <w:rStyle w:val="IntenseReference"/>
              </w:rPr>
            </w:pPr>
            <w:r w:rsidRPr="00222025">
              <w:rPr>
                <w:rStyle w:val="IntenseReference"/>
              </w:rPr>
              <w:t>F1-score</w:t>
            </w:r>
          </w:p>
        </w:tc>
      </w:tr>
      <w:tr w:rsidR="008B20C3" w:rsidRPr="00222025" w14:paraId="6772CAB7" w14:textId="77777777">
        <w:tc>
          <w:tcPr>
            <w:tcW w:w="4200" w:type="dxa"/>
            <w:shd w:val="clear" w:color="auto" w:fill="F1F5F9"/>
            <w:tcMar>
              <w:top w:w="80" w:type="dxa"/>
              <w:left w:w="100" w:type="dxa"/>
              <w:bottom w:w="80" w:type="dxa"/>
              <w:right w:w="100" w:type="dxa"/>
            </w:tcMar>
            <w:vAlign w:val="center"/>
          </w:tcPr>
          <w:p w14:paraId="57D372D6" w14:textId="77777777" w:rsidR="008B20C3" w:rsidRPr="00222025" w:rsidRDefault="00000000">
            <w:pPr>
              <w:rPr>
                <w:rStyle w:val="IntenseReference"/>
              </w:rPr>
            </w:pPr>
            <w:r w:rsidRPr="00222025">
              <w:rPr>
                <w:rStyle w:val="IntenseReference"/>
              </w:rPr>
              <w:t>Logistic Regression (baseline)</w:t>
            </w:r>
          </w:p>
        </w:tc>
        <w:tc>
          <w:tcPr>
            <w:tcW w:w="1720" w:type="dxa"/>
            <w:shd w:val="clear" w:color="auto" w:fill="F1F5F9"/>
            <w:tcMar>
              <w:top w:w="80" w:type="dxa"/>
              <w:left w:w="100" w:type="dxa"/>
              <w:bottom w:w="80" w:type="dxa"/>
              <w:right w:w="100" w:type="dxa"/>
            </w:tcMar>
            <w:vAlign w:val="center"/>
          </w:tcPr>
          <w:p w14:paraId="65E96B75" w14:textId="77777777" w:rsidR="008B20C3" w:rsidRPr="00222025" w:rsidRDefault="00000000">
            <w:pPr>
              <w:rPr>
                <w:rStyle w:val="IntenseReference"/>
              </w:rPr>
            </w:pPr>
            <w:r w:rsidRPr="00222025">
              <w:rPr>
                <w:rStyle w:val="IntenseReference"/>
              </w:rPr>
              <w:t>54.0%</w:t>
            </w:r>
          </w:p>
        </w:tc>
        <w:tc>
          <w:tcPr>
            <w:tcW w:w="1720" w:type="dxa"/>
            <w:shd w:val="clear" w:color="auto" w:fill="F1F5F9"/>
            <w:tcMar>
              <w:top w:w="80" w:type="dxa"/>
              <w:left w:w="100" w:type="dxa"/>
              <w:bottom w:w="80" w:type="dxa"/>
              <w:right w:w="100" w:type="dxa"/>
            </w:tcMar>
            <w:vAlign w:val="center"/>
          </w:tcPr>
          <w:p w14:paraId="46CC610A" w14:textId="77777777" w:rsidR="008B20C3" w:rsidRPr="00222025" w:rsidRDefault="00000000">
            <w:pPr>
              <w:rPr>
                <w:rStyle w:val="IntenseReference"/>
              </w:rPr>
            </w:pPr>
            <w:r w:rsidRPr="00222025">
              <w:rPr>
                <w:rStyle w:val="IntenseReference"/>
              </w:rPr>
              <w:t>65.0%</w:t>
            </w:r>
          </w:p>
        </w:tc>
        <w:tc>
          <w:tcPr>
            <w:tcW w:w="1720" w:type="dxa"/>
            <w:shd w:val="clear" w:color="auto" w:fill="F1F5F9"/>
            <w:tcMar>
              <w:top w:w="80" w:type="dxa"/>
              <w:left w:w="100" w:type="dxa"/>
              <w:bottom w:w="80" w:type="dxa"/>
              <w:right w:w="100" w:type="dxa"/>
            </w:tcMar>
            <w:vAlign w:val="center"/>
          </w:tcPr>
          <w:p w14:paraId="29B387F0" w14:textId="77777777" w:rsidR="008B20C3" w:rsidRPr="00222025" w:rsidRDefault="00000000">
            <w:pPr>
              <w:rPr>
                <w:rStyle w:val="IntenseReference"/>
              </w:rPr>
            </w:pPr>
            <w:r w:rsidRPr="00222025">
              <w:rPr>
                <w:rStyle w:val="IntenseReference"/>
              </w:rPr>
              <w:t>59.0%</w:t>
            </w:r>
          </w:p>
        </w:tc>
      </w:tr>
      <w:tr w:rsidR="008B20C3" w:rsidRPr="00222025" w14:paraId="7BC26C18" w14:textId="77777777">
        <w:tc>
          <w:tcPr>
            <w:tcW w:w="4200" w:type="dxa"/>
            <w:shd w:val="clear" w:color="auto" w:fill="FFFFFF"/>
            <w:tcMar>
              <w:top w:w="80" w:type="dxa"/>
              <w:left w:w="100" w:type="dxa"/>
              <w:bottom w:w="80" w:type="dxa"/>
              <w:right w:w="100" w:type="dxa"/>
            </w:tcMar>
            <w:vAlign w:val="center"/>
          </w:tcPr>
          <w:p w14:paraId="39D7C817" w14:textId="77777777" w:rsidR="008B20C3" w:rsidRPr="00222025" w:rsidRDefault="00000000">
            <w:pPr>
              <w:rPr>
                <w:rStyle w:val="IntenseReference"/>
              </w:rPr>
            </w:pPr>
            <w:r w:rsidRPr="00222025">
              <w:rPr>
                <w:rStyle w:val="IntenseReference"/>
              </w:rPr>
              <w:t>Random Forest (baseline)</w:t>
            </w:r>
          </w:p>
        </w:tc>
        <w:tc>
          <w:tcPr>
            <w:tcW w:w="1720" w:type="dxa"/>
            <w:shd w:val="clear" w:color="auto" w:fill="FFFFFF"/>
            <w:tcMar>
              <w:top w:w="80" w:type="dxa"/>
              <w:left w:w="100" w:type="dxa"/>
              <w:bottom w:w="80" w:type="dxa"/>
              <w:right w:w="100" w:type="dxa"/>
            </w:tcMar>
            <w:vAlign w:val="center"/>
          </w:tcPr>
          <w:p w14:paraId="2623ECA1" w14:textId="77777777" w:rsidR="008B20C3" w:rsidRPr="00222025" w:rsidRDefault="00000000">
            <w:pPr>
              <w:rPr>
                <w:rStyle w:val="IntenseReference"/>
              </w:rPr>
            </w:pPr>
            <w:r w:rsidRPr="00222025">
              <w:rPr>
                <w:rStyle w:val="IntenseReference"/>
              </w:rPr>
              <w:t>62.0%</w:t>
            </w:r>
          </w:p>
        </w:tc>
        <w:tc>
          <w:tcPr>
            <w:tcW w:w="1720" w:type="dxa"/>
            <w:shd w:val="clear" w:color="auto" w:fill="FFFFFF"/>
            <w:tcMar>
              <w:top w:w="80" w:type="dxa"/>
              <w:left w:w="100" w:type="dxa"/>
              <w:bottom w:w="80" w:type="dxa"/>
              <w:right w:w="100" w:type="dxa"/>
            </w:tcMar>
            <w:vAlign w:val="center"/>
          </w:tcPr>
          <w:p w14:paraId="4B39A0E6" w14:textId="77777777" w:rsidR="008B20C3" w:rsidRPr="00222025" w:rsidRDefault="00000000">
            <w:pPr>
              <w:rPr>
                <w:rStyle w:val="IntenseReference"/>
              </w:rPr>
            </w:pPr>
            <w:r w:rsidRPr="00222025">
              <w:rPr>
                <w:rStyle w:val="IntenseReference"/>
              </w:rPr>
              <w:t>68.0%</w:t>
            </w:r>
          </w:p>
        </w:tc>
        <w:tc>
          <w:tcPr>
            <w:tcW w:w="1720" w:type="dxa"/>
            <w:shd w:val="clear" w:color="auto" w:fill="FFFFFF"/>
            <w:tcMar>
              <w:top w:w="80" w:type="dxa"/>
              <w:left w:w="100" w:type="dxa"/>
              <w:bottom w:w="80" w:type="dxa"/>
              <w:right w:w="100" w:type="dxa"/>
            </w:tcMar>
            <w:vAlign w:val="center"/>
          </w:tcPr>
          <w:p w14:paraId="7CDE6B2C" w14:textId="77777777" w:rsidR="008B20C3" w:rsidRPr="00222025" w:rsidRDefault="00000000">
            <w:pPr>
              <w:rPr>
                <w:rStyle w:val="IntenseReference"/>
              </w:rPr>
            </w:pPr>
            <w:r w:rsidRPr="00222025">
              <w:rPr>
                <w:rStyle w:val="IntenseReference"/>
              </w:rPr>
              <w:t>65.0%</w:t>
            </w:r>
          </w:p>
        </w:tc>
      </w:tr>
      <w:tr w:rsidR="008B20C3" w:rsidRPr="00222025" w14:paraId="0FA06FC1" w14:textId="77777777">
        <w:tc>
          <w:tcPr>
            <w:tcW w:w="4200" w:type="dxa"/>
            <w:shd w:val="clear" w:color="auto" w:fill="F1F5F9"/>
            <w:tcMar>
              <w:top w:w="80" w:type="dxa"/>
              <w:left w:w="100" w:type="dxa"/>
              <w:bottom w:w="80" w:type="dxa"/>
              <w:right w:w="100" w:type="dxa"/>
            </w:tcMar>
            <w:vAlign w:val="center"/>
          </w:tcPr>
          <w:p w14:paraId="6CB9D152" w14:textId="77777777" w:rsidR="008B20C3" w:rsidRPr="00222025" w:rsidRDefault="00000000">
            <w:pPr>
              <w:rPr>
                <w:rStyle w:val="IntenseReference"/>
              </w:rPr>
            </w:pPr>
            <w:proofErr w:type="spellStart"/>
            <w:r w:rsidRPr="00222025">
              <w:rPr>
                <w:rStyle w:val="IntenseReference"/>
              </w:rPr>
              <w:t>XGBoost</w:t>
            </w:r>
            <w:proofErr w:type="spellEnd"/>
            <w:r w:rsidRPr="00222025">
              <w:rPr>
                <w:rStyle w:val="IntenseReference"/>
              </w:rPr>
              <w:t xml:space="preserve"> (baseline)</w:t>
            </w:r>
          </w:p>
        </w:tc>
        <w:tc>
          <w:tcPr>
            <w:tcW w:w="1720" w:type="dxa"/>
            <w:shd w:val="clear" w:color="auto" w:fill="F1F5F9"/>
            <w:tcMar>
              <w:top w:w="80" w:type="dxa"/>
              <w:left w:w="100" w:type="dxa"/>
              <w:bottom w:w="80" w:type="dxa"/>
              <w:right w:w="100" w:type="dxa"/>
            </w:tcMar>
            <w:vAlign w:val="center"/>
          </w:tcPr>
          <w:p w14:paraId="2FA039B1" w14:textId="77777777" w:rsidR="008B20C3" w:rsidRPr="00222025" w:rsidRDefault="00000000">
            <w:pPr>
              <w:rPr>
                <w:rStyle w:val="IntenseReference"/>
              </w:rPr>
            </w:pPr>
            <w:r w:rsidRPr="00222025">
              <w:rPr>
                <w:rStyle w:val="IntenseReference"/>
              </w:rPr>
              <w:t>69.0%</w:t>
            </w:r>
          </w:p>
        </w:tc>
        <w:tc>
          <w:tcPr>
            <w:tcW w:w="1720" w:type="dxa"/>
            <w:shd w:val="clear" w:color="auto" w:fill="F1F5F9"/>
            <w:tcMar>
              <w:top w:w="80" w:type="dxa"/>
              <w:left w:w="100" w:type="dxa"/>
              <w:bottom w:w="80" w:type="dxa"/>
              <w:right w:w="100" w:type="dxa"/>
            </w:tcMar>
            <w:vAlign w:val="center"/>
          </w:tcPr>
          <w:p w14:paraId="30D1FB5E" w14:textId="77777777" w:rsidR="008B20C3" w:rsidRPr="00222025" w:rsidRDefault="00000000">
            <w:pPr>
              <w:rPr>
                <w:rStyle w:val="IntenseReference"/>
              </w:rPr>
            </w:pPr>
            <w:r w:rsidRPr="00222025">
              <w:rPr>
                <w:rStyle w:val="IntenseReference"/>
              </w:rPr>
              <w:t>71.0%</w:t>
            </w:r>
          </w:p>
        </w:tc>
        <w:tc>
          <w:tcPr>
            <w:tcW w:w="1720" w:type="dxa"/>
            <w:shd w:val="clear" w:color="auto" w:fill="F1F5F9"/>
            <w:tcMar>
              <w:top w:w="80" w:type="dxa"/>
              <w:left w:w="100" w:type="dxa"/>
              <w:bottom w:w="80" w:type="dxa"/>
              <w:right w:w="100" w:type="dxa"/>
            </w:tcMar>
            <w:vAlign w:val="center"/>
          </w:tcPr>
          <w:p w14:paraId="02A5043E" w14:textId="77777777" w:rsidR="008B20C3" w:rsidRPr="00222025" w:rsidRDefault="00000000">
            <w:pPr>
              <w:rPr>
                <w:rStyle w:val="IntenseReference"/>
              </w:rPr>
            </w:pPr>
            <w:r w:rsidRPr="00222025">
              <w:rPr>
                <w:rStyle w:val="IntenseReference"/>
              </w:rPr>
              <w:t>70.0%</w:t>
            </w:r>
          </w:p>
        </w:tc>
      </w:tr>
      <w:tr w:rsidR="008B20C3" w:rsidRPr="00222025" w14:paraId="1D25D610" w14:textId="77777777">
        <w:tc>
          <w:tcPr>
            <w:tcW w:w="4200" w:type="dxa"/>
            <w:shd w:val="clear" w:color="auto" w:fill="FFFFFF"/>
            <w:tcMar>
              <w:top w:w="80" w:type="dxa"/>
              <w:left w:w="100" w:type="dxa"/>
              <w:bottom w:w="80" w:type="dxa"/>
              <w:right w:w="100" w:type="dxa"/>
            </w:tcMar>
            <w:vAlign w:val="center"/>
          </w:tcPr>
          <w:p w14:paraId="18EBFF8F" w14:textId="77777777" w:rsidR="008B20C3" w:rsidRPr="00222025" w:rsidRDefault="00000000">
            <w:pPr>
              <w:rPr>
                <w:rStyle w:val="IntenseReference"/>
              </w:rPr>
            </w:pPr>
            <w:proofErr w:type="spellStart"/>
            <w:r w:rsidRPr="00222025">
              <w:rPr>
                <w:rStyle w:val="IntenseReference"/>
              </w:rPr>
              <w:t>XGBoost</w:t>
            </w:r>
            <w:proofErr w:type="spellEnd"/>
            <w:r w:rsidRPr="00222025">
              <w:rPr>
                <w:rStyle w:val="IntenseReference"/>
              </w:rPr>
              <w:t xml:space="preserve"> + SMOTE + </w:t>
            </w:r>
            <w:proofErr w:type="spellStart"/>
            <w:r w:rsidRPr="00222025">
              <w:rPr>
                <w:rStyle w:val="IntenseReference"/>
              </w:rPr>
              <w:t>Optuna</w:t>
            </w:r>
            <w:proofErr w:type="spellEnd"/>
            <w:r w:rsidRPr="00222025">
              <w:rPr>
                <w:rStyle w:val="IntenseReference"/>
              </w:rPr>
              <w:t xml:space="preserve"> tuning</w:t>
            </w:r>
          </w:p>
        </w:tc>
        <w:tc>
          <w:tcPr>
            <w:tcW w:w="1720" w:type="dxa"/>
            <w:shd w:val="clear" w:color="auto" w:fill="FFFFFF"/>
            <w:tcMar>
              <w:top w:w="80" w:type="dxa"/>
              <w:left w:w="100" w:type="dxa"/>
              <w:bottom w:w="80" w:type="dxa"/>
              <w:right w:w="100" w:type="dxa"/>
            </w:tcMar>
            <w:vAlign w:val="center"/>
          </w:tcPr>
          <w:p w14:paraId="30B7BD28" w14:textId="77777777" w:rsidR="008B20C3" w:rsidRPr="00222025" w:rsidRDefault="00000000">
            <w:pPr>
              <w:rPr>
                <w:rStyle w:val="IntenseReference"/>
              </w:rPr>
            </w:pPr>
            <w:r w:rsidRPr="00222025">
              <w:rPr>
                <w:rStyle w:val="IntenseReference"/>
              </w:rPr>
              <w:t>84.0%</w:t>
            </w:r>
          </w:p>
        </w:tc>
        <w:tc>
          <w:tcPr>
            <w:tcW w:w="1720" w:type="dxa"/>
            <w:shd w:val="clear" w:color="auto" w:fill="FFFFFF"/>
            <w:tcMar>
              <w:top w:w="80" w:type="dxa"/>
              <w:left w:w="100" w:type="dxa"/>
              <w:bottom w:w="80" w:type="dxa"/>
              <w:right w:w="100" w:type="dxa"/>
            </w:tcMar>
            <w:vAlign w:val="center"/>
          </w:tcPr>
          <w:p w14:paraId="13E087D1" w14:textId="77777777" w:rsidR="008B20C3" w:rsidRPr="00222025" w:rsidRDefault="00000000">
            <w:pPr>
              <w:rPr>
                <w:rStyle w:val="IntenseReference"/>
              </w:rPr>
            </w:pPr>
            <w:r w:rsidRPr="00222025">
              <w:rPr>
                <w:rStyle w:val="IntenseReference"/>
              </w:rPr>
              <w:t>75.0%</w:t>
            </w:r>
          </w:p>
        </w:tc>
        <w:tc>
          <w:tcPr>
            <w:tcW w:w="1720" w:type="dxa"/>
            <w:shd w:val="clear" w:color="auto" w:fill="FFFFFF"/>
            <w:tcMar>
              <w:top w:w="80" w:type="dxa"/>
              <w:left w:w="100" w:type="dxa"/>
              <w:bottom w:w="80" w:type="dxa"/>
              <w:right w:w="100" w:type="dxa"/>
            </w:tcMar>
            <w:vAlign w:val="center"/>
          </w:tcPr>
          <w:p w14:paraId="27C72010" w14:textId="77777777" w:rsidR="008B20C3" w:rsidRPr="00222025" w:rsidRDefault="00000000">
            <w:pPr>
              <w:rPr>
                <w:rStyle w:val="IntenseReference"/>
              </w:rPr>
            </w:pPr>
            <w:r w:rsidRPr="00222025">
              <w:rPr>
                <w:rStyle w:val="IntenseReference"/>
              </w:rPr>
              <w:t>79.2%</w:t>
            </w:r>
          </w:p>
        </w:tc>
      </w:tr>
    </w:tbl>
    <w:p w14:paraId="4F91EBE5" w14:textId="77777777" w:rsidR="008B20C3" w:rsidRPr="00222025" w:rsidRDefault="00000000">
      <w:pPr>
        <w:spacing w:before="80" w:after="240"/>
        <w:jc w:val="center"/>
        <w:rPr>
          <w:rStyle w:val="IntenseReference"/>
        </w:rPr>
      </w:pPr>
      <w:r w:rsidRPr="00222025">
        <w:rPr>
          <w:rStyle w:val="IntenseReference"/>
        </w:rPr>
        <w:t>Table 8.1 — Planned model benchmarking sequence and target metrics.</w:t>
      </w:r>
    </w:p>
    <w:p w14:paraId="2C137FFE" w14:textId="77777777" w:rsidR="008B20C3" w:rsidRPr="00222025" w:rsidRDefault="00000000">
      <w:pPr>
        <w:spacing w:before="120" w:after="40"/>
        <w:jc w:val="center"/>
        <w:rPr>
          <w:rStyle w:val="IntenseReference"/>
        </w:rPr>
      </w:pPr>
      <w:r w:rsidRPr="00222025">
        <w:rPr>
          <w:rStyle w:val="IntenseReference"/>
          <w:noProof/>
        </w:rPr>
        <w:drawing>
          <wp:inline distT="0" distB="0" distL="0" distR="0" wp14:anchorId="650894E4" wp14:editId="1544E7B1">
            <wp:extent cx="5029200" cy="2943225"/>
            <wp:effectExtent l="0" t="0" r="0" b="0"/>
            <wp:docPr id="2044347560" name="Picture 204434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943225"/>
                    </a:xfrm>
                    <a:prstGeom prst="rect">
                      <a:avLst/>
                    </a:prstGeom>
                  </pic:spPr>
                </pic:pic>
              </a:graphicData>
            </a:graphic>
          </wp:inline>
        </w:drawing>
      </w:r>
    </w:p>
    <w:p w14:paraId="0321F7E9" w14:textId="77777777" w:rsidR="008B20C3" w:rsidRPr="00222025" w:rsidRDefault="00000000">
      <w:pPr>
        <w:spacing w:before="80" w:after="240"/>
        <w:jc w:val="center"/>
        <w:rPr>
          <w:rStyle w:val="IntenseReference"/>
        </w:rPr>
      </w:pPr>
      <w:r w:rsidRPr="00222025">
        <w:rPr>
          <w:rStyle w:val="IntenseReference"/>
        </w:rPr>
        <w:t>Figure 8.1 — Planned benchmark targets by model (illustrative planning figures, not yet-trained results).</w:t>
      </w:r>
    </w:p>
    <w:p w14:paraId="493067CE" w14:textId="77777777" w:rsidR="008B20C3" w:rsidRPr="00222025" w:rsidRDefault="00000000">
      <w:pPr>
        <w:spacing w:after="160" w:line="300" w:lineRule="auto"/>
        <w:rPr>
          <w:rStyle w:val="IntenseReference"/>
        </w:rPr>
      </w:pPr>
      <w:r w:rsidRPr="00222025">
        <w:rPr>
          <w:rStyle w:val="IntenseReference"/>
        </w:rPr>
        <w:t>Note that these are planning targets for this report, not results from a completed training run — Week 1 is a planning deliverable and no model has been trained yet. The precision trade-off is deliberate: as recall is pushed up via SMOTE and tuning, precision typically drops somewhat, meaning more false-positive retention outreach. That is treated as an acceptable trade because the cost of a missed churner (lost subscriber, full replacement cost) is judged higher than the cost of an unnecessary retention call — this is an assumption the business stakeholder should confirm, not a fact this report can independently establish.</w:t>
      </w:r>
    </w:p>
    <w:p w14:paraId="610B3296" w14:textId="77777777" w:rsidR="008B20C3" w:rsidRPr="00222025" w:rsidRDefault="00000000">
      <w:pPr>
        <w:pStyle w:val="Heading2"/>
        <w:spacing w:before="260" w:after="140"/>
        <w:rPr>
          <w:rStyle w:val="IntenseReference"/>
        </w:rPr>
      </w:pPr>
      <w:bookmarkStart w:id="23" w:name="_Toc237792703"/>
      <w:r w:rsidRPr="00222025">
        <w:rPr>
          <w:rStyle w:val="IntenseReference"/>
        </w:rPr>
        <w:t>8.1 Leakage controls</w:t>
      </w:r>
      <w:bookmarkEnd w:id="23"/>
    </w:p>
    <w:p w14:paraId="05A092CA" w14:textId="77777777" w:rsidR="008B20C3" w:rsidRPr="00222025" w:rsidRDefault="00000000">
      <w:pPr>
        <w:pStyle w:val="ListParagraph"/>
        <w:numPr>
          <w:ilvl w:val="0"/>
          <w:numId w:val="2"/>
        </w:numPr>
        <w:spacing w:after="80"/>
        <w:rPr>
          <w:rStyle w:val="IntenseReference"/>
        </w:rPr>
      </w:pPr>
      <w:r w:rsidRPr="00222025">
        <w:rPr>
          <w:rStyle w:val="IntenseReference"/>
        </w:rPr>
        <w:t>All preprocessing (scaling, encoding) wrapped inside scikit-learn Pipeline objects, fit only on training folds.</w:t>
      </w:r>
    </w:p>
    <w:p w14:paraId="7C2C113E" w14:textId="77777777" w:rsidR="008B20C3" w:rsidRPr="00222025" w:rsidRDefault="00000000">
      <w:pPr>
        <w:pStyle w:val="ListParagraph"/>
        <w:numPr>
          <w:ilvl w:val="0"/>
          <w:numId w:val="2"/>
        </w:numPr>
        <w:spacing w:after="80"/>
        <w:rPr>
          <w:rStyle w:val="IntenseReference"/>
        </w:rPr>
      </w:pPr>
      <w:r w:rsidRPr="00222025">
        <w:rPr>
          <w:rStyle w:val="IntenseReference"/>
        </w:rPr>
        <w:t>SMOTE applied strictly to the training split — never to the validation or test set — to avoid synthetic points contaminating the evaluation.</w:t>
      </w:r>
    </w:p>
    <w:p w14:paraId="419E6AC3" w14:textId="77777777" w:rsidR="008B20C3" w:rsidRPr="00222025" w:rsidRDefault="00000000">
      <w:pPr>
        <w:pStyle w:val="ListParagraph"/>
        <w:numPr>
          <w:ilvl w:val="0"/>
          <w:numId w:val="2"/>
        </w:numPr>
        <w:spacing w:after="80"/>
        <w:rPr>
          <w:rStyle w:val="IntenseReference"/>
        </w:rPr>
      </w:pPr>
      <w:r w:rsidRPr="00222025">
        <w:rPr>
          <w:rStyle w:val="IntenseReference"/>
        </w:rPr>
        <w:lastRenderedPageBreak/>
        <w:t>Cross-validation using stratified folds to preserve the churn/no-churn ratio in every fold.</w:t>
      </w:r>
    </w:p>
    <w:p w14:paraId="7572A2C3" w14:textId="77777777" w:rsidR="008B20C3" w:rsidRPr="00222025" w:rsidRDefault="00000000">
      <w:pPr>
        <w:pStyle w:val="Heading2"/>
        <w:spacing w:before="260" w:after="140"/>
        <w:rPr>
          <w:rStyle w:val="IntenseReference"/>
        </w:rPr>
      </w:pPr>
      <w:bookmarkStart w:id="24" w:name="_Toc237792704"/>
      <w:r w:rsidRPr="00222025">
        <w:rPr>
          <w:rStyle w:val="IntenseReference"/>
        </w:rPr>
        <w:t>8.2 Precision floor alongside the recall target</w:t>
      </w:r>
      <w:bookmarkEnd w:id="24"/>
    </w:p>
    <w:p w14:paraId="49DB1092" w14:textId="77777777" w:rsidR="008B20C3" w:rsidRPr="00222025" w:rsidRDefault="00000000">
      <w:pPr>
        <w:spacing w:after="160" w:line="300" w:lineRule="auto"/>
        <w:rPr>
          <w:rStyle w:val="IntenseReference"/>
        </w:rPr>
      </w:pPr>
      <w:r w:rsidRPr="00222025">
        <w:rPr>
          <w:rStyle w:val="IntenseReference"/>
        </w:rPr>
        <w:t>Recall alone is an incomplete acceptance criterion: a model can hit 100% recall by flagging every customer as a churn risk, which is useless in practice because it saturates the retention team with false alarms. To prevent this, the model must clear both thresholds together, not recall in isolation:</w:t>
      </w:r>
    </w:p>
    <w:p w14:paraId="74178315" w14:textId="77777777" w:rsidR="008B20C3" w:rsidRPr="00222025" w:rsidRDefault="00000000">
      <w:pPr>
        <w:pStyle w:val="ListParagraph"/>
        <w:numPr>
          <w:ilvl w:val="0"/>
          <w:numId w:val="2"/>
        </w:numPr>
        <w:spacing w:after="80"/>
        <w:rPr>
          <w:rStyle w:val="IntenseReference"/>
        </w:rPr>
      </w:pPr>
      <w:r w:rsidRPr="00222025">
        <w:rPr>
          <w:rStyle w:val="IntenseReference"/>
        </w:rPr>
        <w:t>Recall target: ≥80% on the churn class (Section 2.4) — the floor for how many actual churners the model is allowed to miss.</w:t>
      </w:r>
    </w:p>
    <w:p w14:paraId="450CB8DC" w14:textId="77777777" w:rsidR="008B20C3" w:rsidRPr="00222025" w:rsidRDefault="00000000">
      <w:pPr>
        <w:pStyle w:val="ListParagraph"/>
        <w:numPr>
          <w:ilvl w:val="0"/>
          <w:numId w:val="2"/>
        </w:numPr>
        <w:spacing w:after="80"/>
        <w:rPr>
          <w:rStyle w:val="IntenseReference"/>
        </w:rPr>
      </w:pPr>
      <w:r w:rsidRPr="00222025">
        <w:rPr>
          <w:rStyle w:val="IntenseReference"/>
        </w:rPr>
        <w:t>Precision floor: ≥70% — no more than roughly 3 in 10 flagged customers may be false positives. Equivalently, minimum F1-score of ~74%.</w:t>
      </w:r>
    </w:p>
    <w:p w14:paraId="141CB00F" w14:textId="77777777" w:rsidR="008B20C3" w:rsidRPr="00222025" w:rsidRDefault="00000000">
      <w:pPr>
        <w:spacing w:after="160" w:line="300" w:lineRule="auto"/>
        <w:rPr>
          <w:rStyle w:val="IntenseReference"/>
        </w:rPr>
      </w:pPr>
      <w:r w:rsidRPr="00222025">
        <w:rPr>
          <w:rStyle w:val="IntenseReference"/>
        </w:rPr>
        <w:t>The 70% figure is a starting assumption for this plan, not a number derived from the dataset or from stakeholder input — it should be replaced with an actual figure once the retention team's per-contact cost and the average customer's remaining lifetime value are known (see Section 2.1). If a retention outreach is cheap (an automated email) the precision floor can be relaxed; if it is expensive (a personal retention call with a discount offer), it should be raised. Treating 70% as fixed without that conversation is the kind of assumption this report flagged in Section 8, and it applies here directly.</w:t>
      </w:r>
    </w:p>
    <w:p w14:paraId="2B9AE4A6" w14:textId="77777777" w:rsidR="008B20C3" w:rsidRPr="00222025" w:rsidRDefault="00000000">
      <w:pPr>
        <w:pStyle w:val="Heading1"/>
        <w:pBdr>
          <w:bottom w:val="single" w:sz="12" w:space="4" w:color="0891B2"/>
        </w:pBdr>
        <w:spacing w:before="360" w:after="200"/>
        <w:rPr>
          <w:rStyle w:val="IntenseReference"/>
        </w:rPr>
      </w:pPr>
      <w:bookmarkStart w:id="25" w:name="_Toc237792705"/>
      <w:r w:rsidRPr="00222025">
        <w:rPr>
          <w:rStyle w:val="IntenseReference"/>
        </w:rPr>
        <w:t>9. Risk &amp; Resource Analysis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800"/>
        <w:gridCol w:w="3560"/>
      </w:tblGrid>
      <w:tr w:rsidR="008B20C3" w:rsidRPr="00222025" w14:paraId="65AC1943" w14:textId="77777777">
        <w:trPr>
          <w:tblHeader/>
        </w:trPr>
        <w:tc>
          <w:tcPr>
            <w:tcW w:w="2600" w:type="dxa"/>
            <w:shd w:val="clear" w:color="auto" w:fill="1E293B"/>
            <w:tcMar>
              <w:top w:w="80" w:type="dxa"/>
              <w:left w:w="100" w:type="dxa"/>
              <w:bottom w:w="80" w:type="dxa"/>
              <w:right w:w="100" w:type="dxa"/>
            </w:tcMar>
            <w:vAlign w:val="center"/>
          </w:tcPr>
          <w:p w14:paraId="70428CCB" w14:textId="77777777" w:rsidR="008B20C3" w:rsidRPr="00222025" w:rsidRDefault="00000000">
            <w:pPr>
              <w:jc w:val="center"/>
              <w:rPr>
                <w:rStyle w:val="IntenseReference"/>
              </w:rPr>
            </w:pPr>
            <w:r w:rsidRPr="00222025">
              <w:rPr>
                <w:rStyle w:val="IntenseReference"/>
              </w:rPr>
              <w:t>Risk</w:t>
            </w:r>
          </w:p>
        </w:tc>
        <w:tc>
          <w:tcPr>
            <w:tcW w:w="1400" w:type="dxa"/>
            <w:shd w:val="clear" w:color="auto" w:fill="1E293B"/>
            <w:tcMar>
              <w:top w:w="80" w:type="dxa"/>
              <w:left w:w="100" w:type="dxa"/>
              <w:bottom w:w="80" w:type="dxa"/>
              <w:right w:w="100" w:type="dxa"/>
            </w:tcMar>
            <w:vAlign w:val="center"/>
          </w:tcPr>
          <w:p w14:paraId="44203571" w14:textId="77777777" w:rsidR="008B20C3" w:rsidRPr="00222025" w:rsidRDefault="00000000">
            <w:pPr>
              <w:jc w:val="center"/>
              <w:rPr>
                <w:rStyle w:val="IntenseReference"/>
              </w:rPr>
            </w:pPr>
            <w:r w:rsidRPr="00222025">
              <w:rPr>
                <w:rStyle w:val="IntenseReference"/>
              </w:rPr>
              <w:t>Likelihood</w:t>
            </w:r>
          </w:p>
        </w:tc>
        <w:tc>
          <w:tcPr>
            <w:tcW w:w="1800" w:type="dxa"/>
            <w:shd w:val="clear" w:color="auto" w:fill="1E293B"/>
            <w:tcMar>
              <w:top w:w="80" w:type="dxa"/>
              <w:left w:w="100" w:type="dxa"/>
              <w:bottom w:w="80" w:type="dxa"/>
              <w:right w:w="100" w:type="dxa"/>
            </w:tcMar>
            <w:vAlign w:val="center"/>
          </w:tcPr>
          <w:p w14:paraId="22AF06E5" w14:textId="77777777" w:rsidR="008B20C3" w:rsidRPr="00222025" w:rsidRDefault="00000000">
            <w:pPr>
              <w:jc w:val="center"/>
              <w:rPr>
                <w:rStyle w:val="IntenseReference"/>
              </w:rPr>
            </w:pPr>
            <w:r w:rsidRPr="00222025">
              <w:rPr>
                <w:rStyle w:val="IntenseReference"/>
              </w:rPr>
              <w:t>Impact</w:t>
            </w:r>
          </w:p>
        </w:tc>
        <w:tc>
          <w:tcPr>
            <w:tcW w:w="3560" w:type="dxa"/>
            <w:shd w:val="clear" w:color="auto" w:fill="1E293B"/>
            <w:tcMar>
              <w:top w:w="80" w:type="dxa"/>
              <w:left w:w="100" w:type="dxa"/>
              <w:bottom w:w="80" w:type="dxa"/>
              <w:right w:w="100" w:type="dxa"/>
            </w:tcMar>
            <w:vAlign w:val="center"/>
          </w:tcPr>
          <w:p w14:paraId="2FA846AD" w14:textId="77777777" w:rsidR="008B20C3" w:rsidRPr="00222025" w:rsidRDefault="00000000">
            <w:pPr>
              <w:jc w:val="center"/>
              <w:rPr>
                <w:rStyle w:val="IntenseReference"/>
              </w:rPr>
            </w:pPr>
            <w:r w:rsidRPr="00222025">
              <w:rPr>
                <w:rStyle w:val="IntenseReference"/>
              </w:rPr>
              <w:t>Mitigation</w:t>
            </w:r>
          </w:p>
        </w:tc>
      </w:tr>
      <w:tr w:rsidR="008B20C3" w:rsidRPr="00222025" w14:paraId="71E6542F" w14:textId="77777777">
        <w:tc>
          <w:tcPr>
            <w:tcW w:w="2600" w:type="dxa"/>
            <w:shd w:val="clear" w:color="auto" w:fill="F1F5F9"/>
            <w:tcMar>
              <w:top w:w="80" w:type="dxa"/>
              <w:left w:w="100" w:type="dxa"/>
              <w:bottom w:w="80" w:type="dxa"/>
              <w:right w:w="100" w:type="dxa"/>
            </w:tcMar>
            <w:vAlign w:val="center"/>
          </w:tcPr>
          <w:p w14:paraId="165204F2" w14:textId="77777777" w:rsidR="008B20C3" w:rsidRPr="00222025" w:rsidRDefault="00000000">
            <w:pPr>
              <w:rPr>
                <w:rStyle w:val="IntenseReference"/>
              </w:rPr>
            </w:pPr>
            <w:r w:rsidRPr="00222025">
              <w:rPr>
                <w:rStyle w:val="IntenseReference"/>
              </w:rPr>
              <w:t>DPIA / legal sign-off delayed beyond W3</w:t>
            </w:r>
          </w:p>
        </w:tc>
        <w:tc>
          <w:tcPr>
            <w:tcW w:w="1400" w:type="dxa"/>
            <w:shd w:val="clear" w:color="auto" w:fill="F1F5F9"/>
            <w:tcMar>
              <w:top w:w="80" w:type="dxa"/>
              <w:left w:w="100" w:type="dxa"/>
              <w:bottom w:w="80" w:type="dxa"/>
              <w:right w:w="100" w:type="dxa"/>
            </w:tcMar>
            <w:vAlign w:val="center"/>
          </w:tcPr>
          <w:p w14:paraId="63947714" w14:textId="77777777" w:rsidR="008B20C3" w:rsidRPr="00222025" w:rsidRDefault="00000000">
            <w:pPr>
              <w:rPr>
                <w:rStyle w:val="IntenseReference"/>
              </w:rPr>
            </w:pPr>
            <w:r w:rsidRPr="00222025">
              <w:rPr>
                <w:rStyle w:val="IntenseReference"/>
              </w:rPr>
              <w:t>Medium</w:t>
            </w:r>
          </w:p>
        </w:tc>
        <w:tc>
          <w:tcPr>
            <w:tcW w:w="1800" w:type="dxa"/>
            <w:shd w:val="clear" w:color="auto" w:fill="F1F5F9"/>
            <w:tcMar>
              <w:top w:w="80" w:type="dxa"/>
              <w:left w:w="100" w:type="dxa"/>
              <w:bottom w:w="80" w:type="dxa"/>
              <w:right w:w="100" w:type="dxa"/>
            </w:tcMar>
            <w:vAlign w:val="center"/>
          </w:tcPr>
          <w:p w14:paraId="51A918D3" w14:textId="77777777" w:rsidR="008B20C3" w:rsidRPr="00222025" w:rsidRDefault="00000000">
            <w:pPr>
              <w:rPr>
                <w:rStyle w:val="IntenseReference"/>
              </w:rPr>
            </w:pPr>
            <w:r w:rsidRPr="00222025">
              <w:rPr>
                <w:rStyle w:val="IntenseReference"/>
              </w:rPr>
              <w:t>High — blocks all downstream phases</w:t>
            </w:r>
          </w:p>
        </w:tc>
        <w:tc>
          <w:tcPr>
            <w:tcW w:w="3560" w:type="dxa"/>
            <w:shd w:val="clear" w:color="auto" w:fill="F1F5F9"/>
            <w:tcMar>
              <w:top w:w="80" w:type="dxa"/>
              <w:left w:w="100" w:type="dxa"/>
              <w:bottom w:w="80" w:type="dxa"/>
              <w:right w:w="100" w:type="dxa"/>
            </w:tcMar>
            <w:vAlign w:val="center"/>
          </w:tcPr>
          <w:p w14:paraId="5F2A3955" w14:textId="77777777" w:rsidR="008B20C3" w:rsidRPr="00222025" w:rsidRDefault="00000000">
            <w:pPr>
              <w:rPr>
                <w:rStyle w:val="IntenseReference"/>
              </w:rPr>
            </w:pPr>
            <w:r w:rsidRPr="00222025">
              <w:rPr>
                <w:rStyle w:val="IntenseReference"/>
              </w:rPr>
              <w:t xml:space="preserve">Start DPO engagement in parallel with project </w:t>
            </w:r>
            <w:proofErr w:type="spellStart"/>
            <w:r w:rsidRPr="00222025">
              <w:rPr>
                <w:rStyle w:val="IntenseReference"/>
              </w:rPr>
              <w:t>kickoff</w:t>
            </w:r>
            <w:proofErr w:type="spellEnd"/>
            <w:r w:rsidRPr="00222025">
              <w:rPr>
                <w:rStyle w:val="IntenseReference"/>
              </w:rPr>
              <w:t>, not after Phase 1 begins</w:t>
            </w:r>
          </w:p>
        </w:tc>
      </w:tr>
      <w:tr w:rsidR="008B20C3" w:rsidRPr="00222025" w14:paraId="16AB070F" w14:textId="77777777">
        <w:tc>
          <w:tcPr>
            <w:tcW w:w="2600" w:type="dxa"/>
            <w:shd w:val="clear" w:color="auto" w:fill="FFFFFF"/>
            <w:tcMar>
              <w:top w:w="80" w:type="dxa"/>
              <w:left w:w="100" w:type="dxa"/>
              <w:bottom w:w="80" w:type="dxa"/>
              <w:right w:w="100" w:type="dxa"/>
            </w:tcMar>
            <w:vAlign w:val="center"/>
          </w:tcPr>
          <w:p w14:paraId="2C3874E7" w14:textId="77777777" w:rsidR="008B20C3" w:rsidRPr="00222025" w:rsidRDefault="00000000">
            <w:pPr>
              <w:rPr>
                <w:rStyle w:val="IntenseReference"/>
              </w:rPr>
            </w:pPr>
            <w:r w:rsidRPr="00222025">
              <w:rPr>
                <w:rStyle w:val="IntenseReference"/>
              </w:rPr>
              <w:t>Model recall target (80%) not reached</w:t>
            </w:r>
          </w:p>
        </w:tc>
        <w:tc>
          <w:tcPr>
            <w:tcW w:w="1400" w:type="dxa"/>
            <w:shd w:val="clear" w:color="auto" w:fill="FFFFFF"/>
            <w:tcMar>
              <w:top w:w="80" w:type="dxa"/>
              <w:left w:w="100" w:type="dxa"/>
              <w:bottom w:w="80" w:type="dxa"/>
              <w:right w:w="100" w:type="dxa"/>
            </w:tcMar>
            <w:vAlign w:val="center"/>
          </w:tcPr>
          <w:p w14:paraId="0CE99611" w14:textId="77777777" w:rsidR="008B20C3" w:rsidRPr="00222025" w:rsidRDefault="00000000">
            <w:pPr>
              <w:rPr>
                <w:rStyle w:val="IntenseReference"/>
              </w:rPr>
            </w:pPr>
            <w:r w:rsidRPr="00222025">
              <w:rPr>
                <w:rStyle w:val="IntenseReference"/>
              </w:rPr>
              <w:t>Medium</w:t>
            </w:r>
          </w:p>
        </w:tc>
        <w:tc>
          <w:tcPr>
            <w:tcW w:w="1800" w:type="dxa"/>
            <w:shd w:val="clear" w:color="auto" w:fill="FFFFFF"/>
            <w:tcMar>
              <w:top w:w="80" w:type="dxa"/>
              <w:left w:w="100" w:type="dxa"/>
              <w:bottom w:w="80" w:type="dxa"/>
              <w:right w:w="100" w:type="dxa"/>
            </w:tcMar>
            <w:vAlign w:val="center"/>
          </w:tcPr>
          <w:p w14:paraId="782EBCF9" w14:textId="77777777" w:rsidR="008B20C3" w:rsidRPr="00222025" w:rsidRDefault="00000000">
            <w:pPr>
              <w:rPr>
                <w:rStyle w:val="IntenseReference"/>
              </w:rPr>
            </w:pPr>
            <w:r w:rsidRPr="00222025">
              <w:rPr>
                <w:rStyle w:val="IntenseReference"/>
              </w:rPr>
              <w:t>High — undermines business case</w:t>
            </w:r>
          </w:p>
        </w:tc>
        <w:tc>
          <w:tcPr>
            <w:tcW w:w="3560" w:type="dxa"/>
            <w:shd w:val="clear" w:color="auto" w:fill="FFFFFF"/>
            <w:tcMar>
              <w:top w:w="80" w:type="dxa"/>
              <w:left w:w="100" w:type="dxa"/>
              <w:bottom w:w="80" w:type="dxa"/>
              <w:right w:w="100" w:type="dxa"/>
            </w:tcMar>
            <w:vAlign w:val="center"/>
          </w:tcPr>
          <w:p w14:paraId="3414A281" w14:textId="77777777" w:rsidR="008B20C3" w:rsidRPr="00222025" w:rsidRDefault="00000000">
            <w:pPr>
              <w:rPr>
                <w:rStyle w:val="IntenseReference"/>
              </w:rPr>
            </w:pPr>
            <w:r w:rsidRPr="00222025">
              <w:rPr>
                <w:rStyle w:val="IntenseReference"/>
              </w:rPr>
              <w:t>Reserve buffer time in W9 for extended tuning; pre-agree a fallback threshold with stakeholders</w:t>
            </w:r>
          </w:p>
        </w:tc>
      </w:tr>
      <w:tr w:rsidR="008B20C3" w:rsidRPr="00222025" w14:paraId="59AB3372" w14:textId="77777777">
        <w:tc>
          <w:tcPr>
            <w:tcW w:w="2600" w:type="dxa"/>
            <w:shd w:val="clear" w:color="auto" w:fill="F1F5F9"/>
            <w:tcMar>
              <w:top w:w="80" w:type="dxa"/>
              <w:left w:w="100" w:type="dxa"/>
              <w:bottom w:w="80" w:type="dxa"/>
              <w:right w:w="100" w:type="dxa"/>
            </w:tcMar>
            <w:vAlign w:val="center"/>
          </w:tcPr>
          <w:p w14:paraId="3A3A75E9" w14:textId="77777777" w:rsidR="008B20C3" w:rsidRPr="00222025" w:rsidRDefault="00000000">
            <w:pPr>
              <w:rPr>
                <w:rStyle w:val="IntenseReference"/>
              </w:rPr>
            </w:pPr>
            <w:r w:rsidRPr="00222025">
              <w:rPr>
                <w:rStyle w:val="IntenseReference"/>
              </w:rPr>
              <w:t>Data leakage inflates reported performance</w:t>
            </w:r>
          </w:p>
        </w:tc>
        <w:tc>
          <w:tcPr>
            <w:tcW w:w="1400" w:type="dxa"/>
            <w:shd w:val="clear" w:color="auto" w:fill="F1F5F9"/>
            <w:tcMar>
              <w:top w:w="80" w:type="dxa"/>
              <w:left w:w="100" w:type="dxa"/>
              <w:bottom w:w="80" w:type="dxa"/>
              <w:right w:w="100" w:type="dxa"/>
            </w:tcMar>
            <w:vAlign w:val="center"/>
          </w:tcPr>
          <w:p w14:paraId="6FCA2C9B" w14:textId="77777777" w:rsidR="008B20C3" w:rsidRPr="00222025" w:rsidRDefault="00000000">
            <w:pPr>
              <w:rPr>
                <w:rStyle w:val="IntenseReference"/>
              </w:rPr>
            </w:pPr>
            <w:r w:rsidRPr="00222025">
              <w:rPr>
                <w:rStyle w:val="IntenseReference"/>
              </w:rPr>
              <w:t>Medium</w:t>
            </w:r>
          </w:p>
        </w:tc>
        <w:tc>
          <w:tcPr>
            <w:tcW w:w="1800" w:type="dxa"/>
            <w:shd w:val="clear" w:color="auto" w:fill="F1F5F9"/>
            <w:tcMar>
              <w:top w:w="80" w:type="dxa"/>
              <w:left w:w="100" w:type="dxa"/>
              <w:bottom w:w="80" w:type="dxa"/>
              <w:right w:w="100" w:type="dxa"/>
            </w:tcMar>
            <w:vAlign w:val="center"/>
          </w:tcPr>
          <w:p w14:paraId="3A1E22A8" w14:textId="77777777" w:rsidR="008B20C3" w:rsidRPr="00222025" w:rsidRDefault="00000000">
            <w:pPr>
              <w:rPr>
                <w:rStyle w:val="IntenseReference"/>
              </w:rPr>
            </w:pPr>
            <w:r w:rsidRPr="00222025">
              <w:rPr>
                <w:rStyle w:val="IntenseReference"/>
              </w:rPr>
              <w:t>High — silent failure, discovered late</w:t>
            </w:r>
          </w:p>
        </w:tc>
        <w:tc>
          <w:tcPr>
            <w:tcW w:w="3560" w:type="dxa"/>
            <w:shd w:val="clear" w:color="auto" w:fill="F1F5F9"/>
            <w:tcMar>
              <w:top w:w="80" w:type="dxa"/>
              <w:left w:w="100" w:type="dxa"/>
              <w:bottom w:w="80" w:type="dxa"/>
              <w:right w:w="100" w:type="dxa"/>
            </w:tcMar>
            <w:vAlign w:val="center"/>
          </w:tcPr>
          <w:p w14:paraId="312453AF" w14:textId="77777777" w:rsidR="008B20C3" w:rsidRPr="00222025" w:rsidRDefault="00000000">
            <w:pPr>
              <w:rPr>
                <w:rStyle w:val="IntenseReference"/>
              </w:rPr>
            </w:pPr>
            <w:r w:rsidRPr="00222025">
              <w:rPr>
                <w:rStyle w:val="IntenseReference"/>
              </w:rPr>
              <w:t>Mandatory pipeline code review before any metric is reported as final</w:t>
            </w:r>
          </w:p>
        </w:tc>
      </w:tr>
      <w:tr w:rsidR="008B20C3" w:rsidRPr="00222025" w14:paraId="70AC92D6" w14:textId="77777777">
        <w:tc>
          <w:tcPr>
            <w:tcW w:w="2600" w:type="dxa"/>
            <w:shd w:val="clear" w:color="auto" w:fill="FFFFFF"/>
            <w:tcMar>
              <w:top w:w="80" w:type="dxa"/>
              <w:left w:w="100" w:type="dxa"/>
              <w:bottom w:w="80" w:type="dxa"/>
              <w:right w:w="100" w:type="dxa"/>
            </w:tcMar>
            <w:vAlign w:val="center"/>
          </w:tcPr>
          <w:p w14:paraId="17E17236" w14:textId="77777777" w:rsidR="008B20C3" w:rsidRPr="00222025" w:rsidRDefault="00000000">
            <w:pPr>
              <w:rPr>
                <w:rStyle w:val="IntenseReference"/>
              </w:rPr>
            </w:pPr>
            <w:r w:rsidRPr="00222025">
              <w:rPr>
                <w:rStyle w:val="IntenseReference"/>
              </w:rPr>
              <w:t>Class-imbalance correction overfits to synthetic data</w:t>
            </w:r>
          </w:p>
        </w:tc>
        <w:tc>
          <w:tcPr>
            <w:tcW w:w="1400" w:type="dxa"/>
            <w:shd w:val="clear" w:color="auto" w:fill="FFFFFF"/>
            <w:tcMar>
              <w:top w:w="80" w:type="dxa"/>
              <w:left w:w="100" w:type="dxa"/>
              <w:bottom w:w="80" w:type="dxa"/>
              <w:right w:w="100" w:type="dxa"/>
            </w:tcMar>
            <w:vAlign w:val="center"/>
          </w:tcPr>
          <w:p w14:paraId="3EE73445" w14:textId="77777777" w:rsidR="008B20C3" w:rsidRPr="00222025" w:rsidRDefault="00000000">
            <w:pPr>
              <w:rPr>
                <w:rStyle w:val="IntenseReference"/>
              </w:rPr>
            </w:pPr>
            <w:r w:rsidRPr="00222025">
              <w:rPr>
                <w:rStyle w:val="IntenseReference"/>
              </w:rPr>
              <w:t>Low-Medium</w:t>
            </w:r>
          </w:p>
        </w:tc>
        <w:tc>
          <w:tcPr>
            <w:tcW w:w="1800" w:type="dxa"/>
            <w:shd w:val="clear" w:color="auto" w:fill="FFFFFF"/>
            <w:tcMar>
              <w:top w:w="80" w:type="dxa"/>
              <w:left w:w="100" w:type="dxa"/>
              <w:bottom w:w="80" w:type="dxa"/>
              <w:right w:w="100" w:type="dxa"/>
            </w:tcMar>
            <w:vAlign w:val="center"/>
          </w:tcPr>
          <w:p w14:paraId="46CD0CD0" w14:textId="77777777" w:rsidR="008B20C3" w:rsidRPr="00222025" w:rsidRDefault="00000000">
            <w:pPr>
              <w:rPr>
                <w:rStyle w:val="IntenseReference"/>
              </w:rPr>
            </w:pPr>
            <w:r w:rsidRPr="00222025">
              <w:rPr>
                <w:rStyle w:val="IntenseReference"/>
              </w:rPr>
              <w:t>Medium</w:t>
            </w:r>
          </w:p>
        </w:tc>
        <w:tc>
          <w:tcPr>
            <w:tcW w:w="3560" w:type="dxa"/>
            <w:shd w:val="clear" w:color="auto" w:fill="FFFFFF"/>
            <w:tcMar>
              <w:top w:w="80" w:type="dxa"/>
              <w:left w:w="100" w:type="dxa"/>
              <w:bottom w:w="80" w:type="dxa"/>
              <w:right w:w="100" w:type="dxa"/>
            </w:tcMar>
            <w:vAlign w:val="center"/>
          </w:tcPr>
          <w:p w14:paraId="437167EC" w14:textId="77777777" w:rsidR="008B20C3" w:rsidRPr="00222025" w:rsidRDefault="00000000">
            <w:pPr>
              <w:rPr>
                <w:rStyle w:val="IntenseReference"/>
              </w:rPr>
            </w:pPr>
            <w:r w:rsidRPr="00222025">
              <w:rPr>
                <w:rStyle w:val="IntenseReference"/>
              </w:rPr>
              <w:t>Validate on real (non-SMOTE) test data only; monitor precision alongside recall</w:t>
            </w:r>
          </w:p>
        </w:tc>
      </w:tr>
      <w:tr w:rsidR="008B20C3" w:rsidRPr="00222025" w14:paraId="639F487B" w14:textId="77777777">
        <w:tc>
          <w:tcPr>
            <w:tcW w:w="2600" w:type="dxa"/>
            <w:shd w:val="clear" w:color="auto" w:fill="F1F5F9"/>
            <w:tcMar>
              <w:top w:w="80" w:type="dxa"/>
              <w:left w:w="100" w:type="dxa"/>
              <w:bottom w:w="80" w:type="dxa"/>
              <w:right w:w="100" w:type="dxa"/>
            </w:tcMar>
            <w:vAlign w:val="center"/>
          </w:tcPr>
          <w:p w14:paraId="278A0E3C" w14:textId="77777777" w:rsidR="008B20C3" w:rsidRPr="00222025" w:rsidRDefault="00000000">
            <w:pPr>
              <w:rPr>
                <w:rStyle w:val="IntenseReference"/>
              </w:rPr>
            </w:pPr>
            <w:r w:rsidRPr="00222025">
              <w:rPr>
                <w:rStyle w:val="IntenseReference"/>
              </w:rPr>
              <w:t>API latency exceeds 100ms under production load</w:t>
            </w:r>
          </w:p>
        </w:tc>
        <w:tc>
          <w:tcPr>
            <w:tcW w:w="1400" w:type="dxa"/>
            <w:shd w:val="clear" w:color="auto" w:fill="F1F5F9"/>
            <w:tcMar>
              <w:top w:w="80" w:type="dxa"/>
              <w:left w:w="100" w:type="dxa"/>
              <w:bottom w:w="80" w:type="dxa"/>
              <w:right w:w="100" w:type="dxa"/>
            </w:tcMar>
            <w:vAlign w:val="center"/>
          </w:tcPr>
          <w:p w14:paraId="7650DC40" w14:textId="77777777" w:rsidR="008B20C3" w:rsidRPr="00222025" w:rsidRDefault="00000000">
            <w:pPr>
              <w:rPr>
                <w:rStyle w:val="IntenseReference"/>
              </w:rPr>
            </w:pPr>
            <w:r w:rsidRPr="00222025">
              <w:rPr>
                <w:rStyle w:val="IntenseReference"/>
              </w:rPr>
              <w:t>Low</w:t>
            </w:r>
          </w:p>
        </w:tc>
        <w:tc>
          <w:tcPr>
            <w:tcW w:w="1800" w:type="dxa"/>
            <w:shd w:val="clear" w:color="auto" w:fill="F1F5F9"/>
            <w:tcMar>
              <w:top w:w="80" w:type="dxa"/>
              <w:left w:w="100" w:type="dxa"/>
              <w:bottom w:w="80" w:type="dxa"/>
              <w:right w:w="100" w:type="dxa"/>
            </w:tcMar>
            <w:vAlign w:val="center"/>
          </w:tcPr>
          <w:p w14:paraId="171E75E5" w14:textId="77777777" w:rsidR="008B20C3" w:rsidRPr="00222025" w:rsidRDefault="00000000">
            <w:pPr>
              <w:rPr>
                <w:rStyle w:val="IntenseReference"/>
              </w:rPr>
            </w:pPr>
            <w:r w:rsidRPr="00222025">
              <w:rPr>
                <w:rStyle w:val="IntenseReference"/>
              </w:rPr>
              <w:t>Medium — degrades CRM integration experience</w:t>
            </w:r>
          </w:p>
        </w:tc>
        <w:tc>
          <w:tcPr>
            <w:tcW w:w="3560" w:type="dxa"/>
            <w:shd w:val="clear" w:color="auto" w:fill="F1F5F9"/>
            <w:tcMar>
              <w:top w:w="80" w:type="dxa"/>
              <w:left w:w="100" w:type="dxa"/>
              <w:bottom w:w="80" w:type="dxa"/>
              <w:right w:w="100" w:type="dxa"/>
            </w:tcMar>
            <w:vAlign w:val="center"/>
          </w:tcPr>
          <w:p w14:paraId="069D8260" w14:textId="77777777" w:rsidR="008B20C3" w:rsidRPr="00222025" w:rsidRDefault="00000000">
            <w:pPr>
              <w:rPr>
                <w:rStyle w:val="IntenseReference"/>
              </w:rPr>
            </w:pPr>
            <w:r w:rsidRPr="00222025">
              <w:rPr>
                <w:rStyle w:val="IntenseReference"/>
              </w:rPr>
              <w:t>Load-test in staging (Phase 4) before Phase 5 shadow deployment</w:t>
            </w:r>
          </w:p>
        </w:tc>
      </w:tr>
      <w:tr w:rsidR="008B20C3" w:rsidRPr="00222025" w14:paraId="5C15FF26" w14:textId="77777777">
        <w:tc>
          <w:tcPr>
            <w:tcW w:w="2600" w:type="dxa"/>
            <w:shd w:val="clear" w:color="auto" w:fill="FFFFFF"/>
            <w:tcMar>
              <w:top w:w="80" w:type="dxa"/>
              <w:left w:w="100" w:type="dxa"/>
              <w:bottom w:w="80" w:type="dxa"/>
              <w:right w:w="100" w:type="dxa"/>
            </w:tcMar>
            <w:vAlign w:val="center"/>
          </w:tcPr>
          <w:p w14:paraId="70AC8BF2" w14:textId="77777777" w:rsidR="008B20C3" w:rsidRPr="00222025" w:rsidRDefault="00000000">
            <w:pPr>
              <w:rPr>
                <w:rStyle w:val="IntenseReference"/>
              </w:rPr>
            </w:pPr>
            <w:r w:rsidRPr="00222025">
              <w:rPr>
                <w:rStyle w:val="IntenseReference"/>
              </w:rPr>
              <w:lastRenderedPageBreak/>
              <w:t>DPDP Act non-compliance in automated decisioning</w:t>
            </w:r>
          </w:p>
        </w:tc>
        <w:tc>
          <w:tcPr>
            <w:tcW w:w="1400" w:type="dxa"/>
            <w:shd w:val="clear" w:color="auto" w:fill="FFFFFF"/>
            <w:tcMar>
              <w:top w:w="80" w:type="dxa"/>
              <w:left w:w="100" w:type="dxa"/>
              <w:bottom w:w="80" w:type="dxa"/>
              <w:right w:w="100" w:type="dxa"/>
            </w:tcMar>
            <w:vAlign w:val="center"/>
          </w:tcPr>
          <w:p w14:paraId="2681A705" w14:textId="77777777" w:rsidR="008B20C3" w:rsidRPr="00222025" w:rsidRDefault="00000000">
            <w:pPr>
              <w:rPr>
                <w:rStyle w:val="IntenseReference"/>
              </w:rPr>
            </w:pPr>
            <w:r w:rsidRPr="00222025">
              <w:rPr>
                <w:rStyle w:val="IntenseReference"/>
              </w:rPr>
              <w:t>Low</w:t>
            </w:r>
          </w:p>
        </w:tc>
        <w:tc>
          <w:tcPr>
            <w:tcW w:w="1800" w:type="dxa"/>
            <w:shd w:val="clear" w:color="auto" w:fill="FFFFFF"/>
            <w:tcMar>
              <w:top w:w="80" w:type="dxa"/>
              <w:left w:w="100" w:type="dxa"/>
              <w:bottom w:w="80" w:type="dxa"/>
              <w:right w:w="100" w:type="dxa"/>
            </w:tcMar>
            <w:vAlign w:val="center"/>
          </w:tcPr>
          <w:p w14:paraId="56F13811" w14:textId="77777777" w:rsidR="008B20C3" w:rsidRPr="00222025" w:rsidRDefault="00000000">
            <w:pPr>
              <w:rPr>
                <w:rStyle w:val="IntenseReference"/>
              </w:rPr>
            </w:pPr>
            <w:r w:rsidRPr="00222025">
              <w:rPr>
                <w:rStyle w:val="IntenseReference"/>
              </w:rPr>
              <w:t>Very high — regulatory penalty exposure</w:t>
            </w:r>
          </w:p>
        </w:tc>
        <w:tc>
          <w:tcPr>
            <w:tcW w:w="3560" w:type="dxa"/>
            <w:shd w:val="clear" w:color="auto" w:fill="FFFFFF"/>
            <w:tcMar>
              <w:top w:w="80" w:type="dxa"/>
              <w:left w:w="100" w:type="dxa"/>
              <w:bottom w:w="80" w:type="dxa"/>
              <w:right w:w="100" w:type="dxa"/>
            </w:tcMar>
            <w:vAlign w:val="center"/>
          </w:tcPr>
          <w:p w14:paraId="7F00C86D" w14:textId="77777777" w:rsidR="008B20C3" w:rsidRPr="00222025" w:rsidRDefault="00000000">
            <w:pPr>
              <w:rPr>
                <w:rStyle w:val="IntenseReference"/>
              </w:rPr>
            </w:pPr>
            <w:r w:rsidRPr="00222025">
              <w:rPr>
                <w:rStyle w:val="IntenseReference"/>
              </w:rPr>
              <w:t>DPO sign-off gate before any customer-facing automated action is enabled</w:t>
            </w:r>
          </w:p>
        </w:tc>
      </w:tr>
      <w:tr w:rsidR="008B20C3" w:rsidRPr="00222025" w14:paraId="7044E358" w14:textId="77777777">
        <w:tc>
          <w:tcPr>
            <w:tcW w:w="2600" w:type="dxa"/>
            <w:shd w:val="clear" w:color="auto" w:fill="F1F5F9"/>
            <w:tcMar>
              <w:top w:w="80" w:type="dxa"/>
              <w:left w:w="100" w:type="dxa"/>
              <w:bottom w:w="80" w:type="dxa"/>
              <w:right w:w="100" w:type="dxa"/>
            </w:tcMar>
            <w:vAlign w:val="center"/>
          </w:tcPr>
          <w:p w14:paraId="52EA30E4" w14:textId="77777777" w:rsidR="008B20C3" w:rsidRPr="00222025" w:rsidRDefault="00000000">
            <w:pPr>
              <w:rPr>
                <w:rStyle w:val="IntenseReference"/>
              </w:rPr>
            </w:pPr>
            <w:r w:rsidRPr="00222025">
              <w:rPr>
                <w:rStyle w:val="IntenseReference"/>
              </w:rPr>
              <w:t>Feature drift after deployment (pricing, plans change)</w:t>
            </w:r>
          </w:p>
        </w:tc>
        <w:tc>
          <w:tcPr>
            <w:tcW w:w="1400" w:type="dxa"/>
            <w:shd w:val="clear" w:color="auto" w:fill="F1F5F9"/>
            <w:tcMar>
              <w:top w:w="80" w:type="dxa"/>
              <w:left w:w="100" w:type="dxa"/>
              <w:bottom w:w="80" w:type="dxa"/>
              <w:right w:w="100" w:type="dxa"/>
            </w:tcMar>
            <w:vAlign w:val="center"/>
          </w:tcPr>
          <w:p w14:paraId="7D627DBB" w14:textId="77777777" w:rsidR="008B20C3" w:rsidRPr="00222025" w:rsidRDefault="00000000">
            <w:pPr>
              <w:rPr>
                <w:rStyle w:val="IntenseReference"/>
              </w:rPr>
            </w:pPr>
            <w:r w:rsidRPr="00222025">
              <w:rPr>
                <w:rStyle w:val="IntenseReference"/>
              </w:rPr>
              <w:t>Medium</w:t>
            </w:r>
          </w:p>
        </w:tc>
        <w:tc>
          <w:tcPr>
            <w:tcW w:w="1800" w:type="dxa"/>
            <w:shd w:val="clear" w:color="auto" w:fill="F1F5F9"/>
            <w:tcMar>
              <w:top w:w="80" w:type="dxa"/>
              <w:left w:w="100" w:type="dxa"/>
              <w:bottom w:w="80" w:type="dxa"/>
              <w:right w:w="100" w:type="dxa"/>
            </w:tcMar>
            <w:vAlign w:val="center"/>
          </w:tcPr>
          <w:p w14:paraId="467E6625" w14:textId="77777777" w:rsidR="008B20C3" w:rsidRPr="00222025" w:rsidRDefault="00000000">
            <w:pPr>
              <w:rPr>
                <w:rStyle w:val="IntenseReference"/>
              </w:rPr>
            </w:pPr>
            <w:r w:rsidRPr="00222025">
              <w:rPr>
                <w:rStyle w:val="IntenseReference"/>
              </w:rPr>
              <w:t>Medium — silent accuracy decay</w:t>
            </w:r>
          </w:p>
        </w:tc>
        <w:tc>
          <w:tcPr>
            <w:tcW w:w="3560" w:type="dxa"/>
            <w:shd w:val="clear" w:color="auto" w:fill="F1F5F9"/>
            <w:tcMar>
              <w:top w:w="80" w:type="dxa"/>
              <w:left w:w="100" w:type="dxa"/>
              <w:bottom w:w="80" w:type="dxa"/>
              <w:right w:w="100" w:type="dxa"/>
            </w:tcMar>
            <w:vAlign w:val="center"/>
          </w:tcPr>
          <w:p w14:paraId="7A2172FA" w14:textId="77777777" w:rsidR="008B20C3" w:rsidRPr="00222025" w:rsidRDefault="00000000">
            <w:pPr>
              <w:rPr>
                <w:rStyle w:val="IntenseReference"/>
              </w:rPr>
            </w:pPr>
            <w:r w:rsidRPr="00222025">
              <w:rPr>
                <w:rStyle w:val="IntenseReference"/>
              </w:rPr>
              <w:t>Automated drift monitoring and scheduled retraining via Airflow DAG</w:t>
            </w:r>
          </w:p>
        </w:tc>
      </w:tr>
    </w:tbl>
    <w:p w14:paraId="1DD290FF" w14:textId="77777777" w:rsidR="008B20C3" w:rsidRPr="00222025" w:rsidRDefault="00000000">
      <w:pPr>
        <w:spacing w:before="80" w:after="240"/>
        <w:jc w:val="center"/>
        <w:rPr>
          <w:rStyle w:val="IntenseReference"/>
        </w:rPr>
      </w:pPr>
      <w:r w:rsidRPr="00222025">
        <w:rPr>
          <w:rStyle w:val="IntenseReference"/>
        </w:rPr>
        <w:t>Table 9.1 — Risk register with likelihood, impact and mitigation.</w:t>
      </w:r>
    </w:p>
    <w:p w14:paraId="32113B03" w14:textId="77777777" w:rsidR="008B20C3" w:rsidRPr="00222025" w:rsidRDefault="00000000">
      <w:pPr>
        <w:spacing w:after="160" w:line="300" w:lineRule="auto"/>
        <w:rPr>
          <w:rStyle w:val="IntenseReference"/>
        </w:rPr>
      </w:pPr>
      <w:r w:rsidRPr="00222025">
        <w:rPr>
          <w:rStyle w:val="IntenseReference"/>
        </w:rPr>
        <w:t>The most consequential risk on this list is not the model risk — it is the compliance risk. A missed recall target costs the project time and iteration; a DPDP Act violation on automated customer-affecting decisions carries a stated maximum exposure in the ₹250 crore range under the Act, which is why the DPO gate in Phase 1 is treated as non-negotiable rather than a formality.</w:t>
      </w:r>
    </w:p>
    <w:p w14:paraId="5A11BAA7" w14:textId="77777777" w:rsidR="008B20C3" w:rsidRPr="00222025" w:rsidRDefault="00000000">
      <w:pPr>
        <w:pStyle w:val="Heading2"/>
        <w:spacing w:before="260" w:after="140"/>
        <w:rPr>
          <w:rStyle w:val="IntenseReference"/>
        </w:rPr>
      </w:pPr>
      <w:bookmarkStart w:id="26" w:name="_Toc237792706"/>
      <w:r w:rsidRPr="00222025">
        <w:rPr>
          <w:rStyle w:val="IntenseReference"/>
        </w:rPr>
        <w:t>9.1 Data drift and retraining triggers</w:t>
      </w:r>
      <w:bookmarkEnd w:id="26"/>
    </w:p>
    <w:p w14:paraId="75328D54" w14:textId="77777777" w:rsidR="008B20C3" w:rsidRPr="00222025" w:rsidRDefault="00000000">
      <w:pPr>
        <w:spacing w:after="160" w:line="300" w:lineRule="auto"/>
        <w:rPr>
          <w:rStyle w:val="IntenseReference"/>
        </w:rPr>
      </w:pPr>
      <w:r w:rsidRPr="00222025">
        <w:rPr>
          <w:rStyle w:val="IntenseReference"/>
        </w:rPr>
        <w:t>Feature and performance drift is monitored post-deployment using Evidently AI, with retraining triggered automatically rather than left to manual review, so degradation doesn't go unnoticed between quarterly check-ins. Two trigger conditions, evaluated independently:</w:t>
      </w:r>
    </w:p>
    <w:p w14:paraId="2F64C89A" w14:textId="77777777" w:rsidR="008B20C3" w:rsidRPr="00222025" w:rsidRDefault="00000000">
      <w:pPr>
        <w:pStyle w:val="ListParagraph"/>
        <w:numPr>
          <w:ilvl w:val="0"/>
          <w:numId w:val="2"/>
        </w:numPr>
        <w:spacing w:after="80"/>
        <w:rPr>
          <w:rStyle w:val="IntenseReference"/>
        </w:rPr>
      </w:pPr>
      <w:r w:rsidRPr="00222025">
        <w:rPr>
          <w:rStyle w:val="IntenseReference"/>
        </w:rPr>
        <w:t>Feature drift trigger: Population Stability Index (PSI) ≥ 0.2 on numerical input features (</w:t>
      </w:r>
      <w:proofErr w:type="spellStart"/>
      <w:r w:rsidRPr="00222025">
        <w:rPr>
          <w:rStyle w:val="IntenseReference"/>
        </w:rPr>
        <w:t>MonthlyCharges</w:t>
      </w:r>
      <w:proofErr w:type="spellEnd"/>
      <w:r w:rsidRPr="00222025">
        <w:rPr>
          <w:rStyle w:val="IntenseReference"/>
        </w:rPr>
        <w:t>, tenure) between the production scoring window and the training baseline distribution. PSI ≥ 0.2 is the standard industry cut-off for 'significant distribution shift' — below 0.1 is treated as stable, 0.1–0.2 as a watch zone.</w:t>
      </w:r>
    </w:p>
    <w:p w14:paraId="487083CD" w14:textId="77777777" w:rsidR="008B20C3" w:rsidRPr="00222025" w:rsidRDefault="00000000">
      <w:pPr>
        <w:pStyle w:val="ListParagraph"/>
        <w:numPr>
          <w:ilvl w:val="0"/>
          <w:numId w:val="2"/>
        </w:numPr>
        <w:spacing w:after="80"/>
        <w:rPr>
          <w:rStyle w:val="IntenseReference"/>
        </w:rPr>
      </w:pPr>
      <w:r w:rsidRPr="00222025">
        <w:rPr>
          <w:rStyle w:val="IntenseReference"/>
        </w:rPr>
        <w:t>Performance drift trigger: rolling test recall on labelled outcomes (customers who did or didn't actually churn) drops below 75% (5 points under the 80% target), measured over a trailing 30-day window, sustained for 30 consecutive days rather than a single bad day, to avoid retraining on noise.</w:t>
      </w:r>
    </w:p>
    <w:p w14:paraId="1F7D30BB" w14:textId="77777777" w:rsidR="008B20C3" w:rsidRPr="00222025" w:rsidRDefault="00000000">
      <w:pPr>
        <w:spacing w:after="160" w:line="300" w:lineRule="auto"/>
        <w:rPr>
          <w:rStyle w:val="IntenseReference"/>
        </w:rPr>
      </w:pPr>
      <w:r w:rsidRPr="00222025">
        <w:rPr>
          <w:rStyle w:val="IntenseReference"/>
        </w:rPr>
        <w:t>Either trigger independently initiates a scheduled retraining run via the Airflow DAG (Section 7.2); a breach of both simultaneously escalates to manual model review rather than automatic redeployment, since that combination suggests something more structural than routine drift (e.g. a pricing change or new competitor offer shifting churn behaviour wholesale).</w:t>
      </w:r>
    </w:p>
    <w:p w14:paraId="20C346EF" w14:textId="77777777" w:rsidR="008B20C3" w:rsidRPr="00222025" w:rsidRDefault="00000000">
      <w:pPr>
        <w:pStyle w:val="Heading1"/>
        <w:pBdr>
          <w:bottom w:val="single" w:sz="12" w:space="4" w:color="0891B2"/>
        </w:pBdr>
        <w:spacing w:before="360" w:after="200"/>
        <w:rPr>
          <w:rStyle w:val="IntenseReference"/>
        </w:rPr>
      </w:pPr>
      <w:bookmarkStart w:id="27" w:name="_Toc237792707"/>
      <w:r w:rsidRPr="00222025">
        <w:rPr>
          <w:rStyle w:val="IntenseReference"/>
        </w:rPr>
        <w:t>10. Strategic Roadmap: Deployment &amp; Operationalisation</w:t>
      </w:r>
      <w:bookmarkEnd w:id="27"/>
    </w:p>
    <w:p w14:paraId="7E84FFDC" w14:textId="77777777" w:rsidR="008B20C3" w:rsidRPr="00222025" w:rsidRDefault="00000000">
      <w:pPr>
        <w:spacing w:after="160" w:line="300" w:lineRule="auto"/>
        <w:rPr>
          <w:rStyle w:val="IntenseReference"/>
        </w:rPr>
      </w:pPr>
      <w:r w:rsidRPr="00222025">
        <w:rPr>
          <w:rStyle w:val="IntenseReference"/>
        </w:rPr>
        <w:t>Deployment does not go straight from a trained model to full production. It proceeds through three controlled phases so that both technical reliability and actual business impact are verified before committing budget to full-scale rollout.</w:t>
      </w:r>
    </w:p>
    <w:p w14:paraId="4F588E3C" w14:textId="77777777" w:rsidR="008B20C3" w:rsidRPr="00222025" w:rsidRDefault="00000000">
      <w:pPr>
        <w:pStyle w:val="Heading2"/>
        <w:spacing w:before="260" w:after="140"/>
        <w:rPr>
          <w:rStyle w:val="IntenseReference"/>
        </w:rPr>
      </w:pPr>
      <w:bookmarkStart w:id="28" w:name="_Toc237792708"/>
      <w:r w:rsidRPr="00222025">
        <w:rPr>
          <w:rStyle w:val="IntenseReference"/>
        </w:rPr>
        <w:t>Phase A — Shadow Deployment</w:t>
      </w:r>
      <w:bookmarkEnd w:id="28"/>
    </w:p>
    <w:p w14:paraId="1355829E" w14:textId="77777777" w:rsidR="008B20C3" w:rsidRPr="00222025" w:rsidRDefault="00000000">
      <w:pPr>
        <w:spacing w:after="160" w:line="300" w:lineRule="auto"/>
        <w:rPr>
          <w:rStyle w:val="IntenseReference"/>
        </w:rPr>
      </w:pPr>
      <w:r w:rsidRPr="00222025">
        <w:rPr>
          <w:rStyle w:val="IntenseReference"/>
        </w:rPr>
        <w:lastRenderedPageBreak/>
        <w:t>The model runs silently alongside existing production systems, generating predictions that are logged but not acted on. This validates that the model's predictions correlate with real billing-cycle outcomes on live data, not just the held-out test set, before any customer is touched.</w:t>
      </w:r>
    </w:p>
    <w:p w14:paraId="5280B3AD" w14:textId="77777777" w:rsidR="008B20C3" w:rsidRPr="00222025" w:rsidRDefault="00000000">
      <w:pPr>
        <w:pStyle w:val="Heading2"/>
        <w:spacing w:before="260" w:after="140"/>
        <w:rPr>
          <w:rStyle w:val="IntenseReference"/>
        </w:rPr>
      </w:pPr>
      <w:bookmarkStart w:id="29" w:name="_Toc237792709"/>
      <w:r w:rsidRPr="00222025">
        <w:rPr>
          <w:rStyle w:val="IntenseReference"/>
        </w:rPr>
        <w:t>Phase B — Commercial A/B Testing</w:t>
      </w:r>
      <w:bookmarkEnd w:id="29"/>
    </w:p>
    <w:p w14:paraId="2E79CA3E" w14:textId="77777777" w:rsidR="008B20C3" w:rsidRPr="00222025" w:rsidRDefault="00000000">
      <w:pPr>
        <w:spacing w:after="160" w:line="300" w:lineRule="auto"/>
        <w:rPr>
          <w:rStyle w:val="IntenseReference"/>
        </w:rPr>
      </w:pPr>
      <w:r w:rsidRPr="00222025">
        <w:rPr>
          <w:rStyle w:val="IntenseReference"/>
        </w:rPr>
        <w:t>Subscribers are split into two groups: Group A continues to receive the existing, non-model-driven retention process; Group B receives targeted, SHAP-guided interventions from the model. The differential retention rate and ROI between the two groups is the actual evidence for whether the model creates business value — the offline recall metric from Phase 3 is necessary but not sufficient proof of that.</w:t>
      </w:r>
    </w:p>
    <w:p w14:paraId="11507090" w14:textId="77777777" w:rsidR="008B20C3" w:rsidRPr="00222025" w:rsidRDefault="00000000">
      <w:pPr>
        <w:pStyle w:val="Heading2"/>
        <w:spacing w:before="260" w:after="140"/>
        <w:rPr>
          <w:rStyle w:val="IntenseReference"/>
        </w:rPr>
      </w:pPr>
      <w:bookmarkStart w:id="30" w:name="_Toc237792710"/>
      <w:r w:rsidRPr="00222025">
        <w:rPr>
          <w:rStyle w:val="IntenseReference"/>
        </w:rPr>
        <w:t>Phase C — Full CRM Integration</w:t>
      </w:r>
      <w:bookmarkEnd w:id="30"/>
    </w:p>
    <w:p w14:paraId="55FAF517" w14:textId="77777777" w:rsidR="008B20C3" w:rsidRPr="00222025" w:rsidRDefault="00000000">
      <w:pPr>
        <w:spacing w:after="160" w:line="300" w:lineRule="auto"/>
        <w:rPr>
          <w:rStyle w:val="IntenseReference"/>
        </w:rPr>
      </w:pPr>
      <w:r w:rsidRPr="00222025">
        <w:rPr>
          <w:rStyle w:val="IntenseReference"/>
        </w:rPr>
        <w:t>Only after Phase B shows a positive, statistically defensible ROI difference does the model get integrated into the CRM as a standing system, with a continuous feedback loop so retention outcomes flow back into future retraining. The drift triggers defined in Section 9.1 (PSI ≥ 0.2 on feature distributions; rolling recall below 75% over 30 days) become the standing operational gate at this phase — a trigger firing pauses new automated outreach pending a retrain, rather than letting a decaying model keep acting on stale patterns.</w:t>
      </w:r>
    </w:p>
    <w:p w14:paraId="179956B7" w14:textId="77777777" w:rsidR="008B20C3" w:rsidRPr="00222025" w:rsidRDefault="00000000">
      <w:pPr>
        <w:pStyle w:val="Heading1"/>
        <w:pBdr>
          <w:bottom w:val="single" w:sz="12" w:space="4" w:color="0891B2"/>
        </w:pBdr>
        <w:spacing w:before="360" w:after="200"/>
        <w:rPr>
          <w:rStyle w:val="IntenseReference"/>
        </w:rPr>
      </w:pPr>
      <w:bookmarkStart w:id="31" w:name="_Toc237792711"/>
      <w:r w:rsidRPr="00222025">
        <w:rPr>
          <w:rStyle w:val="IntenseReference"/>
        </w:rPr>
        <w:t>11. Documentation &amp; Formatting Notes</w:t>
      </w:r>
      <w:bookmarkEnd w:id="31"/>
    </w:p>
    <w:p w14:paraId="70A05869" w14:textId="77777777" w:rsidR="008B20C3" w:rsidRPr="00222025" w:rsidRDefault="00000000">
      <w:pPr>
        <w:spacing w:after="160" w:line="300" w:lineRule="auto"/>
        <w:rPr>
          <w:rStyle w:val="IntenseReference"/>
        </w:rPr>
      </w:pPr>
      <w:r w:rsidRPr="00222025">
        <w:rPr>
          <w:rStyle w:val="IntenseReference"/>
        </w:rPr>
        <w:t>This report is structured with numbered sections and Word built-in heading styles, so the Table of Contents on page 2 is auto-generated and will update if reopened in Word (right-click → Update Field). Tables are used for all quantitative comparisons rather than prose, in line with the request for clear, scannable presentation.</w:t>
      </w:r>
    </w:p>
    <w:p w14:paraId="526C9B3F" w14:textId="77777777" w:rsidR="008B20C3" w:rsidRPr="00222025" w:rsidRDefault="00000000">
      <w:pPr>
        <w:pStyle w:val="Heading1"/>
        <w:pBdr>
          <w:bottom w:val="single" w:sz="12" w:space="4" w:color="0891B2"/>
        </w:pBdr>
        <w:spacing w:before="360" w:after="200"/>
        <w:rPr>
          <w:rStyle w:val="IntenseReference"/>
        </w:rPr>
      </w:pPr>
      <w:bookmarkStart w:id="32" w:name="_Toc237792712"/>
      <w:r w:rsidRPr="00222025">
        <w:rPr>
          <w:rStyle w:val="IntenseReference"/>
        </w:rPr>
        <w:t>12. Conclusion</w:t>
      </w:r>
      <w:bookmarkEnd w:id="32"/>
    </w:p>
    <w:p w14:paraId="2B8C9754" w14:textId="77777777" w:rsidR="008B20C3" w:rsidRPr="00222025" w:rsidRDefault="00000000">
      <w:pPr>
        <w:spacing w:after="160" w:line="300" w:lineRule="auto"/>
        <w:rPr>
          <w:rStyle w:val="IntenseReference"/>
        </w:rPr>
      </w:pPr>
      <w:r w:rsidRPr="00222025">
        <w:rPr>
          <w:rStyle w:val="IntenseReference"/>
        </w:rPr>
        <w:t>This plan commits to a specific, checkable target — 80% recall on the churn class — rather than a vague aspiration to 'build a good model', and ties every phase to a concrete deliverable and gating milestone. The two biggest open risks are not technical: DPIA sign-off timing and the precision/recall trade-off assumption both need explicit stakeholder confirmation before Phase 2 begins, and should not be treated as settled by this document alone.</w:t>
      </w:r>
    </w:p>
    <w:sectPr w:rsidR="008B20C3" w:rsidRPr="0022202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6C57" w14:textId="77777777" w:rsidR="00C57565" w:rsidRDefault="00C57565">
      <w:r>
        <w:separator/>
      </w:r>
    </w:p>
  </w:endnote>
  <w:endnote w:type="continuationSeparator" w:id="0">
    <w:p w14:paraId="6263F53C" w14:textId="77777777" w:rsidR="00C57565" w:rsidRDefault="00C5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6334" w14:textId="77777777" w:rsidR="008B20C3"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222025">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B4A35" w14:textId="77777777" w:rsidR="00C57565" w:rsidRDefault="00C57565">
      <w:r>
        <w:separator/>
      </w:r>
    </w:p>
  </w:footnote>
  <w:footnote w:type="continuationSeparator" w:id="0">
    <w:p w14:paraId="29FAF48A" w14:textId="77777777" w:rsidR="00C57565" w:rsidRDefault="00C57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EA76" w14:textId="77777777" w:rsidR="008B20C3" w:rsidRDefault="00000000">
    <w:pPr>
      <w:jc w:val="right"/>
    </w:pPr>
    <w:r>
      <w:rPr>
        <w:color w:val="64748B"/>
        <w:sz w:val="16"/>
        <w:szCs w:val="16"/>
      </w:rPr>
      <w:t>Telecom Churn ML Pipeline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B2535"/>
    <w:multiLevelType w:val="hybridMultilevel"/>
    <w:tmpl w:val="36722DE0"/>
    <w:lvl w:ilvl="0" w:tplc="68F4CA12">
      <w:start w:val="1"/>
      <w:numFmt w:val="bullet"/>
      <w:lvlText w:val="●"/>
      <w:lvlJc w:val="left"/>
      <w:pPr>
        <w:ind w:left="720" w:hanging="360"/>
      </w:pPr>
    </w:lvl>
    <w:lvl w:ilvl="1" w:tplc="9E9C7108">
      <w:start w:val="1"/>
      <w:numFmt w:val="bullet"/>
      <w:lvlText w:val="○"/>
      <w:lvlJc w:val="left"/>
      <w:pPr>
        <w:ind w:left="1440" w:hanging="360"/>
      </w:pPr>
    </w:lvl>
    <w:lvl w:ilvl="2" w:tplc="A5F2A468">
      <w:start w:val="1"/>
      <w:numFmt w:val="bullet"/>
      <w:lvlText w:val="■"/>
      <w:lvlJc w:val="left"/>
      <w:pPr>
        <w:ind w:left="2160" w:hanging="360"/>
      </w:pPr>
    </w:lvl>
    <w:lvl w:ilvl="3" w:tplc="ABCAF9E2">
      <w:start w:val="1"/>
      <w:numFmt w:val="bullet"/>
      <w:lvlText w:val="●"/>
      <w:lvlJc w:val="left"/>
      <w:pPr>
        <w:ind w:left="2880" w:hanging="360"/>
      </w:pPr>
    </w:lvl>
    <w:lvl w:ilvl="4" w:tplc="14EC052C">
      <w:start w:val="1"/>
      <w:numFmt w:val="bullet"/>
      <w:lvlText w:val="○"/>
      <w:lvlJc w:val="left"/>
      <w:pPr>
        <w:ind w:left="3600" w:hanging="360"/>
      </w:pPr>
    </w:lvl>
    <w:lvl w:ilvl="5" w:tplc="D9FAE880">
      <w:start w:val="1"/>
      <w:numFmt w:val="bullet"/>
      <w:lvlText w:val="■"/>
      <w:lvlJc w:val="left"/>
      <w:pPr>
        <w:ind w:left="4320" w:hanging="360"/>
      </w:pPr>
    </w:lvl>
    <w:lvl w:ilvl="6" w:tplc="16483852">
      <w:start w:val="1"/>
      <w:numFmt w:val="bullet"/>
      <w:lvlText w:val="●"/>
      <w:lvlJc w:val="left"/>
      <w:pPr>
        <w:ind w:left="5040" w:hanging="360"/>
      </w:pPr>
    </w:lvl>
    <w:lvl w:ilvl="7" w:tplc="12D6E062">
      <w:start w:val="1"/>
      <w:numFmt w:val="bullet"/>
      <w:lvlText w:val="●"/>
      <w:lvlJc w:val="left"/>
      <w:pPr>
        <w:ind w:left="5760" w:hanging="360"/>
      </w:pPr>
    </w:lvl>
    <w:lvl w:ilvl="8" w:tplc="CDF27704">
      <w:start w:val="1"/>
      <w:numFmt w:val="bullet"/>
      <w:lvlText w:val="●"/>
      <w:lvlJc w:val="left"/>
      <w:pPr>
        <w:ind w:left="6480" w:hanging="360"/>
      </w:pPr>
    </w:lvl>
  </w:abstractNum>
  <w:abstractNum w:abstractNumId="1" w15:restartNumberingAfterBreak="0">
    <w:nsid w:val="246C021D"/>
    <w:multiLevelType w:val="hybridMultilevel"/>
    <w:tmpl w:val="78C49640"/>
    <w:lvl w:ilvl="0" w:tplc="9C6A3E20">
      <w:start w:val="1"/>
      <w:numFmt w:val="decimal"/>
      <w:lvlText w:val="%1."/>
      <w:lvlJc w:val="left"/>
      <w:pPr>
        <w:ind w:left="420" w:hanging="260"/>
      </w:pPr>
    </w:lvl>
    <w:lvl w:ilvl="1" w:tplc="E3EC6D3C">
      <w:numFmt w:val="decimal"/>
      <w:lvlText w:val=""/>
      <w:lvlJc w:val="left"/>
    </w:lvl>
    <w:lvl w:ilvl="2" w:tplc="1422CA10">
      <w:numFmt w:val="decimal"/>
      <w:lvlText w:val=""/>
      <w:lvlJc w:val="left"/>
    </w:lvl>
    <w:lvl w:ilvl="3" w:tplc="5CC69862">
      <w:numFmt w:val="decimal"/>
      <w:lvlText w:val=""/>
      <w:lvlJc w:val="left"/>
    </w:lvl>
    <w:lvl w:ilvl="4" w:tplc="76506CFE">
      <w:numFmt w:val="decimal"/>
      <w:lvlText w:val=""/>
      <w:lvlJc w:val="left"/>
    </w:lvl>
    <w:lvl w:ilvl="5" w:tplc="E6BA20D4">
      <w:numFmt w:val="decimal"/>
      <w:lvlText w:val=""/>
      <w:lvlJc w:val="left"/>
    </w:lvl>
    <w:lvl w:ilvl="6" w:tplc="A5AA0504">
      <w:numFmt w:val="decimal"/>
      <w:lvlText w:val=""/>
      <w:lvlJc w:val="left"/>
    </w:lvl>
    <w:lvl w:ilvl="7" w:tplc="DB526790">
      <w:numFmt w:val="decimal"/>
      <w:lvlText w:val=""/>
      <w:lvlJc w:val="left"/>
    </w:lvl>
    <w:lvl w:ilvl="8" w:tplc="7CDC80E6">
      <w:numFmt w:val="decimal"/>
      <w:lvlText w:val=""/>
      <w:lvlJc w:val="left"/>
    </w:lvl>
  </w:abstractNum>
  <w:abstractNum w:abstractNumId="2" w15:restartNumberingAfterBreak="0">
    <w:nsid w:val="2FAB7C18"/>
    <w:multiLevelType w:val="hybridMultilevel"/>
    <w:tmpl w:val="03E0F82A"/>
    <w:lvl w:ilvl="0" w:tplc="0E6A7430">
      <w:start w:val="1"/>
      <w:numFmt w:val="bullet"/>
      <w:lvlText w:val="•"/>
      <w:lvlJc w:val="left"/>
      <w:pPr>
        <w:ind w:left="420" w:hanging="260"/>
      </w:pPr>
    </w:lvl>
    <w:lvl w:ilvl="1" w:tplc="E5AC8394">
      <w:start w:val="1"/>
      <w:numFmt w:val="bullet"/>
      <w:lvlText w:val="◦"/>
      <w:lvlJc w:val="left"/>
      <w:pPr>
        <w:ind w:left="820" w:hanging="260"/>
      </w:pPr>
    </w:lvl>
    <w:lvl w:ilvl="2" w:tplc="340E49EA">
      <w:numFmt w:val="decimal"/>
      <w:lvlText w:val=""/>
      <w:lvlJc w:val="left"/>
    </w:lvl>
    <w:lvl w:ilvl="3" w:tplc="E4564EF6">
      <w:numFmt w:val="decimal"/>
      <w:lvlText w:val=""/>
      <w:lvlJc w:val="left"/>
    </w:lvl>
    <w:lvl w:ilvl="4" w:tplc="84BC8196">
      <w:numFmt w:val="decimal"/>
      <w:lvlText w:val=""/>
      <w:lvlJc w:val="left"/>
    </w:lvl>
    <w:lvl w:ilvl="5" w:tplc="D3FC0862">
      <w:numFmt w:val="decimal"/>
      <w:lvlText w:val=""/>
      <w:lvlJc w:val="left"/>
    </w:lvl>
    <w:lvl w:ilvl="6" w:tplc="0BF404C6">
      <w:numFmt w:val="decimal"/>
      <w:lvlText w:val=""/>
      <w:lvlJc w:val="left"/>
    </w:lvl>
    <w:lvl w:ilvl="7" w:tplc="A0008F26">
      <w:numFmt w:val="decimal"/>
      <w:lvlText w:val=""/>
      <w:lvlJc w:val="left"/>
    </w:lvl>
    <w:lvl w:ilvl="8" w:tplc="1C903A26">
      <w:numFmt w:val="decimal"/>
      <w:lvlText w:val=""/>
      <w:lvlJc w:val="left"/>
    </w:lvl>
  </w:abstractNum>
  <w:num w:numId="1" w16cid:durableId="74322041">
    <w:abstractNumId w:val="0"/>
    <w:lvlOverride w:ilvl="0">
      <w:startOverride w:val="1"/>
    </w:lvlOverride>
  </w:num>
  <w:num w:numId="2" w16cid:durableId="439378348">
    <w:abstractNumId w:val="2"/>
    <w:lvlOverride w:ilvl="0">
      <w:startOverride w:val="1"/>
    </w:lvlOverride>
  </w:num>
  <w:num w:numId="3" w16cid:durableId="2585603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0C3"/>
    <w:rsid w:val="00222025"/>
    <w:rsid w:val="00756483"/>
    <w:rsid w:val="007D07A0"/>
    <w:rsid w:val="008B20C3"/>
    <w:rsid w:val="00AA1346"/>
    <w:rsid w:val="00BC15EB"/>
    <w:rsid w:val="00C57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67FB"/>
  <w15:docId w15:val="{1FD9FF1C-DB60-4B63-A12A-AF698D7C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2025"/>
    <w:pPr>
      <w:spacing w:after="100"/>
    </w:pPr>
  </w:style>
  <w:style w:type="paragraph" w:styleId="TOC2">
    <w:name w:val="toc 2"/>
    <w:basedOn w:val="Normal"/>
    <w:next w:val="Normal"/>
    <w:autoRedefine/>
    <w:uiPriority w:val="39"/>
    <w:unhideWhenUsed/>
    <w:rsid w:val="00222025"/>
    <w:pPr>
      <w:spacing w:after="100"/>
      <w:ind w:left="200"/>
    </w:pPr>
  </w:style>
  <w:style w:type="paragraph" w:styleId="TOC3">
    <w:name w:val="toc 3"/>
    <w:basedOn w:val="Normal"/>
    <w:next w:val="Normal"/>
    <w:autoRedefine/>
    <w:uiPriority w:val="39"/>
    <w:unhideWhenUsed/>
    <w:rsid w:val="00222025"/>
    <w:pPr>
      <w:spacing w:after="100"/>
      <w:ind w:left="400"/>
    </w:pPr>
  </w:style>
  <w:style w:type="character" w:styleId="IntenseReference">
    <w:name w:val="Intense Reference"/>
    <w:basedOn w:val="DefaultParagraphFont"/>
    <w:uiPriority w:val="32"/>
    <w:qFormat/>
    <w:rsid w:val="00222025"/>
    <w:rPr>
      <w:b/>
      <w:bCs/>
      <w:smallCaps/>
      <w:color w:val="156082" w:themeColor="accent1"/>
      <w:spacing w:val="5"/>
    </w:rPr>
  </w:style>
  <w:style w:type="paragraph" w:styleId="IntenseQuote">
    <w:name w:val="Intense Quote"/>
    <w:basedOn w:val="Normal"/>
    <w:next w:val="Normal"/>
    <w:link w:val="IntenseQuoteChar"/>
    <w:uiPriority w:val="30"/>
    <w:qFormat/>
    <w:rsid w:val="0022202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22025"/>
    <w:rPr>
      <w:i/>
      <w:iCs/>
      <w:color w:val="156082" w:themeColor="accent1"/>
    </w:rPr>
  </w:style>
  <w:style w:type="character" w:styleId="BookTitle">
    <w:name w:val="Book Title"/>
    <w:basedOn w:val="DefaultParagraphFont"/>
    <w:uiPriority w:val="33"/>
    <w:qFormat/>
    <w:rsid w:val="00222025"/>
    <w:rPr>
      <w:b/>
      <w:bCs/>
      <w:i/>
      <w:iCs/>
      <w:spacing w:val="5"/>
    </w:rPr>
  </w:style>
  <w:style w:type="paragraph" w:styleId="Header">
    <w:name w:val="header"/>
    <w:basedOn w:val="Normal"/>
    <w:link w:val="HeaderChar"/>
    <w:uiPriority w:val="99"/>
    <w:unhideWhenUsed/>
    <w:rsid w:val="00222025"/>
    <w:pPr>
      <w:tabs>
        <w:tab w:val="center" w:pos="4513"/>
        <w:tab w:val="right" w:pos="9026"/>
      </w:tabs>
    </w:pPr>
  </w:style>
  <w:style w:type="character" w:customStyle="1" w:styleId="HeaderChar">
    <w:name w:val="Header Char"/>
    <w:basedOn w:val="DefaultParagraphFont"/>
    <w:link w:val="Header"/>
    <w:uiPriority w:val="99"/>
    <w:rsid w:val="00222025"/>
  </w:style>
  <w:style w:type="paragraph" w:styleId="Footer">
    <w:name w:val="footer"/>
    <w:basedOn w:val="Normal"/>
    <w:link w:val="FooterChar"/>
    <w:uiPriority w:val="99"/>
    <w:unhideWhenUsed/>
    <w:rsid w:val="00222025"/>
    <w:pPr>
      <w:tabs>
        <w:tab w:val="center" w:pos="4513"/>
        <w:tab w:val="right" w:pos="9026"/>
      </w:tabs>
    </w:pPr>
  </w:style>
  <w:style w:type="character" w:customStyle="1" w:styleId="FooterChar">
    <w:name w:val="Footer Char"/>
    <w:basedOn w:val="DefaultParagraphFont"/>
    <w:link w:val="Footer"/>
    <w:uiPriority w:val="99"/>
    <w:rsid w:val="00222025"/>
  </w:style>
  <w:style w:type="character" w:styleId="SubtleReference">
    <w:name w:val="Subtle Reference"/>
    <w:basedOn w:val="DefaultParagraphFont"/>
    <w:uiPriority w:val="31"/>
    <w:qFormat/>
    <w:rsid w:val="00AA134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4057</Words>
  <Characters>23126</Characters>
  <Application>Microsoft Office Word</Application>
  <DocSecurity>0</DocSecurity>
  <Lines>192</Lines>
  <Paragraphs>54</Paragraphs>
  <ScaleCrop>false</ScaleCrop>
  <Company/>
  <LinksUpToDate>false</LinksUpToDate>
  <CharactersWithSpaces>27129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Indranil Chongdar</cp:lastModifiedBy>
  <cp:revision>3</cp:revision>
  <dcterms:created xsi:type="dcterms:W3CDTF">2026-08-16T11:33:00Z</dcterms:created>
  <dcterms:modified xsi:type="dcterms:W3CDTF">2026-08-16T11:46:00Z</dcterms:modified>
</cp:coreProperties>
</file>