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B35B" w14:textId="7EC380A5" w:rsidR="00C34AFD" w:rsidRDefault="00974690" w:rsidP="00F56BF7">
      <w:pPr>
        <w:pStyle w:val="Title"/>
        <w:jc w:val="center"/>
      </w:pPr>
      <w:r>
        <w:t xml:space="preserve">Installation de </w:t>
      </w:r>
      <w:proofErr w:type="spellStart"/>
      <w:r>
        <w:t>MiKTeX</w:t>
      </w:r>
      <w:proofErr w:type="spellEnd"/>
    </w:p>
    <w:p w14:paraId="2D2B2F21" w14:textId="6CBBE21F" w:rsidR="00974690" w:rsidRDefault="00974690" w:rsidP="00F56BF7">
      <w:pPr>
        <w:spacing w:after="0"/>
      </w:pPr>
    </w:p>
    <w:p w14:paraId="7EDEB6FE" w14:textId="5C8F613B" w:rsidR="00974690" w:rsidRDefault="00974690" w:rsidP="00F56BF7">
      <w:pPr>
        <w:pStyle w:val="ListParagraph"/>
        <w:numPr>
          <w:ilvl w:val="0"/>
          <w:numId w:val="1"/>
        </w:numPr>
        <w:spacing w:after="0"/>
        <w:ind w:left="0"/>
      </w:pPr>
      <w:r>
        <w:t xml:space="preserve">Accéder à </w:t>
      </w:r>
      <w:hyperlink r:id="rId6" w:history="1">
        <w:r w:rsidRPr="009D2310">
          <w:rPr>
            <w:rStyle w:val="Hyperlink"/>
          </w:rPr>
          <w:t>https://miktex.org/download</w:t>
        </w:r>
      </w:hyperlink>
      <w:r>
        <w:t xml:space="preserve"> et cliquer sur </w:t>
      </w:r>
      <w:r w:rsidRPr="00C91378">
        <w:rPr>
          <w:b/>
          <w:bCs/>
          <w:i/>
          <w:iCs/>
        </w:rPr>
        <w:t>Download</w:t>
      </w:r>
      <w:r>
        <w:t xml:space="preserve"> au bas de la page.</w:t>
      </w:r>
    </w:p>
    <w:p w14:paraId="101A1E33" w14:textId="0760B7C7" w:rsidR="00974690" w:rsidRDefault="00974690" w:rsidP="00F56BF7">
      <w:pPr>
        <w:spacing w:after="0"/>
      </w:pPr>
      <w:r>
        <w:rPr>
          <w:noProof/>
        </w:rPr>
        <w:drawing>
          <wp:anchor distT="0" distB="0" distL="114300" distR="114300" simplePos="0" relativeHeight="251658240" behindDoc="0" locked="0" layoutInCell="1" allowOverlap="1" wp14:anchorId="1BAD764B" wp14:editId="0C0778F7">
            <wp:simplePos x="0" y="0"/>
            <wp:positionH relativeFrom="column">
              <wp:posOffset>460858</wp:posOffset>
            </wp:positionH>
            <wp:positionV relativeFrom="paragraph">
              <wp:posOffset>3480</wp:posOffset>
            </wp:positionV>
            <wp:extent cx="4410000" cy="3096000"/>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0000" cy="3096000"/>
                    </a:xfrm>
                    <a:prstGeom prst="rect">
                      <a:avLst/>
                    </a:prstGeom>
                  </pic:spPr>
                </pic:pic>
              </a:graphicData>
            </a:graphic>
            <wp14:sizeRelH relativeFrom="margin">
              <wp14:pctWidth>0</wp14:pctWidth>
            </wp14:sizeRelH>
            <wp14:sizeRelV relativeFrom="margin">
              <wp14:pctHeight>0</wp14:pctHeight>
            </wp14:sizeRelV>
          </wp:anchor>
        </w:drawing>
      </w:r>
    </w:p>
    <w:p w14:paraId="05FEC3E8" w14:textId="1FB8DF2F" w:rsidR="00F56BF7" w:rsidRDefault="00F56BF7" w:rsidP="00F56BF7">
      <w:pPr>
        <w:pStyle w:val="ListParagraph"/>
        <w:numPr>
          <w:ilvl w:val="0"/>
          <w:numId w:val="1"/>
        </w:numPr>
        <w:spacing w:after="0"/>
        <w:ind w:left="0"/>
      </w:pPr>
      <w:r>
        <w:t>Procéder à l’installation en suivant les étapes </w:t>
      </w:r>
      <w:r w:rsidR="00720284">
        <w:t>ci-dessous</w:t>
      </w:r>
      <w:r>
        <w:t>:</w:t>
      </w:r>
    </w:p>
    <w:p w14:paraId="661A8A3B" w14:textId="77777777" w:rsidR="00F56BF7" w:rsidRDefault="00F56BF7" w:rsidP="00F56BF7">
      <w:pPr>
        <w:pStyle w:val="ListParagraph"/>
      </w:pPr>
    </w:p>
    <w:p w14:paraId="56E9E59D" w14:textId="22A6B940" w:rsidR="00F56BF7" w:rsidRPr="00F56BF7" w:rsidRDefault="00F56BF7" w:rsidP="00F56BF7">
      <w:pPr>
        <w:pStyle w:val="ListParagraph"/>
        <w:numPr>
          <w:ilvl w:val="1"/>
          <w:numId w:val="1"/>
        </w:numPr>
        <w:spacing w:after="0"/>
        <w:ind w:left="417"/>
      </w:pPr>
      <w:proofErr w:type="spellStart"/>
      <w:r w:rsidRPr="007F1A09">
        <w:rPr>
          <w:b/>
          <w:bCs/>
          <w:i/>
          <w:iCs/>
        </w:rPr>
        <w:t>Copying</w:t>
      </w:r>
      <w:proofErr w:type="spellEnd"/>
      <w:r w:rsidRPr="007F1A09">
        <w:rPr>
          <w:b/>
          <w:bCs/>
          <w:i/>
          <w:iCs/>
        </w:rPr>
        <w:t xml:space="preserve"> conditions</w:t>
      </w:r>
      <w:r w:rsidRPr="007F1A09">
        <w:rPr>
          <w:b/>
          <w:bCs/>
        </w:rPr>
        <w:t> :</w:t>
      </w:r>
      <w:r w:rsidRPr="00F56BF7">
        <w:t xml:space="preserve"> Cliquer sur </w:t>
      </w:r>
      <w:r w:rsidRPr="007F1A09">
        <w:rPr>
          <w:b/>
          <w:bCs/>
          <w:i/>
          <w:iCs/>
        </w:rPr>
        <w:t xml:space="preserve">I </w:t>
      </w:r>
      <w:proofErr w:type="spellStart"/>
      <w:r w:rsidRPr="007F1A09">
        <w:rPr>
          <w:b/>
          <w:bCs/>
          <w:i/>
          <w:iCs/>
        </w:rPr>
        <w:t>a</w:t>
      </w:r>
      <w:r w:rsidR="007F1A09" w:rsidRPr="007F1A09">
        <w:rPr>
          <w:b/>
          <w:bCs/>
          <w:i/>
          <w:iCs/>
        </w:rPr>
        <w:t>c</w:t>
      </w:r>
      <w:r w:rsidRPr="007F1A09">
        <w:rPr>
          <w:b/>
          <w:bCs/>
          <w:i/>
          <w:iCs/>
        </w:rPr>
        <w:t>cept</w:t>
      </w:r>
      <w:proofErr w:type="spellEnd"/>
      <w:r w:rsidRPr="007F1A09">
        <w:rPr>
          <w:b/>
          <w:bCs/>
          <w:i/>
          <w:iCs/>
        </w:rPr>
        <w:t xml:space="preserve"> the </w:t>
      </w:r>
      <w:proofErr w:type="spellStart"/>
      <w:r w:rsidRPr="007F1A09">
        <w:rPr>
          <w:b/>
          <w:bCs/>
          <w:i/>
          <w:iCs/>
        </w:rPr>
        <w:t>MiKTeX</w:t>
      </w:r>
      <w:proofErr w:type="spellEnd"/>
      <w:r w:rsidRPr="007F1A09">
        <w:rPr>
          <w:b/>
          <w:bCs/>
          <w:i/>
          <w:iCs/>
        </w:rPr>
        <w:t xml:space="preserve"> </w:t>
      </w:r>
      <w:proofErr w:type="spellStart"/>
      <w:r w:rsidRPr="007F1A09">
        <w:rPr>
          <w:b/>
          <w:bCs/>
          <w:i/>
          <w:iCs/>
        </w:rPr>
        <w:t>copying</w:t>
      </w:r>
      <w:proofErr w:type="spellEnd"/>
      <w:r w:rsidRPr="007F1A09">
        <w:rPr>
          <w:b/>
          <w:bCs/>
          <w:i/>
          <w:iCs/>
        </w:rPr>
        <w:t xml:space="preserve"> conditions</w:t>
      </w:r>
      <w:r w:rsidRPr="00F56BF7">
        <w:t xml:space="preserve">, </w:t>
      </w:r>
      <w:r>
        <w:t xml:space="preserve">puis sur </w:t>
      </w:r>
      <w:r w:rsidRPr="007F1A09">
        <w:rPr>
          <w:b/>
          <w:bCs/>
          <w:i/>
          <w:iCs/>
        </w:rPr>
        <w:t>Suivant</w:t>
      </w:r>
      <w:r w:rsidR="00B541E6" w:rsidRPr="007F1A09">
        <w:rPr>
          <w:b/>
          <w:bCs/>
          <w:i/>
          <w:iCs/>
        </w:rPr>
        <w:t xml:space="preserve"> &gt;</w:t>
      </w:r>
      <w:r>
        <w:t>.</w:t>
      </w:r>
    </w:p>
    <w:p w14:paraId="6136B4B9" w14:textId="2CD58A11" w:rsidR="00F56BF7" w:rsidRDefault="00F56BF7" w:rsidP="00F56BF7">
      <w:pPr>
        <w:pStyle w:val="ListParagraph"/>
        <w:numPr>
          <w:ilvl w:val="1"/>
          <w:numId w:val="1"/>
        </w:numPr>
        <w:spacing w:after="0"/>
        <w:ind w:left="417"/>
      </w:pPr>
      <w:r w:rsidRPr="007F1A09">
        <w:rPr>
          <w:b/>
          <w:bCs/>
          <w:i/>
          <w:iCs/>
        </w:rPr>
        <w:t>Installation Scope</w:t>
      </w:r>
      <w:r w:rsidRPr="007F1A09">
        <w:rPr>
          <w:b/>
          <w:bCs/>
        </w:rPr>
        <w:t> :</w:t>
      </w:r>
      <w:r>
        <w:t xml:space="preserve"> </w:t>
      </w:r>
      <w:r w:rsidR="00B541E6">
        <w:t xml:space="preserve">Sélectionner l’installation pour un seul utilisateur (vous) ou tous les utilisateurs. C’est généralement </w:t>
      </w:r>
      <w:r w:rsidR="00B541E6" w:rsidRPr="007F1A09">
        <w:rPr>
          <w:b/>
          <w:bCs/>
          <w:i/>
          <w:iCs/>
        </w:rPr>
        <w:t xml:space="preserve">Install </w:t>
      </w:r>
      <w:proofErr w:type="spellStart"/>
      <w:r w:rsidR="00B541E6" w:rsidRPr="007F1A09">
        <w:rPr>
          <w:b/>
          <w:bCs/>
          <w:i/>
          <w:iCs/>
        </w:rPr>
        <w:t>MiKTeX</w:t>
      </w:r>
      <w:proofErr w:type="spellEnd"/>
      <w:r w:rsidR="00B541E6" w:rsidRPr="007F1A09">
        <w:rPr>
          <w:b/>
          <w:bCs/>
          <w:i/>
          <w:iCs/>
        </w:rPr>
        <w:t xml:space="preserve"> only for me</w:t>
      </w:r>
      <w:r w:rsidR="00B541E6">
        <w:t xml:space="preserve">. Cliquer sur </w:t>
      </w:r>
      <w:r w:rsidR="00B541E6" w:rsidRPr="007F1A09">
        <w:rPr>
          <w:b/>
          <w:bCs/>
          <w:i/>
          <w:iCs/>
        </w:rPr>
        <w:t>Suivant &gt;</w:t>
      </w:r>
      <w:r w:rsidR="00B541E6">
        <w:t>.</w:t>
      </w:r>
    </w:p>
    <w:p w14:paraId="26D4EB41" w14:textId="61DEC989" w:rsidR="00B541E6" w:rsidRDefault="00B541E6" w:rsidP="00F56BF7">
      <w:pPr>
        <w:pStyle w:val="ListParagraph"/>
        <w:numPr>
          <w:ilvl w:val="1"/>
          <w:numId w:val="1"/>
        </w:numPr>
        <w:spacing w:after="0"/>
        <w:ind w:left="417"/>
      </w:pPr>
      <w:r w:rsidRPr="007F1A09">
        <w:rPr>
          <w:b/>
          <w:bCs/>
          <w:i/>
          <w:iCs/>
        </w:rPr>
        <w:t>Installation Directory</w:t>
      </w:r>
      <w:r w:rsidRPr="007F1A09">
        <w:rPr>
          <w:b/>
          <w:bCs/>
        </w:rPr>
        <w:t> :</w:t>
      </w:r>
      <w:r>
        <w:t xml:space="preserve"> Sélectionner le répertoire d’installation. Il est recommandé de conserver la valeur par défaut, surtout </w:t>
      </w:r>
      <w:r w:rsidR="0081714C">
        <w:t>s’il y a utilisation</w:t>
      </w:r>
      <w:r>
        <w:t xml:space="preserve"> des logiciels</w:t>
      </w:r>
      <w:r w:rsidR="0081714C">
        <w:t xml:space="preserve"> </w:t>
      </w:r>
      <w:r>
        <w:t>R/</w:t>
      </w:r>
      <w:proofErr w:type="spellStart"/>
      <w:r>
        <w:t>RStudio</w:t>
      </w:r>
      <w:proofErr w:type="spellEnd"/>
      <w:r>
        <w:t xml:space="preserve"> ou Python qui utiliseront </w:t>
      </w:r>
      <w:proofErr w:type="spellStart"/>
      <w:r>
        <w:t>MiKTeX</w:t>
      </w:r>
      <w:proofErr w:type="spellEnd"/>
      <w:r>
        <w:t xml:space="preserve"> pour créer des PDF.</w:t>
      </w:r>
      <w:r w:rsidR="0081714C">
        <w:t xml:space="preserve"> Terminer en cliquant sur </w:t>
      </w:r>
      <w:r w:rsidR="0081714C" w:rsidRPr="007F1A09">
        <w:rPr>
          <w:b/>
          <w:bCs/>
          <w:i/>
          <w:iCs/>
        </w:rPr>
        <w:t>Suivant &gt;</w:t>
      </w:r>
      <w:r w:rsidR="0081714C">
        <w:t>.</w:t>
      </w:r>
    </w:p>
    <w:p w14:paraId="3AE670CD" w14:textId="41EC1CC3" w:rsidR="0081714C" w:rsidRDefault="0081714C" w:rsidP="00F56BF7">
      <w:pPr>
        <w:pStyle w:val="ListParagraph"/>
        <w:numPr>
          <w:ilvl w:val="1"/>
          <w:numId w:val="1"/>
        </w:numPr>
        <w:spacing w:after="0"/>
        <w:ind w:left="417"/>
      </w:pPr>
      <w:r w:rsidRPr="007F1A09">
        <w:rPr>
          <w:b/>
          <w:bCs/>
          <w:i/>
          <w:iCs/>
        </w:rPr>
        <w:t>Settings</w:t>
      </w:r>
      <w:r w:rsidRPr="007F1A09">
        <w:rPr>
          <w:b/>
          <w:bCs/>
        </w:rPr>
        <w:t> :</w:t>
      </w:r>
      <w:r>
        <w:t xml:space="preserve"> Généralement le format de papier utilisé est </w:t>
      </w:r>
      <w:proofErr w:type="spellStart"/>
      <w:r w:rsidRPr="007F1A09">
        <w:rPr>
          <w:b/>
          <w:bCs/>
          <w:i/>
          <w:iCs/>
        </w:rPr>
        <w:t>Letter</w:t>
      </w:r>
      <w:proofErr w:type="spellEnd"/>
      <w:r>
        <w:t xml:space="preserve">, donc remplacer </w:t>
      </w:r>
      <w:r w:rsidRPr="007F1A09">
        <w:rPr>
          <w:b/>
          <w:bCs/>
          <w:i/>
          <w:iCs/>
        </w:rPr>
        <w:t>A4</w:t>
      </w:r>
      <w:r>
        <w:t xml:space="preserve"> </w:t>
      </w:r>
      <w:r w:rsidR="007F1A09">
        <w:t xml:space="preserve">si c’est le cas. Pour les débutants, il est conseillé de sélectionner </w:t>
      </w:r>
      <w:r w:rsidR="007F1A09" w:rsidRPr="007F1A09">
        <w:rPr>
          <w:b/>
          <w:bCs/>
          <w:i/>
          <w:iCs/>
        </w:rPr>
        <w:t>Yes</w:t>
      </w:r>
      <w:r w:rsidR="007F1A09">
        <w:t xml:space="preserve"> à </w:t>
      </w:r>
      <w:r w:rsidR="007F1A09" w:rsidRPr="007F1A09">
        <w:rPr>
          <w:b/>
          <w:bCs/>
          <w:i/>
          <w:iCs/>
        </w:rPr>
        <w:t xml:space="preserve">Install </w:t>
      </w:r>
      <w:proofErr w:type="spellStart"/>
      <w:r w:rsidR="007F1A09" w:rsidRPr="007F1A09">
        <w:rPr>
          <w:b/>
          <w:bCs/>
          <w:i/>
          <w:iCs/>
        </w:rPr>
        <w:t>missing</w:t>
      </w:r>
      <w:proofErr w:type="spellEnd"/>
      <w:r w:rsidR="007F1A09" w:rsidRPr="007F1A09">
        <w:rPr>
          <w:b/>
          <w:bCs/>
          <w:i/>
          <w:iCs/>
        </w:rPr>
        <w:t xml:space="preserve"> packages on-the-</w:t>
      </w:r>
      <w:proofErr w:type="spellStart"/>
      <w:r w:rsidR="007F1A09" w:rsidRPr="007F1A09">
        <w:rPr>
          <w:b/>
          <w:bCs/>
          <w:i/>
          <w:iCs/>
        </w:rPr>
        <w:t>fly</w:t>
      </w:r>
      <w:proofErr w:type="spellEnd"/>
      <w:r w:rsidR="007F1A09">
        <w:t>. Avantageux si on utilise plusieurs librairies, car on n’aura pas besoin de gérer leur installation. Prendre note que la première utilisation sera nécessairement plus longue si plusieurs librairies doivent être installées.</w:t>
      </w:r>
    </w:p>
    <w:p w14:paraId="107188AE" w14:textId="5ADB91A9" w:rsidR="00F5326B" w:rsidRDefault="00720284" w:rsidP="00F5326B">
      <w:pPr>
        <w:pStyle w:val="ListParagraph"/>
        <w:numPr>
          <w:ilvl w:val="1"/>
          <w:numId w:val="1"/>
        </w:numPr>
        <w:spacing w:after="0"/>
        <w:ind w:left="417"/>
      </w:pPr>
      <w:proofErr w:type="spellStart"/>
      <w:r>
        <w:rPr>
          <w:b/>
          <w:bCs/>
          <w:i/>
          <w:iCs/>
        </w:rPr>
        <w:t>Review</w:t>
      </w:r>
      <w:proofErr w:type="spellEnd"/>
      <w:r>
        <w:rPr>
          <w:b/>
          <w:bCs/>
          <w:i/>
          <w:iCs/>
        </w:rPr>
        <w:t xml:space="preserve"> : </w:t>
      </w:r>
      <w:r>
        <w:t xml:space="preserve">Cliquer sur </w:t>
      </w:r>
      <w:r w:rsidRPr="00720284">
        <w:rPr>
          <w:b/>
          <w:bCs/>
          <w:i/>
          <w:iCs/>
        </w:rPr>
        <w:t>Start</w:t>
      </w:r>
      <w:r w:rsidR="00F5326B">
        <w:t xml:space="preserve"> et l’installation débutera.</w:t>
      </w:r>
    </w:p>
    <w:p w14:paraId="346FEC5E" w14:textId="05D963AC" w:rsidR="00F5326B" w:rsidRDefault="00F5326B" w:rsidP="00F5326B">
      <w:pPr>
        <w:pStyle w:val="ListParagraph"/>
        <w:numPr>
          <w:ilvl w:val="1"/>
          <w:numId w:val="1"/>
        </w:numPr>
        <w:spacing w:after="0"/>
        <w:ind w:left="417"/>
      </w:pPr>
      <w:r>
        <w:rPr>
          <w:b/>
          <w:bCs/>
          <w:i/>
          <w:iCs/>
        </w:rPr>
        <w:t>Update Check :</w:t>
      </w:r>
      <w:r>
        <w:t xml:space="preserve"> Après l’installation, on demande pour installer les mises à jour. Il est conseillé de le faire, mais ce n’est pas obligatoire. Décocher </w:t>
      </w:r>
      <w:r>
        <w:rPr>
          <w:b/>
          <w:bCs/>
          <w:i/>
          <w:iCs/>
        </w:rPr>
        <w:t xml:space="preserve">Check for updates </w:t>
      </w:r>
      <w:proofErr w:type="spellStart"/>
      <w:r>
        <w:rPr>
          <w:b/>
          <w:bCs/>
          <w:i/>
          <w:iCs/>
        </w:rPr>
        <w:t>now</w:t>
      </w:r>
      <w:proofErr w:type="spellEnd"/>
      <w:r>
        <w:t xml:space="preserve"> si vous ne voulez pas le faire. Cliquer sur </w:t>
      </w:r>
      <w:r w:rsidRPr="00F5326B">
        <w:rPr>
          <w:b/>
          <w:bCs/>
          <w:i/>
          <w:iCs/>
        </w:rPr>
        <w:t>Start</w:t>
      </w:r>
      <w:r w:rsidRPr="00F5326B">
        <w:t>.</w:t>
      </w:r>
    </w:p>
    <w:p w14:paraId="7FD17201" w14:textId="4950C987" w:rsidR="00A20D36" w:rsidRDefault="00A20D36" w:rsidP="00A20D36">
      <w:pPr>
        <w:spacing w:after="0"/>
      </w:pPr>
    </w:p>
    <w:p w14:paraId="3B501038" w14:textId="23158BD4" w:rsidR="00A20D36" w:rsidRDefault="00A20D36" w:rsidP="00A20D36">
      <w:pPr>
        <w:spacing w:after="0"/>
      </w:pPr>
      <w:r>
        <w:t xml:space="preserve">Un tutoriel avec une image pour chaque image est disponible à l’adresse </w:t>
      </w:r>
      <w:hyperlink r:id="rId8" w:history="1">
        <w:r w:rsidRPr="009D2310">
          <w:rPr>
            <w:rStyle w:val="Hyperlink"/>
          </w:rPr>
          <w:t>https://miktex.org/howto/install-miktex</w:t>
        </w:r>
      </w:hyperlink>
    </w:p>
    <w:p w14:paraId="3B8E7E82" w14:textId="6498258E" w:rsidR="004C5028" w:rsidRDefault="004C5028">
      <w:r>
        <w:br w:type="page"/>
      </w:r>
    </w:p>
    <w:p w14:paraId="3BE59ABE" w14:textId="1603CF28" w:rsidR="004C5028" w:rsidRDefault="004C5028" w:rsidP="004C5028">
      <w:pPr>
        <w:pStyle w:val="Title"/>
        <w:jc w:val="center"/>
      </w:pPr>
      <w:r>
        <w:lastRenderedPageBreak/>
        <w:t>Créer un texte</w:t>
      </w:r>
    </w:p>
    <w:p w14:paraId="2B2EE888" w14:textId="419B6952" w:rsidR="004C5028" w:rsidRDefault="004C5028" w:rsidP="004C5028"/>
    <w:p w14:paraId="77C0B463" w14:textId="2D3617A7" w:rsidR="004C5028" w:rsidRDefault="004C5028" w:rsidP="004C5028">
      <w:pPr>
        <w:pStyle w:val="ListParagraph"/>
        <w:numPr>
          <w:ilvl w:val="0"/>
          <w:numId w:val="2"/>
        </w:numPr>
      </w:pPr>
      <w:r>
        <w:t xml:space="preserve">Ouvrir </w:t>
      </w:r>
      <w:proofErr w:type="spellStart"/>
      <w:r>
        <w:rPr>
          <w:b/>
          <w:bCs/>
          <w:i/>
          <w:iCs/>
        </w:rPr>
        <w:t>TeXworks</w:t>
      </w:r>
      <w:proofErr w:type="spellEnd"/>
      <w:r>
        <w:t xml:space="preserve"> à partir du menu démarrer</w:t>
      </w:r>
    </w:p>
    <w:p w14:paraId="0F3622B6" w14:textId="30C63CA0" w:rsidR="004C5028" w:rsidRDefault="004C5028" w:rsidP="004C5028">
      <w:pPr>
        <w:pStyle w:val="ListParagraph"/>
      </w:pPr>
      <w:r>
        <w:rPr>
          <w:noProof/>
        </w:rPr>
        <w:drawing>
          <wp:inline distT="0" distB="0" distL="0" distR="0" wp14:anchorId="61344206" wp14:editId="075EE1D1">
            <wp:extent cx="1594713" cy="1515242"/>
            <wp:effectExtent l="0" t="0" r="5715" b="8890"/>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091" cy="1522252"/>
                    </a:xfrm>
                    <a:prstGeom prst="rect">
                      <a:avLst/>
                    </a:prstGeom>
                  </pic:spPr>
                </pic:pic>
              </a:graphicData>
            </a:graphic>
          </wp:inline>
        </w:drawing>
      </w:r>
    </w:p>
    <w:p w14:paraId="401093E7" w14:textId="77777777" w:rsidR="004C5028" w:rsidRDefault="004C5028" w:rsidP="004C5028">
      <w:pPr>
        <w:pStyle w:val="ListParagraph"/>
      </w:pPr>
    </w:p>
    <w:p w14:paraId="416C4F2D" w14:textId="6632CACB" w:rsidR="004C5028" w:rsidRDefault="00B66EDA" w:rsidP="004C5028">
      <w:pPr>
        <w:pStyle w:val="ListParagraph"/>
        <w:numPr>
          <w:ilvl w:val="0"/>
          <w:numId w:val="2"/>
        </w:numPr>
      </w:pPr>
      <w:r>
        <w:t>Écrire le code</w:t>
      </w:r>
    </w:p>
    <w:p w14:paraId="459ABD2A" w14:textId="335B50BE" w:rsidR="00B66EDA" w:rsidRDefault="00B66EDA" w:rsidP="004C5028">
      <w:pPr>
        <w:pStyle w:val="ListParagraph"/>
        <w:numPr>
          <w:ilvl w:val="0"/>
          <w:numId w:val="2"/>
        </w:numPr>
      </w:pPr>
      <w:r>
        <w:t xml:space="preserve">Avant de cliquer sur </w:t>
      </w:r>
      <w:r>
        <w:rPr>
          <w:b/>
          <w:bCs/>
          <w:i/>
          <w:iCs/>
        </w:rPr>
        <w:t>Composition</w:t>
      </w:r>
      <w:r>
        <w:t xml:space="preserve"> (le bouton vert à gauche complètement), sélectionner le moteur désiré.</w:t>
      </w:r>
    </w:p>
    <w:p w14:paraId="51354A6F" w14:textId="783B6F99" w:rsidR="00B66EDA" w:rsidRDefault="00B66EDA" w:rsidP="00B66EDA">
      <w:pPr>
        <w:pStyle w:val="ListParagraph"/>
      </w:pPr>
      <w:r>
        <w:rPr>
          <w:noProof/>
        </w:rPr>
        <w:drawing>
          <wp:inline distT="0" distB="0" distL="0" distR="0" wp14:anchorId="466DAFD1" wp14:editId="3A4A84B1">
            <wp:extent cx="4804297" cy="194584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9530" cy="1956063"/>
                    </a:xfrm>
                    <a:prstGeom prst="rect">
                      <a:avLst/>
                    </a:prstGeom>
                  </pic:spPr>
                </pic:pic>
              </a:graphicData>
            </a:graphic>
          </wp:inline>
        </w:drawing>
      </w:r>
    </w:p>
    <w:p w14:paraId="1B35467B" w14:textId="148B520B" w:rsidR="00B66EDA" w:rsidRDefault="00B66EDA" w:rsidP="00B66EDA">
      <w:pPr>
        <w:pStyle w:val="ListParagraph"/>
      </w:pPr>
    </w:p>
    <w:p w14:paraId="3FD73F58" w14:textId="1166D890" w:rsidR="00B66EDA" w:rsidRDefault="00B66EDA" w:rsidP="00B66EDA">
      <w:pPr>
        <w:pStyle w:val="ListParagraph"/>
        <w:numPr>
          <w:ilvl w:val="0"/>
          <w:numId w:val="2"/>
        </w:numPr>
      </w:pPr>
      <w:r>
        <w:t xml:space="preserve">Cliquer sur le bouton vert </w:t>
      </w:r>
      <w:r w:rsidRPr="00B66EDA">
        <w:rPr>
          <w:b/>
          <w:bCs/>
          <w:i/>
          <w:iCs/>
        </w:rPr>
        <w:t>Composition</w:t>
      </w:r>
      <w:r>
        <w:rPr>
          <w:i/>
          <w:iCs/>
        </w:rPr>
        <w:t xml:space="preserve"> </w:t>
      </w:r>
      <w:r>
        <w:t xml:space="preserve">(CTRL+T) </w:t>
      </w:r>
      <w:r w:rsidRPr="00B66EDA">
        <w:t>à gauche</w:t>
      </w:r>
      <w:r>
        <w:rPr>
          <w:i/>
          <w:iCs/>
        </w:rPr>
        <w:t xml:space="preserve"> </w:t>
      </w:r>
      <w:r>
        <w:t xml:space="preserve">de la barre </w:t>
      </w:r>
      <w:proofErr w:type="gramStart"/>
      <w:r>
        <w:t>d’outil</w:t>
      </w:r>
      <w:proofErr w:type="gramEnd"/>
      <w:r w:rsidR="00130B05">
        <w:t>.</w:t>
      </w:r>
    </w:p>
    <w:p w14:paraId="0526FCB0" w14:textId="68937EB9" w:rsidR="00D11906" w:rsidRDefault="00130B05" w:rsidP="00D11906">
      <w:pPr>
        <w:pStyle w:val="ListParagraph"/>
        <w:numPr>
          <w:ilvl w:val="0"/>
          <w:numId w:val="2"/>
        </w:numPr>
      </w:pPr>
      <w:r>
        <w:t>Inscrire le nom du fichier, sélectionner le type et le répertoire de sauvegarde.</w:t>
      </w:r>
      <w:r w:rsidR="00446497">
        <w:br/>
        <w:t xml:space="preserve">Pour sauvegarder en PDF, il est conseillé de </w:t>
      </w:r>
      <w:proofErr w:type="gramStart"/>
      <w:r w:rsidR="00446497">
        <w:t>sauvegardé</w:t>
      </w:r>
      <w:proofErr w:type="gramEnd"/>
      <w:r w:rsidR="00446497">
        <w:t xml:space="preserve"> en </w:t>
      </w:r>
      <w:r w:rsidR="00446497">
        <w:rPr>
          <w:i/>
          <w:iCs/>
        </w:rPr>
        <w:t>tex</w:t>
      </w:r>
      <w:r w:rsidR="00446497">
        <w:t>, puis d’imprimer en PDF</w:t>
      </w:r>
      <w:r w:rsidR="00D11906">
        <w:t xml:space="preserve"> par la suite à partir du modèle (créé après avoir </w:t>
      </w:r>
      <w:proofErr w:type="spellStart"/>
      <w:r w:rsidR="00D11906">
        <w:t>cliquer</w:t>
      </w:r>
      <w:proofErr w:type="spellEnd"/>
      <w:r w:rsidR="00D11906">
        <w:t xml:space="preserve"> sur </w:t>
      </w:r>
      <w:r w:rsidR="00D11906">
        <w:rPr>
          <w:i/>
          <w:iCs/>
        </w:rPr>
        <w:t>Composition</w:t>
      </w:r>
      <w:r w:rsidR="00D11906">
        <w:t>, le bouton vert).</w:t>
      </w:r>
      <w:r w:rsidR="00D11906">
        <w:br/>
      </w:r>
      <w:r w:rsidR="00D11906">
        <w:rPr>
          <w:noProof/>
        </w:rPr>
        <w:drawing>
          <wp:inline distT="0" distB="0" distL="0" distR="0" wp14:anchorId="2FD14F05" wp14:editId="40C30642">
            <wp:extent cx="5943600" cy="1566545"/>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66545"/>
                    </a:xfrm>
                    <a:prstGeom prst="rect">
                      <a:avLst/>
                    </a:prstGeom>
                  </pic:spPr>
                </pic:pic>
              </a:graphicData>
            </a:graphic>
          </wp:inline>
        </w:drawing>
      </w:r>
    </w:p>
    <w:p w14:paraId="7D71615C" w14:textId="3657A218" w:rsidR="00D11906" w:rsidRDefault="00D11906" w:rsidP="00D11906">
      <w:pPr>
        <w:pStyle w:val="Title"/>
        <w:jc w:val="center"/>
      </w:pPr>
      <w:r>
        <w:br w:type="page"/>
      </w:r>
      <w:r>
        <w:lastRenderedPageBreak/>
        <w:t>Mise à jour des librairies</w:t>
      </w:r>
    </w:p>
    <w:p w14:paraId="5AF247FC" w14:textId="1BC08383" w:rsidR="00D11906" w:rsidRDefault="00D11906" w:rsidP="00D11906"/>
    <w:p w14:paraId="42AF2A1F" w14:textId="268DCBB3" w:rsidR="00D11906" w:rsidRDefault="00D11906" w:rsidP="00D11906">
      <w:pPr>
        <w:pStyle w:val="ListParagraph"/>
        <w:numPr>
          <w:ilvl w:val="0"/>
          <w:numId w:val="3"/>
        </w:numPr>
      </w:pPr>
      <w:r>
        <w:t xml:space="preserve">Ouvrir </w:t>
      </w:r>
      <w:proofErr w:type="spellStart"/>
      <w:r w:rsidRPr="00D11906">
        <w:rPr>
          <w:b/>
          <w:bCs/>
          <w:i/>
          <w:iCs/>
        </w:rPr>
        <w:t>MiKTeX</w:t>
      </w:r>
      <w:proofErr w:type="spellEnd"/>
      <w:r w:rsidRPr="00D11906">
        <w:rPr>
          <w:b/>
          <w:bCs/>
          <w:i/>
          <w:iCs/>
        </w:rPr>
        <w:t xml:space="preserve"> Console</w:t>
      </w:r>
      <w:r>
        <w:t xml:space="preserve"> à partir du menu démarrer.</w:t>
      </w:r>
      <w:r>
        <w:br/>
      </w:r>
      <w:r>
        <w:rPr>
          <w:noProof/>
        </w:rPr>
        <w:drawing>
          <wp:inline distT="0" distB="0" distL="0" distR="0" wp14:anchorId="299CBCBB" wp14:editId="73F4B4F5">
            <wp:extent cx="1623974" cy="1543045"/>
            <wp:effectExtent l="0" t="0" r="0" b="635"/>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26507" cy="1545452"/>
                    </a:xfrm>
                    <a:prstGeom prst="rect">
                      <a:avLst/>
                    </a:prstGeom>
                  </pic:spPr>
                </pic:pic>
              </a:graphicData>
            </a:graphic>
          </wp:inline>
        </w:drawing>
      </w:r>
      <w:r>
        <w:br/>
      </w:r>
    </w:p>
    <w:p w14:paraId="29168604" w14:textId="5996EE08" w:rsidR="00CB3BB5" w:rsidRPr="00CB3BB5" w:rsidRDefault="00CB3BB5" w:rsidP="00CB3BB5">
      <w:pPr>
        <w:pStyle w:val="ListParagraph"/>
        <w:numPr>
          <w:ilvl w:val="0"/>
          <w:numId w:val="3"/>
        </w:numPr>
      </w:pPr>
      <w:r>
        <w:t xml:space="preserve">Sélectionner le menu </w:t>
      </w:r>
      <w:r>
        <w:rPr>
          <w:b/>
          <w:bCs/>
          <w:i/>
          <w:iCs/>
        </w:rPr>
        <w:t>Updates</w:t>
      </w:r>
      <w:r>
        <w:t xml:space="preserve"> dans le menu de gauche.</w:t>
      </w:r>
      <w:r>
        <w:br/>
      </w:r>
      <w:r w:rsidRPr="00CB3BB5">
        <w:rPr>
          <w:lang w:val="en-US"/>
        </w:rPr>
        <w:t xml:space="preserve">Cliquer sur </w:t>
      </w:r>
      <w:r w:rsidRPr="00CB3BB5">
        <w:rPr>
          <w:b/>
          <w:bCs/>
          <w:i/>
          <w:iCs/>
          <w:lang w:val="en-US"/>
        </w:rPr>
        <w:t>check for updates</w:t>
      </w:r>
      <w:r>
        <w:rPr>
          <w:lang w:val="en-US"/>
        </w:rPr>
        <w:t>.</w:t>
      </w:r>
      <w:r>
        <w:rPr>
          <w:lang w:val="en-US"/>
        </w:rPr>
        <w:br/>
      </w:r>
      <w:r w:rsidRPr="00CB3BB5">
        <w:t xml:space="preserve">Cliquer sur </w:t>
      </w:r>
      <w:r w:rsidRPr="00CB3BB5">
        <w:rPr>
          <w:b/>
          <w:bCs/>
          <w:i/>
          <w:iCs/>
        </w:rPr>
        <w:t xml:space="preserve">Update </w:t>
      </w:r>
      <w:proofErr w:type="spellStart"/>
      <w:r w:rsidRPr="00CB3BB5">
        <w:rPr>
          <w:b/>
          <w:bCs/>
          <w:i/>
          <w:iCs/>
        </w:rPr>
        <w:t>now</w:t>
      </w:r>
      <w:proofErr w:type="spellEnd"/>
      <w:r w:rsidRPr="00CB3BB5">
        <w:t xml:space="preserve"> si une ou plusieurs mises à j</w:t>
      </w:r>
      <w:r>
        <w:t>our sont disponibles.</w:t>
      </w:r>
      <w:r>
        <w:br/>
      </w:r>
      <w:r>
        <w:rPr>
          <w:noProof/>
        </w:rPr>
        <w:drawing>
          <wp:inline distT="0" distB="0" distL="0" distR="0" wp14:anchorId="0E368658" wp14:editId="1D347C83">
            <wp:extent cx="3928262" cy="3100221"/>
            <wp:effectExtent l="0" t="0" r="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2066" cy="3103223"/>
                    </a:xfrm>
                    <a:prstGeom prst="rect">
                      <a:avLst/>
                    </a:prstGeom>
                  </pic:spPr>
                </pic:pic>
              </a:graphicData>
            </a:graphic>
          </wp:inline>
        </w:drawing>
      </w:r>
    </w:p>
    <w:sectPr w:rsidR="00CB3BB5" w:rsidRPr="00CB3BB5" w:rsidSect="00644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211C9"/>
    <w:multiLevelType w:val="hybridMultilevel"/>
    <w:tmpl w:val="7F4ABB0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7A1B3B"/>
    <w:multiLevelType w:val="hybridMultilevel"/>
    <w:tmpl w:val="89529110"/>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D6509FE"/>
    <w:multiLevelType w:val="hybridMultilevel"/>
    <w:tmpl w:val="3BC674AA"/>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90"/>
    <w:rsid w:val="00130B05"/>
    <w:rsid w:val="00446497"/>
    <w:rsid w:val="004C5028"/>
    <w:rsid w:val="00644D05"/>
    <w:rsid w:val="00720284"/>
    <w:rsid w:val="007F1A09"/>
    <w:rsid w:val="0081714C"/>
    <w:rsid w:val="009318C9"/>
    <w:rsid w:val="00974690"/>
    <w:rsid w:val="00A20D36"/>
    <w:rsid w:val="00B541E6"/>
    <w:rsid w:val="00B66EDA"/>
    <w:rsid w:val="00C34AFD"/>
    <w:rsid w:val="00C36D23"/>
    <w:rsid w:val="00C91378"/>
    <w:rsid w:val="00CB3BB5"/>
    <w:rsid w:val="00D11906"/>
    <w:rsid w:val="00F5326B"/>
    <w:rsid w:val="00F56B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DF22"/>
  <w15:chartTrackingRefBased/>
  <w15:docId w15:val="{1EC33001-FF6F-4940-8E83-51F048B4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4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6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4690"/>
    <w:pPr>
      <w:ind w:left="720"/>
      <w:contextualSpacing/>
    </w:pPr>
  </w:style>
  <w:style w:type="character" w:styleId="Hyperlink">
    <w:name w:val="Hyperlink"/>
    <w:basedOn w:val="DefaultParagraphFont"/>
    <w:uiPriority w:val="99"/>
    <w:unhideWhenUsed/>
    <w:rsid w:val="00974690"/>
    <w:rPr>
      <w:color w:val="0563C1" w:themeColor="hyperlink"/>
      <w:u w:val="single"/>
    </w:rPr>
  </w:style>
  <w:style w:type="character" w:styleId="UnresolvedMention">
    <w:name w:val="Unresolved Mention"/>
    <w:basedOn w:val="DefaultParagraphFont"/>
    <w:uiPriority w:val="99"/>
    <w:semiHidden/>
    <w:unhideWhenUsed/>
    <w:rsid w:val="00974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tex.org/howto/install-mikte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ktex.org/downloa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71E2D-EEAA-443E-AA96-BF73AF4A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365</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Boucher</dc:creator>
  <cp:keywords/>
  <dc:description/>
  <cp:lastModifiedBy>Guillaume Boucher</cp:lastModifiedBy>
  <cp:revision>6</cp:revision>
  <dcterms:created xsi:type="dcterms:W3CDTF">2022-01-08T14:40:00Z</dcterms:created>
  <dcterms:modified xsi:type="dcterms:W3CDTF">2022-01-08T16:06:00Z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2022-01-08T14:40:54Z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816cd2b3-b281-4cd9-8d72-ab2d6ebbe67f</vt:lpwstr>
  </property>
  <property fmtid="{D5CDD505-2E9C-101B-9397-08002B2CF9AE}" pid="8" name="MSIP_Label_6a7d8d5d-78e2-4a62-9fcd-016eb5e4c57c_ContentBits">
    <vt:lpwstr>0</vt:lpwstr>
  </property>
</Properties>
</file>