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705417"/>
          <w:sz w:val="18"/>
        </w:rPr>
        <w:t>SUDARSHAN TASK FORCE</w:t>
      </w:r>
    </w:p>
    <w:p>
      <w:pPr>
        <w:spacing w:after="60"/>
      </w:pPr>
      <w:r>
        <w:rPr>
          <w:rFonts w:ascii="Calibri" w:hAnsi="Calibri"/>
          <w:b/>
          <w:color w:val="0B2545"/>
          <w:sz w:val="46"/>
        </w:rPr>
        <w:t>Feature Flag Manual</w:t>
      </w:r>
    </w:p>
    <w:p>
      <w:pPr>
        <w:spacing w:after="280"/>
      </w:pPr>
      <w:r>
        <w:rPr>
          <w:rFonts w:ascii="Calibri" w:hAnsi="Calibri"/>
          <w:color w:val="646464"/>
          <w:sz w:val="18"/>
        </w:rPr>
        <w:t>Foundation document | Version 0.1 | 07 August 2026</w:t>
      </w:r>
    </w:p>
    <w:p>
      <w:pPr>
        <w:pStyle w:val="Heading1"/>
      </w:pPr>
      <w:r>
        <w:t>Purpose</w:t>
      </w:r>
    </w:p>
    <w:p>
      <w:pPr>
        <w:spacing w:after="120"/>
      </w:pPr>
      <w:r>
        <w:rPr>
          <w:rFonts w:ascii="Calibri" w:hAnsi="Calibri"/>
          <w:sz w:val="22"/>
        </w:rPr>
        <w:t>Feature flags make STF configurable without separate customer builds. They control entitlement, rollout, policy choice, and safe release. They never replace permissions or tenant data isolation.</w:t>
      </w:r>
    </w:p>
    <w:p>
      <w:pPr>
        <w:pStyle w:val="Heading1"/>
      </w:pPr>
      <w:r>
        <w:t>Flag scopes</w:t>
      </w:r>
    </w:p>
    <w:p>
      <w:pPr>
        <w:spacing w:after="120"/>
      </w:pPr>
      <w:r>
        <w:rPr>
          <w:rFonts w:ascii="Calibri" w:hAnsi="Calibri"/>
          <w:sz w:val="22"/>
        </w:rPr>
        <w:t>Platform scope enables a capability for STF. Tenant scope decides whether a company has it. User scope allows an approved exception for a selected person. Role scope sets default eligibility for a job function. Policy scope stores a tenant's business choice, such as grace minutes or geofence radius; it is not a simple on/off flag.</w:t>
      </w:r>
    </w:p>
    <w:p>
      <w:pPr>
        <w:pStyle w:val="Heading1"/>
      </w:pPr>
      <w:r>
        <w:t>Required enforcement</w:t>
      </w:r>
    </w:p>
    <w:p>
      <w:pPr>
        <w:spacing w:after="120"/>
      </w:pPr>
      <w:r>
        <w:rPr>
          <w:rFonts w:ascii="Calibri" w:hAnsi="Calibri"/>
          <w:sz w:val="22"/>
        </w:rPr>
        <w:t>Each request evaluates tenant, module, feature, role, user exception, and policy. The same decision must be used by navigation, UI actions, API authorization, background jobs, notifications, reports, and mobile offline sync. Server-side denial is mandatory.</w:t>
      </w:r>
    </w:p>
    <w:p>
      <w:pPr>
        <w:pStyle w:val="Heading1"/>
      </w:pPr>
      <w:r>
        <w:t>Initial flags</w:t>
      </w:r>
    </w:p>
    <w:p>
      <w:pPr>
        <w:spacing w:after="120"/>
      </w:pPr>
      <w:r>
        <w:rPr>
          <w:rFonts w:ascii="Calibri" w:hAnsi="Calibri"/>
          <w:b/>
          <w:sz w:val="22"/>
        </w:rPr>
        <w:t xml:space="preserve">Attendance: </w:t>
      </w:r>
      <w:r>
        <w:rPr>
          <w:rFonts w:ascii="Calibri" w:hAnsi="Calibri"/>
          <w:sz w:val="22"/>
        </w:rPr>
        <w:t>GPS capture, geofence, outside-area approval, multiple punch, offline capture, missed-punch correction, late penalty, late exemption. Payroll: overtime, advances, loans, incentives, bonus, payslip delivery. Tasks: multiple assignees, recurring tasks, proof photo/file/video, GPS proof, daily report. Communication: push, email, WhatsApp, SMS. Optional: expenses, assets, announcements, performance, leaderboard.</w:t>
      </w:r>
    </w:p>
    <w:p>
      <w:pPr>
        <w:pStyle w:val="Heading1"/>
      </w:pPr>
      <w:r>
        <w:t>Lifecycle</w:t>
      </w:r>
    </w:p>
    <w:p>
      <w:pPr>
        <w:spacing w:after="120"/>
      </w:pPr>
      <w:r>
        <w:rPr>
          <w:rFonts w:ascii="Calibri" w:hAnsi="Calibri"/>
          <w:sz w:val="22"/>
        </w:rPr>
        <w:t>Every flag has key, description, scope, owner, default, dependencies, rollout state, audit log, and retirement date where applicable. A disabled flag must be reversible without deleting business data. Permanent policy decisions should become ordinary configuration and retired flags should be removed.</w:t>
      </w:r>
    </w:p>
    <w:p>
      <w:pPr>
        <w:pStyle w:val="Heading1"/>
      </w:pPr>
      <w:r>
        <w:t>Admin panel behavior</w:t>
      </w:r>
    </w:p>
    <w:p>
      <w:pPr>
        <w:spacing w:after="120"/>
      </w:pPr>
      <w:r>
        <w:rPr>
          <w:rFonts w:ascii="Calibri" w:hAnsi="Calibri"/>
          <w:sz w:val="22"/>
        </w:rPr>
        <w:t>Module Management lists modules, dependencies, current scope, users affected, and warnings. Switching off a module displays what disappears, jobs that stop, and data retention behavior. It must require confirmation and create an audit event.</w:t>
      </w:r>
    </w:p>
    <w:p>
      <w:pPr>
        <w:pStyle w:val="Heading1"/>
      </w:pPr>
      <w:r>
        <w:t>Give this to Claude</w:t>
      </w:r>
    </w:p>
    <w:p>
      <w:pPr>
        <w:spacing w:after="120"/>
      </w:pPr>
      <w:r>
        <w:rPr>
          <w:rFonts w:ascii="Calibri" w:hAnsi="Calibri"/>
          <w:b/>
          <w:sz w:val="22"/>
        </w:rPr>
        <w:t xml:space="preserve">Design a Module Management panel with clear module cards, feature-level controls, dependency warnings, affected-user counts, confirmation states, and audit history. Do not make switches decorative: </w:t>
      </w:r>
      <w:r>
        <w:rPr>
          <w:rFonts w:ascii="Calibri" w:hAnsi="Calibri"/>
          <w:sz w:val="22"/>
        </w:rPr>
        <w:t>document their server-side enforcement contract.</w:t>
      </w:r>
    </w:p>
    <w:sectPr w:rsidR="00FC693F" w:rsidRPr="0006063C" w:rsidSect="00034616">
      <w:headerReference w:type="default" r:id="rId9"/>
      <w:footerReference w:type="default" r:id="rId10"/>
      <w:pgSz w:w="12240" w:h="15840"/>
      <w:pgMar w:top="1152" w:right="1224" w:bottom="1080"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464"/>
        <w:sz w:val="16"/>
      </w:rPr>
      <w:t xml:space="preserve">STF Pack 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6"/>
      </w:rPr>
      <w:t>SUDARSHAN TASK FORCE  |  PACK 01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