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C0DDD" w14:textId="77777777" w:rsidR="00F616C8" w:rsidRDefault="00F616C8">
      <w:pPr>
        <w:pStyle w:val="Titre1"/>
        <w:bidi/>
        <w:rPr>
          <w:rFonts w:eastAsia="Times New Roman"/>
          <w:kern w:val="36"/>
          <w:sz w:val="48"/>
          <w:szCs w:val="48"/>
          <w14:ligatures w14:val="none"/>
        </w:rPr>
      </w:pPr>
      <w:r>
        <w:rPr>
          <w:rFonts w:eastAsia="Times New Roman"/>
          <w:rtl/>
        </w:rPr>
        <w:t>الأطروحة الموحدة: نحو نظرية المجال الموحد لطب الأورام الدقيق</w:t>
      </w:r>
    </w:p>
    <w:p w14:paraId="1ABCCE93" w14:textId="77777777" w:rsidR="00F616C8" w:rsidRDefault="00F616C8">
      <w:pPr>
        <w:pStyle w:val="Titre2"/>
        <w:bidi/>
        <w:rPr>
          <w:rFonts w:eastAsia="Times New Roman"/>
          <w:rtl/>
        </w:rPr>
      </w:pPr>
      <w:r>
        <w:rPr>
          <w:rFonts w:eastAsia="Times New Roman"/>
          <w:rtl/>
        </w:rPr>
        <w:t>إطار عمل تكاملي: من المعادلة الكونية والتبسيط الرياضي إلى القرار السريري التكيفي</w:t>
      </w:r>
    </w:p>
    <w:p w14:paraId="584D9778" w14:textId="77777777" w:rsidR="00F616C8" w:rsidRDefault="00F616C8">
      <w:pPr>
        <w:pStyle w:val="NormalWeb"/>
        <w:bidi/>
        <w:rPr>
          <w:rtl/>
        </w:rPr>
      </w:pPr>
      <w:r>
        <w:rPr>
          <w:b/>
          <w:bCs/>
          <w:rtl/>
        </w:rPr>
        <w:t>إعداد:</w:t>
      </w:r>
      <w:r>
        <w:rPr>
          <w:rtl/>
        </w:rPr>
        <w:t xml:space="preserve"> المهندس بن صبان سفيان </w:t>
      </w:r>
      <w:r>
        <w:rPr>
          <w:b/>
          <w:bCs/>
          <w:rtl/>
        </w:rPr>
        <w:t>التاريخ:</w:t>
      </w:r>
      <w:r>
        <w:rPr>
          <w:rtl/>
        </w:rPr>
        <w:t xml:space="preserve"> ديسمبر 2025</w:t>
      </w:r>
    </w:p>
    <w:p w14:paraId="33B8CE08" w14:textId="77777777" w:rsidR="00F616C8" w:rsidRDefault="00F616C8">
      <w:pPr>
        <w:bidi/>
        <w:rPr>
          <w:rFonts w:eastAsia="Times New Roman"/>
          <w:rtl/>
        </w:rPr>
      </w:pPr>
      <w:r>
        <w:rPr>
          <w:rFonts w:eastAsia="Times New Roman"/>
          <w:noProof/>
        </w:rPr>
        <mc:AlternateContent>
          <mc:Choice Requires="wps">
            <w:drawing>
              <wp:inline distT="0" distB="0" distL="0" distR="0" wp14:anchorId="21125C2D" wp14:editId="5866EAA3">
                <wp:extent cx="5760720" cy="1270"/>
                <wp:effectExtent l="0" t="31750" r="0" b="36830"/>
                <wp:docPr id="177065818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C4D183" id="Rectangle 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53C4D0E9" w14:textId="77777777" w:rsidR="00F616C8" w:rsidRDefault="00F616C8">
      <w:pPr>
        <w:pStyle w:val="Titre3"/>
        <w:bidi/>
        <w:rPr>
          <w:rFonts w:eastAsia="Times New Roman"/>
          <w:rtl/>
        </w:rPr>
      </w:pPr>
      <w:r>
        <w:rPr>
          <w:rFonts w:eastAsia="Times New Roman"/>
          <w:rtl/>
        </w:rPr>
        <w:t>الملخص التنفيذي</w:t>
      </w:r>
    </w:p>
    <w:p w14:paraId="408F69D7" w14:textId="77777777" w:rsidR="00F616C8" w:rsidRDefault="00F616C8">
      <w:pPr>
        <w:pStyle w:val="NormalWeb"/>
        <w:bidi/>
        <w:rPr>
          <w:rtl/>
        </w:rPr>
      </w:pPr>
      <w:r>
        <w:rPr>
          <w:rtl/>
        </w:rPr>
        <w:t xml:space="preserve">تقدم هذه الأطروحة حلاً شاملاً لمعضلات النمذجة في علم الأورام، متجاوزة الأساليب الإحصائية التقليدية نحو فهم آلي سببي. </w:t>
      </w:r>
      <w:r>
        <w:rPr>
          <w:rStyle w:val="citation-96"/>
          <w:rtl/>
        </w:rPr>
        <w:t xml:space="preserve">يبدأ العمل بطرح </w:t>
      </w:r>
      <w:r>
        <w:rPr>
          <w:rStyle w:val="citation-96"/>
          <w:b/>
          <w:bCs/>
          <w:rtl/>
        </w:rPr>
        <w:t>المعادلة الكونية الفائقة (</w:t>
      </w:r>
      <w:r>
        <w:rPr>
          <w:rStyle w:val="citation-96"/>
          <w:b/>
          <w:bCs/>
        </w:rPr>
        <w:t>UHCF-OM</w:t>
      </w:r>
      <w:r>
        <w:rPr>
          <w:rStyle w:val="citation-96"/>
          <w:b/>
          <w:bCs/>
          <w:rtl/>
        </w:rPr>
        <w:t>)</w:t>
      </w:r>
      <w:r>
        <w:rPr>
          <w:rStyle w:val="citation-96"/>
          <w:rtl/>
        </w:rPr>
        <w:t xml:space="preserve"> التي تصف ديناميكيات السرطان عبر 16 نظاماً بيولوجياً</w:t>
      </w:r>
      <w:r>
        <w:rPr>
          <w:rtl/>
        </w:rPr>
        <w:t xml:space="preserve">. </w:t>
      </w:r>
      <w:r>
        <w:rPr>
          <w:rStyle w:val="citation-95"/>
          <w:rtl/>
        </w:rPr>
        <w:t xml:space="preserve">ولجعل هذا التعقيد قابلاً للتطبيق، نستخدم </w:t>
      </w:r>
      <w:r>
        <w:rPr>
          <w:rStyle w:val="citation-95"/>
          <w:b/>
          <w:bCs/>
          <w:rtl/>
        </w:rPr>
        <w:t>نظرية التبسيط الجوهري (</w:t>
      </w:r>
      <w:r>
        <w:rPr>
          <w:rStyle w:val="citation-95"/>
          <w:b/>
          <w:bCs/>
        </w:rPr>
        <w:t>EST</w:t>
      </w:r>
      <w:r>
        <w:rPr>
          <w:rStyle w:val="citation-95"/>
          <w:b/>
          <w:bCs/>
          <w:rtl/>
        </w:rPr>
        <w:t>)</w:t>
      </w:r>
      <w:r>
        <w:rPr>
          <w:rStyle w:val="citation-95"/>
          <w:rtl/>
        </w:rPr>
        <w:t xml:space="preserve"> لاشتقاق نماذج عملية دون فقدان الجوهر الوجودي</w:t>
      </w:r>
      <w:r>
        <w:rPr>
          <w:rtl/>
        </w:rPr>
        <w:t xml:space="preserve">. </w:t>
      </w:r>
      <w:r>
        <w:rPr>
          <w:rStyle w:val="citation-94"/>
          <w:rtl/>
        </w:rPr>
        <w:t xml:space="preserve">ولمعالجة فجوة البيانات اللازمة، نطور </w:t>
      </w:r>
      <w:r>
        <w:rPr>
          <w:rStyle w:val="citation-94"/>
          <w:b/>
          <w:bCs/>
          <w:rtl/>
        </w:rPr>
        <w:t>نواة فرز ووسم ذكية</w:t>
      </w:r>
      <w:r>
        <w:rPr>
          <w:rStyle w:val="citation-94"/>
          <w:rtl/>
        </w:rPr>
        <w:t xml:space="preserve"> تعتمد على 6 وكلاء متخصصين متكاملين </w:t>
      </w:r>
      <w:r>
        <w:rPr>
          <w:rStyle w:val="citation-93"/>
          <w:rtl/>
        </w:rPr>
        <w:t xml:space="preserve">، مدعومة بـ </w:t>
      </w:r>
      <w:r>
        <w:rPr>
          <w:rStyle w:val="citation-93"/>
          <w:b/>
          <w:bCs/>
          <w:rtl/>
        </w:rPr>
        <w:t>نواة استكمال</w:t>
      </w:r>
      <w:r>
        <w:rPr>
          <w:rStyle w:val="citation-93"/>
          <w:rtl/>
        </w:rPr>
        <w:t xml:space="preserve"> تعتمد على الفيزياء</w:t>
      </w:r>
      <w:r>
        <w:rPr>
          <w:rtl/>
        </w:rPr>
        <w:t xml:space="preserve">. </w:t>
      </w:r>
      <w:r>
        <w:rPr>
          <w:rStyle w:val="citation-92"/>
          <w:rtl/>
        </w:rPr>
        <w:t xml:space="preserve">تتوج المنظومة بـ </w:t>
      </w:r>
      <w:r>
        <w:rPr>
          <w:rStyle w:val="citation-92"/>
          <w:b/>
          <w:bCs/>
          <w:rtl/>
        </w:rPr>
        <w:t>شبكة القرار التكيفية (</w:t>
      </w:r>
      <w:r>
        <w:rPr>
          <w:rStyle w:val="citation-92"/>
          <w:b/>
          <w:bCs/>
        </w:rPr>
        <w:t>ACDN</w:t>
      </w:r>
      <w:r>
        <w:rPr>
          <w:rStyle w:val="citation-92"/>
          <w:b/>
          <w:bCs/>
          <w:rtl/>
        </w:rPr>
        <w:t>)</w:t>
      </w:r>
      <w:r>
        <w:rPr>
          <w:rStyle w:val="citation-92"/>
          <w:rtl/>
        </w:rPr>
        <w:t xml:space="preserve"> التي تترجم هذا الفهم إلى قرارات علاجية دقيقة ومفسرة</w:t>
      </w:r>
      <w:r>
        <w:rPr>
          <w:rtl/>
        </w:rPr>
        <w:t>.</w:t>
      </w:r>
    </w:p>
    <w:p w14:paraId="58DC25DC" w14:textId="77777777" w:rsidR="00F616C8" w:rsidRDefault="00F616C8">
      <w:pPr>
        <w:bidi/>
        <w:rPr>
          <w:rFonts w:eastAsia="Times New Roman"/>
          <w:rtl/>
        </w:rPr>
      </w:pPr>
      <w:r>
        <w:rPr>
          <w:rFonts w:eastAsia="Times New Roman"/>
          <w:noProof/>
        </w:rPr>
        <mc:AlternateContent>
          <mc:Choice Requires="wps">
            <w:drawing>
              <wp:inline distT="0" distB="0" distL="0" distR="0" wp14:anchorId="7F444335" wp14:editId="78D339D8">
                <wp:extent cx="5760720" cy="1270"/>
                <wp:effectExtent l="0" t="31750" r="0" b="36830"/>
                <wp:docPr id="68704682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17B93A" id="Rectangle 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10A55113" w14:textId="77777777" w:rsidR="00F616C8" w:rsidRDefault="00F616C8">
      <w:pPr>
        <w:pStyle w:val="Titre3"/>
        <w:bidi/>
        <w:rPr>
          <w:rFonts w:eastAsia="Times New Roman"/>
          <w:rtl/>
        </w:rPr>
      </w:pPr>
      <w:r>
        <w:rPr>
          <w:rFonts w:eastAsia="Times New Roman"/>
          <w:rtl/>
        </w:rPr>
        <w:t>الفصل الأول: المقدمة - المعضلة الوجودية للبيانات</w:t>
      </w:r>
    </w:p>
    <w:p w14:paraId="31240BD0" w14:textId="77777777" w:rsidR="00F616C8" w:rsidRDefault="00F616C8">
      <w:pPr>
        <w:pStyle w:val="NormalWeb"/>
        <w:bidi/>
        <w:rPr>
          <w:rtl/>
        </w:rPr>
      </w:pPr>
      <w:r>
        <w:rPr>
          <w:b/>
          <w:bCs/>
          <w:rtl/>
        </w:rPr>
        <w:t>"من الارتباط الإحصائي إلى السببية البيولوجية"</w:t>
      </w:r>
    </w:p>
    <w:p w14:paraId="4EE5F018" w14:textId="77777777" w:rsidR="00F616C8" w:rsidRDefault="00F616C8">
      <w:pPr>
        <w:pStyle w:val="NormalWeb"/>
        <w:bidi/>
        <w:rPr>
          <w:rtl/>
        </w:rPr>
      </w:pPr>
      <w:r>
        <w:rPr>
          <w:rtl/>
        </w:rPr>
        <w:t xml:space="preserve">تواجه أبحاث السرطان اليوم مفارقة كبرى: وفرة في البيانات وغياب في الفهم الآلي العميق. </w:t>
      </w:r>
      <w:r>
        <w:rPr>
          <w:rStyle w:val="citation-91"/>
          <w:rtl/>
        </w:rPr>
        <w:t>الذكاء الاصطناعي التقليدي يرى الارتباطات، لكن المرض محكوم بقوانين سببية وآليات بيولوجية وليس مجرد أنماط إحصائية</w:t>
      </w:r>
      <w:r>
        <w:rPr>
          <w:rtl/>
        </w:rPr>
        <w:t xml:space="preserve">. </w:t>
      </w:r>
      <w:r>
        <w:rPr>
          <w:rStyle w:val="citation-90"/>
          <w:rtl/>
        </w:rPr>
        <w:t>السؤال الجوهري هو: هل نريد نموذجاً يتنبأ بما تظهره البيانات، أم نموذجاً يفهم "لماذا" يتطور السرطان؟</w:t>
      </w:r>
      <w:r>
        <w:rPr>
          <w:rtl/>
        </w:rPr>
        <w:t xml:space="preserve">. البيانات تخبرنا بما حدث، والمعادلات الرياضية تكشف الآلية. </w:t>
      </w:r>
      <w:r>
        <w:rPr>
          <w:rStyle w:val="citation-89"/>
          <w:rtl/>
        </w:rPr>
        <w:t>لذلك، نقترح إطاراً هجيناً يدمج معادلات الانتشار الخلوي (</w:t>
      </w:r>
      <w:proofErr w:type="spellStart"/>
      <w:r>
        <w:rPr>
          <w:rStyle w:val="citation-89"/>
        </w:rPr>
        <w:t>PDEs</w:t>
      </w:r>
      <w:proofErr w:type="spellEnd"/>
      <w:r>
        <w:rPr>
          <w:rStyle w:val="citation-89"/>
          <w:rtl/>
        </w:rPr>
        <w:t>)، التفاعلات الكيميائية، والتقلبات العشوائية، لأن النماذج القائمة على البيانات وحدها تعاني من نقص الكفاءة في التطبيقات الحساسة</w:t>
      </w:r>
      <w:r>
        <w:rPr>
          <w:rtl/>
        </w:rPr>
        <w:t>.</w:t>
      </w:r>
    </w:p>
    <w:p w14:paraId="6638B823" w14:textId="77777777" w:rsidR="00F616C8" w:rsidRDefault="00F616C8">
      <w:pPr>
        <w:bidi/>
        <w:rPr>
          <w:rFonts w:eastAsia="Times New Roman"/>
          <w:rtl/>
        </w:rPr>
      </w:pPr>
      <w:r>
        <w:rPr>
          <w:rFonts w:eastAsia="Times New Roman"/>
          <w:noProof/>
        </w:rPr>
        <mc:AlternateContent>
          <mc:Choice Requires="wps">
            <w:drawing>
              <wp:inline distT="0" distB="0" distL="0" distR="0" wp14:anchorId="5A5EFB65" wp14:editId="08DF2923">
                <wp:extent cx="5760720" cy="1270"/>
                <wp:effectExtent l="0" t="31750" r="0" b="36830"/>
                <wp:docPr id="35848176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354F73" id="Rectangle 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28FCF460" w14:textId="77777777" w:rsidR="00F616C8" w:rsidRDefault="00F616C8">
      <w:pPr>
        <w:pStyle w:val="Titre3"/>
        <w:bidi/>
        <w:rPr>
          <w:rFonts w:eastAsia="Times New Roman"/>
          <w:rtl/>
        </w:rPr>
      </w:pPr>
      <w:r>
        <w:rPr>
          <w:rFonts w:eastAsia="Times New Roman"/>
          <w:rtl/>
        </w:rPr>
        <w:t>الفصل الثاني: الواقعية الشاملة - المعادلة الكونية (</w:t>
      </w:r>
      <w:r>
        <w:rPr>
          <w:rFonts w:eastAsia="Times New Roman"/>
        </w:rPr>
        <w:t>UHCF-OM</w:t>
      </w:r>
      <w:r>
        <w:rPr>
          <w:rFonts w:eastAsia="Times New Roman"/>
          <w:rtl/>
        </w:rPr>
        <w:t>)</w:t>
      </w:r>
    </w:p>
    <w:p w14:paraId="0B37E2AA" w14:textId="77777777" w:rsidR="00F616C8" w:rsidRDefault="00F616C8">
      <w:pPr>
        <w:pStyle w:val="NormalWeb"/>
        <w:bidi/>
        <w:rPr>
          <w:rtl/>
        </w:rPr>
      </w:pPr>
      <w:r>
        <w:rPr>
          <w:rStyle w:val="citation-88"/>
          <w:rtl/>
        </w:rPr>
        <w:t xml:space="preserve">لتمثيل الواقع البيولوجي بكل ثرائه، قمنا ببناء </w:t>
      </w:r>
      <w:r>
        <w:rPr>
          <w:rStyle w:val="citation-88"/>
          <w:b/>
          <w:bCs/>
          <w:rtl/>
        </w:rPr>
        <w:t>النموذج الرياضي-البيولوجي الشامل (</w:t>
      </w:r>
      <w:r>
        <w:rPr>
          <w:rStyle w:val="citation-88"/>
          <w:b/>
          <w:bCs/>
        </w:rPr>
        <w:t>UHCF-OM</w:t>
      </w:r>
      <w:r>
        <w:rPr>
          <w:rStyle w:val="citation-88"/>
          <w:b/>
          <w:bCs/>
          <w:rtl/>
        </w:rPr>
        <w:t>)</w:t>
      </w:r>
      <w:r>
        <w:rPr>
          <w:rStyle w:val="citation-88"/>
          <w:rtl/>
        </w:rPr>
        <w:t>، الذي يتبنى مبدأ "التكامل غير المختزل"</w:t>
      </w:r>
      <w:r>
        <w:rPr>
          <w:rtl/>
        </w:rPr>
        <w:t>.</w:t>
      </w:r>
    </w:p>
    <w:p w14:paraId="79FF5AC9" w14:textId="77777777" w:rsidR="00F616C8" w:rsidRDefault="00F616C8">
      <w:pPr>
        <w:pStyle w:val="Titre4"/>
        <w:bidi/>
        <w:rPr>
          <w:rFonts w:eastAsia="Times New Roman"/>
          <w:rtl/>
        </w:rPr>
      </w:pPr>
      <w:r>
        <w:rPr>
          <w:rFonts w:eastAsia="Times New Roman"/>
          <w:rtl/>
        </w:rPr>
        <w:t>2.1 المعادلة الكونية الفائقة (</w:t>
      </w:r>
      <w:r>
        <w:rPr>
          <w:rFonts w:eastAsia="Times New Roman"/>
        </w:rPr>
        <w:t>The Ultra-Hyper Equation</w:t>
      </w:r>
      <w:r>
        <w:rPr>
          <w:rFonts w:eastAsia="Times New Roman"/>
          <w:rtl/>
        </w:rPr>
        <w:t>)</w:t>
      </w:r>
    </w:p>
    <w:p w14:paraId="544AD8B7" w14:textId="77777777" w:rsidR="00F616C8" w:rsidRDefault="00F616C8">
      <w:pPr>
        <w:pStyle w:val="NormalWeb"/>
        <w:bidi/>
        <w:rPr>
          <w:rtl/>
        </w:rPr>
      </w:pPr>
      <w:r>
        <w:rPr>
          <w:rStyle w:val="citation-87"/>
          <w:rtl/>
        </w:rPr>
        <w:t>تصف هذه المعادلة تطور كثافة الخلايا السرطانية عبر الزمن والمكان، دامجةً المشتقات الكسرية متغيرة الرتبة مع الهندسة المتغيرة للمتشعبات</w:t>
      </w:r>
      <w:r>
        <w:rPr>
          <w:rtl/>
        </w:rPr>
        <w:t>. المعادلة تأخذ الشكل العام:</w:t>
      </w:r>
    </w:p>
    <w:p w14:paraId="5668BC85" w14:textId="77777777" w:rsidR="00F616C8" w:rsidRDefault="00F616C8">
      <w:pPr>
        <w:pStyle w:val="NormalWeb"/>
        <w:bidi/>
        <w:rPr>
          <w:rtl/>
        </w:rPr>
      </w:pPr>
      <w:r>
        <w:rPr>
          <w:rStyle w:val="citation-86"/>
          <w:rtl/>
        </w:rPr>
        <w:t xml:space="preserve">حيث يتم دمج </w:t>
      </w:r>
      <w:r>
        <w:rPr>
          <w:rStyle w:val="citation-86"/>
          <w:b/>
          <w:bCs/>
          <w:rtl/>
        </w:rPr>
        <w:t>16 نظاماً بيولوجياً فرعياً</w:t>
      </w:r>
      <w:r>
        <w:rPr>
          <w:rStyle w:val="citation-86"/>
          <w:rtl/>
        </w:rPr>
        <w:t xml:space="preserve"> تتفاعل آنياً، تشمل الجينوميات ()، علم التخلق ()، الميتابولوميات ()، البيئة الدقيقة ()، والمناعة ()، وصولاً إلى التواصل الخلوي () </w:t>
      </w:r>
      <w:r>
        <w:rPr>
          <w:rtl/>
        </w:rPr>
        <w:t>. هذا النموذج يمثل "الحقيقة النظرية" الكاملة التي تضمن عدم إهمال أي عامل مؤثر في تطور المرض.</w:t>
      </w:r>
    </w:p>
    <w:p w14:paraId="0B152491" w14:textId="77777777" w:rsidR="00F616C8" w:rsidRDefault="00F616C8">
      <w:pPr>
        <w:bidi/>
        <w:rPr>
          <w:rFonts w:eastAsia="Times New Roman"/>
          <w:rtl/>
        </w:rPr>
      </w:pPr>
      <w:r>
        <w:rPr>
          <w:rFonts w:eastAsia="Times New Roman"/>
          <w:noProof/>
        </w:rPr>
        <mc:AlternateContent>
          <mc:Choice Requires="wps">
            <w:drawing>
              <wp:inline distT="0" distB="0" distL="0" distR="0" wp14:anchorId="7439D637" wp14:editId="69DBE627">
                <wp:extent cx="5760720" cy="1270"/>
                <wp:effectExtent l="0" t="31750" r="0" b="36830"/>
                <wp:docPr id="157813677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4CBD82" id="Rectangle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452897E1" w14:textId="77777777" w:rsidR="00F616C8" w:rsidRDefault="00F616C8">
      <w:pPr>
        <w:pStyle w:val="Titre3"/>
        <w:bidi/>
        <w:rPr>
          <w:rFonts w:eastAsia="Times New Roman"/>
          <w:rtl/>
        </w:rPr>
      </w:pPr>
      <w:r>
        <w:rPr>
          <w:rFonts w:eastAsia="Times New Roman"/>
          <w:rtl/>
        </w:rPr>
        <w:lastRenderedPageBreak/>
        <w:t>الفصل الثالث: نظرية التبسيط الجوهري (</w:t>
      </w:r>
      <w:r>
        <w:rPr>
          <w:rFonts w:eastAsia="Times New Roman"/>
        </w:rPr>
        <w:t>Essential Simplification</w:t>
      </w:r>
      <w:r>
        <w:rPr>
          <w:rFonts w:eastAsia="Times New Roman"/>
          <w:rtl/>
        </w:rPr>
        <w:t>)</w:t>
      </w:r>
    </w:p>
    <w:p w14:paraId="41577E56" w14:textId="77777777" w:rsidR="00F616C8" w:rsidRDefault="00F616C8">
      <w:pPr>
        <w:pStyle w:val="NormalWeb"/>
        <w:bidi/>
        <w:rPr>
          <w:rtl/>
        </w:rPr>
      </w:pPr>
      <w:r>
        <w:rPr>
          <w:rtl/>
        </w:rPr>
        <w:t xml:space="preserve">التعقيد الهائل في النموذج الكوني يطرح تحدياً في القابلية للتطبيق. </w:t>
      </w:r>
      <w:r>
        <w:rPr>
          <w:rStyle w:val="citation-85"/>
          <w:rtl/>
        </w:rPr>
        <w:t xml:space="preserve">الحل يكمن في </w:t>
      </w:r>
      <w:r>
        <w:rPr>
          <w:rStyle w:val="citation-85"/>
          <w:b/>
          <w:bCs/>
          <w:rtl/>
        </w:rPr>
        <w:t>نظرية التبسيط الجوهري (</w:t>
      </w:r>
      <w:r>
        <w:rPr>
          <w:rStyle w:val="citation-85"/>
          <w:b/>
          <w:bCs/>
        </w:rPr>
        <w:t>EST</w:t>
      </w:r>
      <w:r>
        <w:rPr>
          <w:rStyle w:val="citation-85"/>
          <w:b/>
          <w:bCs/>
          <w:rtl/>
        </w:rPr>
        <w:t>)</w:t>
      </w:r>
      <w:r>
        <w:rPr>
          <w:rStyle w:val="citation-85"/>
          <w:rtl/>
        </w:rPr>
        <w:t>، التي تهدف إلى اختزال التعقيد الهيكلي مع الحفاظ على الأثر الوجودي (</w:t>
      </w:r>
      <w:proofErr w:type="spellStart"/>
      <w:r>
        <w:rPr>
          <w:rStyle w:val="citation-85"/>
        </w:rPr>
        <w:t>Effect</w:t>
      </w:r>
      <w:proofErr w:type="spellEnd"/>
      <w:r>
        <w:rPr>
          <w:rStyle w:val="citation-85"/>
        </w:rPr>
        <w:t xml:space="preserve"> </w:t>
      </w:r>
      <w:proofErr w:type="spellStart"/>
      <w:r>
        <w:rPr>
          <w:rStyle w:val="citation-85"/>
        </w:rPr>
        <w:t>Preservation</w:t>
      </w:r>
      <w:proofErr w:type="spellEnd"/>
      <w:r>
        <w:rPr>
          <w:rStyle w:val="citation-85"/>
          <w:rtl/>
        </w:rPr>
        <w:t>)</w:t>
      </w:r>
      <w:r>
        <w:rPr>
          <w:rtl/>
        </w:rPr>
        <w:t>.</w:t>
      </w:r>
    </w:p>
    <w:p w14:paraId="54967CC9" w14:textId="77777777" w:rsidR="00F616C8" w:rsidRDefault="00F616C8">
      <w:pPr>
        <w:pStyle w:val="Titre4"/>
        <w:bidi/>
        <w:rPr>
          <w:rFonts w:eastAsia="Times New Roman"/>
          <w:rtl/>
        </w:rPr>
      </w:pPr>
      <w:r>
        <w:rPr>
          <w:rFonts w:eastAsia="Times New Roman"/>
          <w:rtl/>
        </w:rPr>
        <w:t>3.1 الأسس الرياضية للتبسيط</w:t>
      </w:r>
    </w:p>
    <w:p w14:paraId="2C3E192A" w14:textId="77777777" w:rsidR="00F616C8" w:rsidRDefault="00F616C8">
      <w:pPr>
        <w:pStyle w:val="NormalWeb"/>
        <w:bidi/>
        <w:rPr>
          <w:rtl/>
        </w:rPr>
      </w:pPr>
      <w:r>
        <w:rPr>
          <w:rStyle w:val="citation-84"/>
          <w:rtl/>
        </w:rPr>
        <w:t>تعتمد النظرية على فضاءات سوبوليف (</w:t>
      </w:r>
      <w:proofErr w:type="spellStart"/>
      <w:r>
        <w:rPr>
          <w:rStyle w:val="citation-84"/>
        </w:rPr>
        <w:t>Sobolev</w:t>
      </w:r>
      <w:proofErr w:type="spellEnd"/>
      <w:r>
        <w:rPr>
          <w:rStyle w:val="citation-84"/>
        </w:rPr>
        <w:t xml:space="preserve"> </w:t>
      </w:r>
      <w:proofErr w:type="spellStart"/>
      <w:r>
        <w:rPr>
          <w:rStyle w:val="citation-84"/>
        </w:rPr>
        <w:t>Spaces</w:t>
      </w:r>
      <w:proofErr w:type="spellEnd"/>
      <w:r>
        <w:rPr>
          <w:rStyle w:val="citation-84"/>
          <w:rtl/>
        </w:rPr>
        <w:t>) وتستخدم دالة "نسبة التعقيد إلى الجوهر" (</w:t>
      </w:r>
      <w:r>
        <w:rPr>
          <w:rStyle w:val="citation-84"/>
        </w:rPr>
        <w:t>CER</w:t>
      </w:r>
      <w:r>
        <w:rPr>
          <w:rStyle w:val="citation-84"/>
          <w:rtl/>
        </w:rPr>
        <w:t>) كمعيار للتحسين</w:t>
      </w:r>
      <w:r>
        <w:rPr>
          <w:rtl/>
        </w:rPr>
        <w:t>. نضمن سلامة التبسيط عبر مبرهنات صارمة:</w:t>
      </w:r>
    </w:p>
    <w:p w14:paraId="65583A8B" w14:textId="77777777" w:rsidR="00F616C8" w:rsidRDefault="00F616C8">
      <w:pPr>
        <w:pStyle w:val="NormalWeb"/>
        <w:numPr>
          <w:ilvl w:val="0"/>
          <w:numId w:val="1"/>
        </w:numPr>
        <w:bidi/>
        <w:rPr>
          <w:rtl/>
        </w:rPr>
      </w:pPr>
      <w:r>
        <w:rPr>
          <w:rStyle w:val="citation-83"/>
          <w:b/>
          <w:bCs/>
          <w:rtl/>
        </w:rPr>
        <w:t>مبرهنة الوجود:</w:t>
      </w:r>
      <w:r>
        <w:rPr>
          <w:rStyle w:val="citation-83"/>
          <w:rtl/>
        </w:rPr>
        <w:t xml:space="preserve"> تضمن وجود نموذج مبسط "أمثل" يحقق الحد الأدنى من التعقيد مع الحفاظ على التأثير البيولوجي</w:t>
      </w:r>
      <w:r>
        <w:rPr>
          <w:rtl/>
        </w:rPr>
        <w:t>.</w:t>
      </w:r>
    </w:p>
    <w:p w14:paraId="04CAE1FB" w14:textId="77777777" w:rsidR="00F616C8" w:rsidRDefault="00F616C8">
      <w:pPr>
        <w:pStyle w:val="NormalWeb"/>
        <w:numPr>
          <w:ilvl w:val="0"/>
          <w:numId w:val="1"/>
        </w:numPr>
        <w:bidi/>
        <w:rPr>
          <w:rtl/>
        </w:rPr>
      </w:pPr>
      <w:r>
        <w:rPr>
          <w:rStyle w:val="citation-82"/>
          <w:b/>
          <w:bCs/>
          <w:rtl/>
        </w:rPr>
        <w:t>مبرهنة الاستقرار الديناميكي:</w:t>
      </w:r>
      <w:r>
        <w:rPr>
          <w:rStyle w:val="citation-82"/>
          <w:rtl/>
        </w:rPr>
        <w:t xml:space="preserve"> تثبت أن عملية التبسيط مستقرة عالمياً باستخدام دوال ليبانوف</w:t>
      </w:r>
      <w:r>
        <w:rPr>
          <w:rtl/>
        </w:rPr>
        <w:t>.</w:t>
      </w:r>
    </w:p>
    <w:p w14:paraId="764C1AD8" w14:textId="77777777" w:rsidR="00F616C8" w:rsidRDefault="00F616C8">
      <w:pPr>
        <w:pStyle w:val="NormalWeb"/>
        <w:numPr>
          <w:ilvl w:val="0"/>
          <w:numId w:val="1"/>
        </w:numPr>
        <w:bidi/>
        <w:rPr>
          <w:rtl/>
        </w:rPr>
      </w:pPr>
      <w:r>
        <w:rPr>
          <w:rStyle w:val="citation-81"/>
          <w:b/>
          <w:bCs/>
          <w:rtl/>
        </w:rPr>
        <w:t>مبرهنة الحفاظ على المعلومات:</w:t>
      </w:r>
      <w:r>
        <w:rPr>
          <w:rStyle w:val="citation-81"/>
          <w:rtl/>
        </w:rPr>
        <w:t xml:space="preserve"> تضع حداً أعلى للمعلومات المفقودة، مما يضمن بقاء "المعنى" البيولوجي في النموذج المبسط</w:t>
      </w:r>
      <w:r>
        <w:rPr>
          <w:rtl/>
        </w:rPr>
        <w:t>.</w:t>
      </w:r>
    </w:p>
    <w:p w14:paraId="60AEC74E" w14:textId="77777777" w:rsidR="00F616C8" w:rsidRDefault="00F616C8">
      <w:pPr>
        <w:pStyle w:val="NormalWeb"/>
        <w:bidi/>
        <w:rPr>
          <w:rtl/>
        </w:rPr>
      </w:pPr>
      <w:r>
        <w:rPr>
          <w:rStyle w:val="citation-80"/>
          <w:rtl/>
        </w:rPr>
        <w:t>هذا يسمح لنا بتحويل نموذج الـ 16 نظاماً إلى نموذج عملي (5-6 أنظمة جوهرية) دون خيانة الواقع البيولوجي</w:t>
      </w:r>
      <w:r>
        <w:rPr>
          <w:rtl/>
        </w:rPr>
        <w:t>.</w:t>
      </w:r>
    </w:p>
    <w:p w14:paraId="2C20D853" w14:textId="77777777" w:rsidR="00F616C8" w:rsidRDefault="00F616C8">
      <w:pPr>
        <w:bidi/>
        <w:rPr>
          <w:rFonts w:eastAsia="Times New Roman"/>
          <w:rtl/>
        </w:rPr>
      </w:pPr>
      <w:r>
        <w:rPr>
          <w:rFonts w:eastAsia="Times New Roman"/>
          <w:noProof/>
        </w:rPr>
        <mc:AlternateContent>
          <mc:Choice Requires="wps">
            <w:drawing>
              <wp:inline distT="0" distB="0" distL="0" distR="0" wp14:anchorId="34194ED8" wp14:editId="49F284CB">
                <wp:extent cx="5760720" cy="1270"/>
                <wp:effectExtent l="0" t="31750" r="0" b="36830"/>
                <wp:docPr id="1856651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F30A78" id="Rectangle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0317AB98" w14:textId="77777777" w:rsidR="00F616C8" w:rsidRDefault="00F616C8">
      <w:pPr>
        <w:pStyle w:val="Titre3"/>
        <w:bidi/>
        <w:rPr>
          <w:rFonts w:eastAsia="Times New Roman"/>
          <w:rtl/>
        </w:rPr>
      </w:pPr>
      <w:r>
        <w:rPr>
          <w:rFonts w:eastAsia="Times New Roman"/>
          <w:rtl/>
        </w:rPr>
        <w:t>الفصل الرابع: نواة الفرز والوسم الذكية (</w:t>
      </w:r>
      <w:r>
        <w:rPr>
          <w:rFonts w:eastAsia="Times New Roman"/>
        </w:rPr>
        <w:t xml:space="preserve">Intelligent </w:t>
      </w:r>
      <w:proofErr w:type="spellStart"/>
      <w:r>
        <w:rPr>
          <w:rFonts w:eastAsia="Times New Roman"/>
        </w:rPr>
        <w:t>Sorting</w:t>
      </w:r>
      <w:proofErr w:type="spellEnd"/>
      <w:r>
        <w:rPr>
          <w:rFonts w:eastAsia="Times New Roman"/>
        </w:rPr>
        <w:t xml:space="preserve"> </w:t>
      </w:r>
      <w:proofErr w:type="spellStart"/>
      <w:r>
        <w:rPr>
          <w:rFonts w:eastAsia="Times New Roman"/>
        </w:rPr>
        <w:t>Kernel</w:t>
      </w:r>
      <w:proofErr w:type="spellEnd"/>
      <w:r>
        <w:rPr>
          <w:rFonts w:eastAsia="Times New Roman"/>
          <w:rtl/>
        </w:rPr>
        <w:t>)</w:t>
      </w:r>
    </w:p>
    <w:p w14:paraId="3E1E859D" w14:textId="77777777" w:rsidR="00F616C8" w:rsidRDefault="00F616C8">
      <w:pPr>
        <w:pStyle w:val="NormalWeb"/>
        <w:bidi/>
        <w:rPr>
          <w:rtl/>
        </w:rPr>
      </w:pPr>
      <w:r>
        <w:rPr>
          <w:rtl/>
        </w:rPr>
        <w:t xml:space="preserve">حتى النماذج المبسطة تحتاج إلى وقود عالي الجودة من البيانات. البيانات الطبية غالباً ما تكون مشتتة وغير موسومة. </w:t>
      </w:r>
      <w:r>
        <w:rPr>
          <w:rStyle w:val="citation-79"/>
          <w:rtl/>
        </w:rPr>
        <w:t xml:space="preserve">لحل ذلك، قمنا بتصميم </w:t>
      </w:r>
      <w:r>
        <w:rPr>
          <w:rStyle w:val="citation-79"/>
          <w:b/>
          <w:bCs/>
          <w:rtl/>
        </w:rPr>
        <w:t>نواة ذكاء اصطناعي متعددة الوكلاء</w:t>
      </w:r>
      <w:r>
        <w:rPr>
          <w:rStyle w:val="citation-79"/>
          <w:rtl/>
        </w:rPr>
        <w:t xml:space="preserve"> تعتمد على إعادة هيكلة المجالات الـ 16 في </w:t>
      </w:r>
      <w:r>
        <w:rPr>
          <w:rStyle w:val="citation-79"/>
          <w:b/>
          <w:bCs/>
          <w:rtl/>
        </w:rPr>
        <w:t>6 تخصصات علمية متكاملة</w:t>
      </w:r>
      <w:r>
        <w:rPr>
          <w:rtl/>
        </w:rPr>
        <w:t>.</w:t>
      </w:r>
    </w:p>
    <w:p w14:paraId="33F8B600" w14:textId="77777777" w:rsidR="00F616C8" w:rsidRDefault="00F616C8">
      <w:pPr>
        <w:pStyle w:val="Titre4"/>
        <w:bidi/>
        <w:rPr>
          <w:rFonts w:eastAsia="Times New Roman"/>
          <w:rtl/>
        </w:rPr>
      </w:pPr>
      <w:r>
        <w:rPr>
          <w:rFonts w:eastAsia="Times New Roman"/>
          <w:rtl/>
        </w:rPr>
        <w:t>4.1 التجميع الذكي: الوكلاء الستة المتكاملة</w:t>
      </w:r>
    </w:p>
    <w:p w14:paraId="676ADFEF" w14:textId="77777777" w:rsidR="00F616C8" w:rsidRDefault="00F616C8">
      <w:pPr>
        <w:pStyle w:val="NormalWeb"/>
        <w:bidi/>
        <w:rPr>
          <w:rtl/>
        </w:rPr>
      </w:pPr>
      <w:r>
        <w:rPr>
          <w:rStyle w:val="citation-78"/>
          <w:rtl/>
        </w:rPr>
        <w:t xml:space="preserve">بدلاً من تشتيت الجهود، يقوم النظام بتجميع التخصصات المتقاربة في وكلاء أذكياء يمثلون "خبراء رقميين" </w:t>
      </w:r>
      <w:r>
        <w:rPr>
          <w:rtl/>
        </w:rPr>
        <w:t>:</w:t>
      </w:r>
    </w:p>
    <w:p w14:paraId="0A1DCE09" w14:textId="77777777" w:rsidR="00F616C8" w:rsidRDefault="00F616C8">
      <w:pPr>
        <w:pStyle w:val="NormalWeb"/>
        <w:numPr>
          <w:ilvl w:val="0"/>
          <w:numId w:val="2"/>
        </w:numPr>
        <w:bidi/>
        <w:rPr>
          <w:rtl/>
        </w:rPr>
      </w:pPr>
      <w:r>
        <w:rPr>
          <w:b/>
          <w:bCs/>
          <w:rtl/>
        </w:rPr>
        <w:t>وكيل طب الأورام السريري المتكامل (</w:t>
      </w:r>
      <w:proofErr w:type="spellStart"/>
      <w:r>
        <w:rPr>
          <w:b/>
          <w:bCs/>
        </w:rPr>
        <w:t>ClinicalOncologyAgent</w:t>
      </w:r>
      <w:proofErr w:type="spellEnd"/>
      <w:r>
        <w:rPr>
          <w:b/>
          <w:bCs/>
          <w:rtl/>
        </w:rPr>
        <w:t>):</w:t>
      </w:r>
      <w:r>
        <w:rPr>
          <w:rtl/>
        </w:rPr>
        <w:t xml:space="preserve"> يدمج علم الأورام، العلاج الكيماوي، الإشعاعي، المناعي، والرعاية التلطيفية. </w:t>
      </w:r>
      <w:r>
        <w:rPr>
          <w:rStyle w:val="citation-77"/>
          <w:rtl/>
        </w:rPr>
        <w:t xml:space="preserve">وظيفته تحليل البروتوكولات العلاجية والاستجابة السريرية </w:t>
      </w:r>
      <w:r>
        <w:rPr>
          <w:rtl/>
        </w:rPr>
        <w:t>.</w:t>
      </w:r>
    </w:p>
    <w:p w14:paraId="3475EC90" w14:textId="77777777" w:rsidR="00F616C8" w:rsidRDefault="00F616C8">
      <w:pPr>
        <w:pStyle w:val="NormalWeb"/>
        <w:numPr>
          <w:ilvl w:val="0"/>
          <w:numId w:val="2"/>
        </w:numPr>
        <w:bidi/>
        <w:rPr>
          <w:rtl/>
        </w:rPr>
      </w:pPr>
      <w:r>
        <w:rPr>
          <w:b/>
          <w:bCs/>
          <w:rtl/>
        </w:rPr>
        <w:t>وكيل البيولوجيا الجزيئية المتقدمة (</w:t>
      </w:r>
      <w:proofErr w:type="spellStart"/>
      <w:r>
        <w:rPr>
          <w:b/>
          <w:bCs/>
        </w:rPr>
        <w:t>MolecularBiologyAgent</w:t>
      </w:r>
      <w:proofErr w:type="spellEnd"/>
      <w:r>
        <w:rPr>
          <w:b/>
          <w:bCs/>
          <w:rtl/>
        </w:rPr>
        <w:t>):</w:t>
      </w:r>
      <w:r>
        <w:rPr>
          <w:rtl/>
        </w:rPr>
        <w:t xml:space="preserve"> يدمج الجينوميات، البيوكيمياء، البيولوجيا الجزيئية، والفارماكوجينوميك. </w:t>
      </w:r>
      <w:r>
        <w:rPr>
          <w:rStyle w:val="citation-76"/>
          <w:rtl/>
        </w:rPr>
        <w:t xml:space="preserve">يركز على الطفرات (مثل </w:t>
      </w:r>
      <w:r>
        <w:rPr>
          <w:rStyle w:val="citation-76"/>
        </w:rPr>
        <w:t>EGFR</w:t>
      </w:r>
      <w:r>
        <w:rPr>
          <w:rStyle w:val="citation-76"/>
          <w:rtl/>
        </w:rPr>
        <w:t xml:space="preserve">) والمسارات الجزيئية </w:t>
      </w:r>
      <w:r>
        <w:rPr>
          <w:rtl/>
        </w:rPr>
        <w:t>.</w:t>
      </w:r>
    </w:p>
    <w:p w14:paraId="2B011A1E" w14:textId="77777777" w:rsidR="00F616C8" w:rsidRDefault="00F616C8">
      <w:pPr>
        <w:pStyle w:val="NormalWeb"/>
        <w:numPr>
          <w:ilvl w:val="0"/>
          <w:numId w:val="2"/>
        </w:numPr>
        <w:bidi/>
        <w:rPr>
          <w:rtl/>
        </w:rPr>
      </w:pPr>
      <w:r>
        <w:rPr>
          <w:rStyle w:val="citation-75"/>
          <w:b/>
          <w:bCs/>
          <w:rtl/>
        </w:rPr>
        <w:t>وكيل علم الأمراض والأنسجة (</w:t>
      </w:r>
      <w:proofErr w:type="spellStart"/>
      <w:r>
        <w:rPr>
          <w:rStyle w:val="citation-75"/>
          <w:b/>
          <w:bCs/>
        </w:rPr>
        <w:t>PathologyAgent</w:t>
      </w:r>
      <w:proofErr w:type="spellEnd"/>
      <w:r>
        <w:rPr>
          <w:rStyle w:val="citation-75"/>
          <w:b/>
          <w:bCs/>
          <w:rtl/>
        </w:rPr>
        <w:t>):</w:t>
      </w:r>
      <w:r>
        <w:rPr>
          <w:rStyle w:val="citation-75"/>
          <w:rtl/>
        </w:rPr>
        <w:t xml:space="preserve"> يدمج علم الأنسجة وعلم الأمراض لتشخيص الخزعات وتحديد درجات الورم </w:t>
      </w:r>
      <w:r>
        <w:rPr>
          <w:rtl/>
        </w:rPr>
        <w:t>.</w:t>
      </w:r>
    </w:p>
    <w:p w14:paraId="6453C783" w14:textId="77777777" w:rsidR="00F616C8" w:rsidRDefault="00F616C8">
      <w:pPr>
        <w:pStyle w:val="NormalWeb"/>
        <w:numPr>
          <w:ilvl w:val="0"/>
          <w:numId w:val="2"/>
        </w:numPr>
        <w:bidi/>
        <w:rPr>
          <w:rtl/>
        </w:rPr>
      </w:pPr>
      <w:r>
        <w:rPr>
          <w:rStyle w:val="citation-74"/>
          <w:b/>
          <w:bCs/>
          <w:rtl/>
        </w:rPr>
        <w:t>وكيل التصوير الطبي التشخيصي (</w:t>
      </w:r>
      <w:proofErr w:type="spellStart"/>
      <w:r>
        <w:rPr>
          <w:rStyle w:val="citation-74"/>
          <w:b/>
          <w:bCs/>
        </w:rPr>
        <w:t>ImagingAgent</w:t>
      </w:r>
      <w:proofErr w:type="spellEnd"/>
      <w:r>
        <w:rPr>
          <w:rStyle w:val="citation-74"/>
          <w:b/>
          <w:bCs/>
          <w:rtl/>
        </w:rPr>
        <w:t>):</w:t>
      </w:r>
      <w:r>
        <w:rPr>
          <w:rStyle w:val="citation-74"/>
          <w:rtl/>
        </w:rPr>
        <w:t xml:space="preserve"> متخصص في تحليل كافة وسائط التصوير (</w:t>
      </w:r>
      <w:r>
        <w:rPr>
          <w:rStyle w:val="citation-74"/>
        </w:rPr>
        <w:t>MRI, CT, PET</w:t>
      </w:r>
      <w:r>
        <w:rPr>
          <w:rStyle w:val="citation-74"/>
          <w:rtl/>
        </w:rPr>
        <w:t xml:space="preserve">) وتقارير الأشعة </w:t>
      </w:r>
      <w:r>
        <w:rPr>
          <w:rtl/>
        </w:rPr>
        <w:t>.</w:t>
      </w:r>
    </w:p>
    <w:p w14:paraId="7D19EBE4" w14:textId="77777777" w:rsidR="00F616C8" w:rsidRDefault="00F616C8">
      <w:pPr>
        <w:pStyle w:val="NormalWeb"/>
        <w:numPr>
          <w:ilvl w:val="0"/>
          <w:numId w:val="2"/>
        </w:numPr>
        <w:bidi/>
        <w:rPr>
          <w:rtl/>
        </w:rPr>
      </w:pPr>
      <w:r>
        <w:rPr>
          <w:rStyle w:val="citation-73"/>
          <w:b/>
          <w:bCs/>
          <w:rtl/>
        </w:rPr>
        <w:t>وكيل الغدد الصماء والميكروبيوم (</w:t>
      </w:r>
      <w:proofErr w:type="spellStart"/>
      <w:r>
        <w:rPr>
          <w:rStyle w:val="citation-73"/>
          <w:b/>
          <w:bCs/>
        </w:rPr>
        <w:t>EndocrinologyMicrobiomeAgent</w:t>
      </w:r>
      <w:proofErr w:type="spellEnd"/>
      <w:r>
        <w:rPr>
          <w:rStyle w:val="citation-73"/>
          <w:b/>
          <w:bCs/>
          <w:rtl/>
        </w:rPr>
        <w:t>):</w:t>
      </w:r>
      <w:r>
        <w:rPr>
          <w:rStyle w:val="citation-73"/>
          <w:rtl/>
        </w:rPr>
        <w:t xml:space="preserve"> يربط بين التحاليل الهرمونية وبيانات الميكروبيوم لفهم التأثيرات الأيضية والمناعية </w:t>
      </w:r>
      <w:r>
        <w:rPr>
          <w:rtl/>
        </w:rPr>
        <w:t>.</w:t>
      </w:r>
    </w:p>
    <w:p w14:paraId="667B7AF8" w14:textId="77777777" w:rsidR="00F616C8" w:rsidRDefault="00F616C8">
      <w:pPr>
        <w:pStyle w:val="NormalWeb"/>
        <w:numPr>
          <w:ilvl w:val="0"/>
          <w:numId w:val="2"/>
        </w:numPr>
        <w:bidi/>
        <w:rPr>
          <w:rtl/>
        </w:rPr>
      </w:pPr>
      <w:r>
        <w:rPr>
          <w:rStyle w:val="citation-72"/>
          <w:b/>
          <w:bCs/>
          <w:rtl/>
        </w:rPr>
        <w:t>وكيل الوقاية والأوبئة (</w:t>
      </w:r>
      <w:proofErr w:type="spellStart"/>
      <w:r>
        <w:rPr>
          <w:rStyle w:val="citation-72"/>
          <w:b/>
          <w:bCs/>
        </w:rPr>
        <w:t>EpidemiologyPreventionAgent</w:t>
      </w:r>
      <w:proofErr w:type="spellEnd"/>
      <w:r>
        <w:rPr>
          <w:rStyle w:val="citation-72"/>
          <w:b/>
          <w:bCs/>
          <w:rtl/>
        </w:rPr>
        <w:t>):</w:t>
      </w:r>
      <w:r>
        <w:rPr>
          <w:rStyle w:val="citation-72"/>
          <w:rtl/>
        </w:rPr>
        <w:t xml:space="preserve"> يركز على عوامل الخطورة، التاريخ العائلي، واستراتيجيات الكشف المبكر </w:t>
      </w:r>
      <w:r>
        <w:rPr>
          <w:rtl/>
        </w:rPr>
        <w:t>.</w:t>
      </w:r>
    </w:p>
    <w:p w14:paraId="2A296093" w14:textId="77777777" w:rsidR="00F616C8" w:rsidRDefault="00F616C8">
      <w:pPr>
        <w:pStyle w:val="Titre4"/>
        <w:bidi/>
        <w:rPr>
          <w:rFonts w:eastAsia="Times New Roman"/>
          <w:rtl/>
        </w:rPr>
      </w:pPr>
      <w:r>
        <w:rPr>
          <w:rFonts w:eastAsia="Times New Roman"/>
          <w:rtl/>
        </w:rPr>
        <w:t>4.2 آلية عمل النواة</w:t>
      </w:r>
    </w:p>
    <w:p w14:paraId="106AB123" w14:textId="77777777" w:rsidR="00F616C8" w:rsidRDefault="00F616C8">
      <w:pPr>
        <w:pStyle w:val="NormalWeb"/>
        <w:bidi/>
        <w:rPr>
          <w:rtl/>
        </w:rPr>
      </w:pPr>
      <w:r>
        <w:rPr>
          <w:rStyle w:val="citation-71"/>
          <w:rtl/>
        </w:rPr>
        <w:t xml:space="preserve">تستخدم النواة </w:t>
      </w:r>
      <w:r>
        <w:rPr>
          <w:rStyle w:val="citation-71"/>
          <w:b/>
          <w:bCs/>
          <w:rtl/>
        </w:rPr>
        <w:t>مصنف بيانات متكامل</w:t>
      </w:r>
      <w:r>
        <w:rPr>
          <w:rStyle w:val="citation-71"/>
          <w:rtl/>
        </w:rPr>
        <w:t xml:space="preserve"> لتوجيه البيانات للوكيل المناسب، ثم تستخدم </w:t>
      </w:r>
      <w:r>
        <w:rPr>
          <w:rStyle w:val="citation-71"/>
          <w:b/>
          <w:bCs/>
          <w:rtl/>
        </w:rPr>
        <w:t>محرك إجماع (</w:t>
      </w:r>
      <w:r>
        <w:rPr>
          <w:rStyle w:val="citation-71"/>
          <w:b/>
          <w:bCs/>
        </w:rPr>
        <w:t>Consensus Engine</w:t>
      </w:r>
      <w:r>
        <w:rPr>
          <w:rStyle w:val="citation-71"/>
          <w:b/>
          <w:bCs/>
          <w:rtl/>
        </w:rPr>
        <w:t>)</w:t>
      </w:r>
      <w:r>
        <w:rPr>
          <w:rStyle w:val="citation-71"/>
          <w:rtl/>
        </w:rPr>
        <w:t xml:space="preserve"> لتوحيد النتائج في حال وجود تضارب بين الوكلاء، مما يضمن دقة عالية في الوسم (</w:t>
      </w:r>
      <w:proofErr w:type="spellStart"/>
      <w:r>
        <w:rPr>
          <w:rStyle w:val="citation-71"/>
        </w:rPr>
        <w:t>Labeling</w:t>
      </w:r>
      <w:proofErr w:type="spellEnd"/>
      <w:r>
        <w:rPr>
          <w:rStyle w:val="citation-71"/>
          <w:rtl/>
        </w:rPr>
        <w:t>)</w:t>
      </w:r>
      <w:r>
        <w:rPr>
          <w:rtl/>
        </w:rPr>
        <w:t>.</w:t>
      </w:r>
    </w:p>
    <w:p w14:paraId="681A3500" w14:textId="77777777" w:rsidR="00F616C8" w:rsidRDefault="00F616C8">
      <w:pPr>
        <w:bidi/>
        <w:rPr>
          <w:rFonts w:eastAsia="Times New Roman"/>
          <w:rtl/>
        </w:rPr>
      </w:pPr>
      <w:r>
        <w:rPr>
          <w:rFonts w:eastAsia="Times New Roman"/>
          <w:noProof/>
        </w:rPr>
        <mc:AlternateContent>
          <mc:Choice Requires="wps">
            <w:drawing>
              <wp:inline distT="0" distB="0" distL="0" distR="0" wp14:anchorId="77DD2ECB" wp14:editId="7B5913C9">
                <wp:extent cx="5760720" cy="1270"/>
                <wp:effectExtent l="0" t="31750" r="0" b="36830"/>
                <wp:docPr id="19789540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EF9EBF" id="Rectangle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50701E0F" w14:textId="77777777" w:rsidR="00F616C8" w:rsidRDefault="00F616C8">
      <w:pPr>
        <w:pStyle w:val="Titre3"/>
        <w:bidi/>
        <w:rPr>
          <w:rFonts w:eastAsia="Times New Roman"/>
          <w:rtl/>
        </w:rPr>
      </w:pPr>
      <w:r>
        <w:rPr>
          <w:rFonts w:eastAsia="Times New Roman"/>
          <w:rtl/>
        </w:rPr>
        <w:lastRenderedPageBreak/>
        <w:t>الفصل الخامس: نواة الاستكمال التام (</w:t>
      </w:r>
      <w:proofErr w:type="spellStart"/>
      <w:r>
        <w:rPr>
          <w:rFonts w:eastAsia="Times New Roman"/>
        </w:rPr>
        <w:t>Physics-Informed</w:t>
      </w:r>
      <w:proofErr w:type="spellEnd"/>
      <w:r>
        <w:rPr>
          <w:rFonts w:eastAsia="Times New Roman"/>
        </w:rPr>
        <w:t xml:space="preserve"> Imputation</w:t>
      </w:r>
      <w:r>
        <w:rPr>
          <w:rFonts w:eastAsia="Times New Roman"/>
          <w:rtl/>
        </w:rPr>
        <w:t>)</w:t>
      </w:r>
    </w:p>
    <w:p w14:paraId="783E1637" w14:textId="77777777" w:rsidR="00F616C8" w:rsidRDefault="00F616C8">
      <w:pPr>
        <w:pStyle w:val="NormalWeb"/>
        <w:bidi/>
        <w:rPr>
          <w:rtl/>
        </w:rPr>
      </w:pPr>
      <w:r>
        <w:rPr>
          <w:rtl/>
        </w:rPr>
        <w:t xml:space="preserve">بعد فرز البيانات، تظهر مشكلة الفجوات (البيانات المفقودة). لا نلجأ هنا للطرق الإحصائية العمياء، بل نستخدم </w:t>
      </w:r>
      <w:r>
        <w:rPr>
          <w:b/>
          <w:bCs/>
          <w:rtl/>
        </w:rPr>
        <w:t>الاستكمال المستنير بالفيزياء</w:t>
      </w:r>
      <w:r>
        <w:rPr>
          <w:rtl/>
        </w:rPr>
        <w:t xml:space="preserve">. </w:t>
      </w:r>
      <w:r>
        <w:rPr>
          <w:rStyle w:val="citation-70"/>
          <w:rtl/>
        </w:rPr>
        <w:t xml:space="preserve">يعتمد هذا النظام على معادلة </w:t>
      </w:r>
      <w:r>
        <w:rPr>
          <w:rStyle w:val="citation-70"/>
        </w:rPr>
        <w:t>UHCF-OM v2</w:t>
      </w:r>
      <w:r>
        <w:rPr>
          <w:rStyle w:val="citation-70"/>
          <w:rtl/>
        </w:rPr>
        <w:t xml:space="preserve"> لملء الفراغات باستخدام الشبكات العصبية المستنيرة بالفيزياء (</w:t>
      </w:r>
      <w:proofErr w:type="spellStart"/>
      <w:r>
        <w:rPr>
          <w:rStyle w:val="citation-70"/>
        </w:rPr>
        <w:t>PINNs</w:t>
      </w:r>
      <w:proofErr w:type="spellEnd"/>
      <w:r>
        <w:rPr>
          <w:rStyle w:val="citation-70"/>
        </w:rPr>
        <w:t>/PINO</w:t>
      </w:r>
      <w:r>
        <w:rPr>
          <w:rStyle w:val="citation-70"/>
          <w:rtl/>
        </w:rPr>
        <w:t>)</w:t>
      </w:r>
      <w:r>
        <w:rPr>
          <w:rtl/>
        </w:rPr>
        <w:t xml:space="preserve">. </w:t>
      </w:r>
      <w:r>
        <w:rPr>
          <w:rStyle w:val="citation-69"/>
          <w:rtl/>
        </w:rPr>
        <w:t>يتم خلق "توأم رقمي" للمريض، وتشغيل المحاكاة الرياضية لتوليد البيانات الناقصة بناءً على قوانين النمو والانتشار، مما يحول البيانات المتقطعة إلى مسارات زمنية متصلة تعكس الواقع البيولوجي بدقة</w:t>
      </w:r>
      <w:r>
        <w:rPr>
          <w:rtl/>
        </w:rPr>
        <w:t>.</w:t>
      </w:r>
    </w:p>
    <w:p w14:paraId="00E723FC" w14:textId="77777777" w:rsidR="00F616C8" w:rsidRDefault="00F616C8">
      <w:pPr>
        <w:bidi/>
        <w:rPr>
          <w:rFonts w:eastAsia="Times New Roman"/>
          <w:rtl/>
        </w:rPr>
      </w:pPr>
      <w:r>
        <w:rPr>
          <w:rFonts w:eastAsia="Times New Roman"/>
          <w:noProof/>
        </w:rPr>
        <mc:AlternateContent>
          <mc:Choice Requires="wps">
            <w:drawing>
              <wp:inline distT="0" distB="0" distL="0" distR="0" wp14:anchorId="2358F165" wp14:editId="26316E69">
                <wp:extent cx="5760720" cy="1270"/>
                <wp:effectExtent l="0" t="31750" r="0" b="36830"/>
                <wp:docPr id="177884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7C822D" id="Rectangle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3E5C3285" w14:textId="77777777" w:rsidR="00F616C8" w:rsidRDefault="00F616C8">
      <w:pPr>
        <w:pStyle w:val="Titre3"/>
        <w:bidi/>
        <w:rPr>
          <w:rFonts w:eastAsia="Times New Roman"/>
          <w:rtl/>
        </w:rPr>
      </w:pPr>
      <w:r>
        <w:rPr>
          <w:rFonts w:eastAsia="Times New Roman"/>
          <w:rtl/>
        </w:rPr>
        <w:t>الفصل السادس: شبكة القرار التكيفية (</w:t>
      </w:r>
      <w:r>
        <w:rPr>
          <w:rFonts w:eastAsia="Times New Roman"/>
        </w:rPr>
        <w:t>ACDN</w:t>
      </w:r>
      <w:r>
        <w:rPr>
          <w:rFonts w:eastAsia="Times New Roman"/>
          <w:rtl/>
        </w:rPr>
        <w:t>) والتفسير</w:t>
      </w:r>
    </w:p>
    <w:p w14:paraId="720AE617" w14:textId="77777777" w:rsidR="00F616C8" w:rsidRDefault="00F616C8">
      <w:pPr>
        <w:pStyle w:val="NormalWeb"/>
        <w:bidi/>
        <w:rPr>
          <w:rtl/>
        </w:rPr>
      </w:pPr>
      <w:r>
        <w:rPr>
          <w:rStyle w:val="citation-68"/>
          <w:rtl/>
        </w:rPr>
        <w:t xml:space="preserve">تتوج هذه المنظومة بـ </w:t>
      </w:r>
      <w:r>
        <w:rPr>
          <w:rStyle w:val="citation-68"/>
          <w:b/>
          <w:bCs/>
          <w:rtl/>
        </w:rPr>
        <w:t>شبكة القرار السرطاني التكيفية (</w:t>
      </w:r>
      <w:r>
        <w:rPr>
          <w:rStyle w:val="citation-68"/>
          <w:b/>
          <w:bCs/>
        </w:rPr>
        <w:t>ACDN</w:t>
      </w:r>
      <w:r>
        <w:rPr>
          <w:rStyle w:val="citation-68"/>
          <w:b/>
          <w:bCs/>
          <w:rtl/>
        </w:rPr>
        <w:t>)</w:t>
      </w:r>
      <w:r>
        <w:rPr>
          <w:rStyle w:val="citation-68"/>
          <w:rtl/>
        </w:rPr>
        <w:t>، التي تدمج النمذجة الفيزيائية مع اللدونة العصبية المحوسبة</w:t>
      </w:r>
      <w:r>
        <w:rPr>
          <w:rtl/>
        </w:rPr>
        <w:t>.</w:t>
      </w:r>
    </w:p>
    <w:p w14:paraId="2729FA7E" w14:textId="77777777" w:rsidR="00F616C8" w:rsidRDefault="00F616C8">
      <w:pPr>
        <w:pStyle w:val="Titre4"/>
        <w:bidi/>
        <w:rPr>
          <w:rFonts w:eastAsia="Times New Roman"/>
          <w:rtl/>
        </w:rPr>
      </w:pPr>
      <w:r>
        <w:rPr>
          <w:rFonts w:eastAsia="Times New Roman"/>
          <w:rtl/>
        </w:rPr>
        <w:t>6.1 اتخاذ القرار والتفسير</w:t>
      </w:r>
    </w:p>
    <w:p w14:paraId="107B6A1A" w14:textId="77777777" w:rsidR="00F616C8" w:rsidRDefault="00F616C8">
      <w:pPr>
        <w:pStyle w:val="NormalWeb"/>
        <w:bidi/>
        <w:rPr>
          <w:rtl/>
        </w:rPr>
      </w:pPr>
      <w:r>
        <w:rPr>
          <w:rStyle w:val="citation-67"/>
          <w:rtl/>
        </w:rPr>
        <w:t>تستخدم الشبكة دوال خسارة هرمية متعددة الترتيب لموازنة أهداف العلاج (الفعالية مقابل السمية)</w:t>
      </w:r>
      <w:r>
        <w:rPr>
          <w:rtl/>
        </w:rPr>
        <w:t xml:space="preserve">. </w:t>
      </w:r>
      <w:r>
        <w:rPr>
          <w:rStyle w:val="citation-66"/>
          <w:rtl/>
        </w:rPr>
        <w:t xml:space="preserve">الأهم من ذلك، أنها توفر </w:t>
      </w:r>
      <w:r>
        <w:rPr>
          <w:rStyle w:val="citation-66"/>
          <w:b/>
          <w:bCs/>
          <w:rtl/>
        </w:rPr>
        <w:t>نظام تفسير تكيفي</w:t>
      </w:r>
      <w:r>
        <w:rPr>
          <w:rStyle w:val="citation-66"/>
          <w:rtl/>
        </w:rPr>
        <w:t xml:space="preserve"> يشرح القرار بمستويين: مستوى تقني للمختصين (معادلات واحتمالات)، ومستوى مبسط للمرضى (استعارات بصرية)، مما يحل مشكلة "الصندوق الأسود" في الذكاء الاصطناعي الطبي</w:t>
      </w:r>
      <w:r>
        <w:rPr>
          <w:rtl/>
        </w:rPr>
        <w:t>.</w:t>
      </w:r>
    </w:p>
    <w:p w14:paraId="69A20F01" w14:textId="77777777" w:rsidR="00F616C8" w:rsidRDefault="00F616C8">
      <w:pPr>
        <w:bidi/>
        <w:rPr>
          <w:rFonts w:eastAsia="Times New Roman"/>
          <w:rtl/>
        </w:rPr>
      </w:pPr>
      <w:r>
        <w:rPr>
          <w:rFonts w:eastAsia="Times New Roman"/>
          <w:noProof/>
        </w:rPr>
        <mc:AlternateContent>
          <mc:Choice Requires="wps">
            <w:drawing>
              <wp:inline distT="0" distB="0" distL="0" distR="0" wp14:anchorId="516566E5" wp14:editId="3A29343C">
                <wp:extent cx="5760720" cy="1270"/>
                <wp:effectExtent l="0" t="31750" r="0" b="36830"/>
                <wp:docPr id="187279938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E1D363" id="Rectangle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092695F9" w14:textId="77777777" w:rsidR="00F616C8" w:rsidRDefault="00F616C8">
      <w:pPr>
        <w:pStyle w:val="Titre3"/>
        <w:bidi/>
        <w:rPr>
          <w:rFonts w:eastAsia="Times New Roman"/>
          <w:rtl/>
        </w:rPr>
      </w:pPr>
      <w:r>
        <w:rPr>
          <w:rFonts w:eastAsia="Times New Roman"/>
          <w:rtl/>
        </w:rPr>
        <w:t>الخاتمة: عصر جديد لطب الأورام الدقيق</w:t>
      </w:r>
    </w:p>
    <w:p w14:paraId="2854278F" w14:textId="77777777" w:rsidR="00F616C8" w:rsidRDefault="00F616C8">
      <w:pPr>
        <w:pStyle w:val="NormalWeb"/>
        <w:bidi/>
        <w:rPr>
          <w:rtl/>
        </w:rPr>
      </w:pPr>
      <w:r>
        <w:rPr>
          <w:rtl/>
        </w:rPr>
        <w:t xml:space="preserve">إن القيمة الحقيقية لهذا الإطار البحثي المتكامل لا تكمن في تعقيد معادلاته ولا في ذكاء برمجياته فحسب، بل في قدرته على إعادة تعريف </w:t>
      </w:r>
      <w:r>
        <w:rPr>
          <w:b/>
          <w:bCs/>
          <w:rtl/>
        </w:rPr>
        <w:t>طب الأورام الدقيق (</w:t>
      </w:r>
      <w:proofErr w:type="spellStart"/>
      <w:r>
        <w:rPr>
          <w:b/>
          <w:bCs/>
        </w:rPr>
        <w:t>Precision</w:t>
      </w:r>
      <w:proofErr w:type="spellEnd"/>
      <w:r>
        <w:rPr>
          <w:b/>
          <w:bCs/>
        </w:rPr>
        <w:t xml:space="preserve"> </w:t>
      </w:r>
      <w:proofErr w:type="spellStart"/>
      <w:r>
        <w:rPr>
          <w:b/>
          <w:bCs/>
        </w:rPr>
        <w:t>Oncology</w:t>
      </w:r>
      <w:proofErr w:type="spellEnd"/>
      <w:r>
        <w:rPr>
          <w:b/>
          <w:bCs/>
          <w:rtl/>
        </w:rPr>
        <w:t>)</w:t>
      </w:r>
      <w:r>
        <w:rPr>
          <w:rtl/>
        </w:rPr>
        <w:t>.</w:t>
      </w:r>
    </w:p>
    <w:p w14:paraId="3F7E51F8" w14:textId="77777777" w:rsidR="00F616C8" w:rsidRDefault="00F616C8">
      <w:pPr>
        <w:pStyle w:val="NormalWeb"/>
        <w:bidi/>
        <w:rPr>
          <w:rtl/>
        </w:rPr>
      </w:pPr>
      <w:r>
        <w:rPr>
          <w:rtl/>
        </w:rPr>
        <w:t>من خلال دمج القوانين الكونية التي تحكم الخلية السرطانية مع القدرة الحسابية على التبسيط والمعالجة الذكية للبيانات، نحن ننتقل من مرحلة "الطب القائم على البروتوكولات العامة" إلى مرحلة "الطب القائم على الآليات الفردية". هذا النظام يسمح لنا بمحاكاة مسار المرض لكل مريض على حدة داخل حاسوب، واختبار العلاجات افتراضياً قبل تطبيقها، وفهم "لماذا" يستجيب مريض ويفشل آخر.</w:t>
      </w:r>
    </w:p>
    <w:p w14:paraId="6C1B79B2" w14:textId="77777777" w:rsidR="00F616C8" w:rsidRDefault="00F616C8">
      <w:pPr>
        <w:pStyle w:val="NormalWeb"/>
        <w:bidi/>
        <w:rPr>
          <w:rtl/>
        </w:rPr>
      </w:pPr>
      <w:r>
        <w:rPr>
          <w:rtl/>
        </w:rPr>
        <w:t>إننا نؤسس لمنهجية حيث لا يكون العلاج مجرد تجربة وخطأ، بل استنتاجاً علمياً دقيقاً مشتقاً من جوهر البيولوجيا الخاصة بالمريض. هذا هو الوعد الحقيقي لطب الأورام الدقيق: أن نعالج المريض، لا المرض، بناءً على فهم كامل، عميق، وقابل للتفسير لبيولوجيته الفريدة.</w:t>
      </w:r>
    </w:p>
    <w:p w14:paraId="7518A35D" w14:textId="77777777" w:rsidR="00F616C8" w:rsidRDefault="00F616C8"/>
    <w:sectPr w:rsidR="00F616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A27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566AE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7523007">
    <w:abstractNumId w:val="0"/>
  </w:num>
  <w:num w:numId="2" w16cid:durableId="184829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6C8"/>
    <w:rsid w:val="00F616C8"/>
    <w:rsid w:val="00FC39B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14281025"/>
  <w15:chartTrackingRefBased/>
  <w15:docId w15:val="{643C77A0-2B60-0E4A-B5F5-2F8093803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61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61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616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616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616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616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16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16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16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16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616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616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616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616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616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16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16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16C8"/>
    <w:rPr>
      <w:rFonts w:eastAsiaTheme="majorEastAsia" w:cstheme="majorBidi"/>
      <w:color w:val="272727" w:themeColor="text1" w:themeTint="D8"/>
    </w:rPr>
  </w:style>
  <w:style w:type="paragraph" w:styleId="Titre">
    <w:name w:val="Title"/>
    <w:basedOn w:val="Normal"/>
    <w:next w:val="Normal"/>
    <w:link w:val="TitreCar"/>
    <w:uiPriority w:val="10"/>
    <w:qFormat/>
    <w:rsid w:val="00F61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16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16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16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16C8"/>
    <w:pPr>
      <w:spacing w:before="160"/>
      <w:jc w:val="center"/>
    </w:pPr>
    <w:rPr>
      <w:i/>
      <w:iCs/>
      <w:color w:val="404040" w:themeColor="text1" w:themeTint="BF"/>
    </w:rPr>
  </w:style>
  <w:style w:type="character" w:customStyle="1" w:styleId="CitationCar">
    <w:name w:val="Citation Car"/>
    <w:basedOn w:val="Policepardfaut"/>
    <w:link w:val="Citation"/>
    <w:uiPriority w:val="29"/>
    <w:rsid w:val="00F616C8"/>
    <w:rPr>
      <w:i/>
      <w:iCs/>
      <w:color w:val="404040" w:themeColor="text1" w:themeTint="BF"/>
    </w:rPr>
  </w:style>
  <w:style w:type="paragraph" w:styleId="Paragraphedeliste">
    <w:name w:val="List Paragraph"/>
    <w:basedOn w:val="Normal"/>
    <w:uiPriority w:val="34"/>
    <w:qFormat/>
    <w:rsid w:val="00F616C8"/>
    <w:pPr>
      <w:ind w:left="720"/>
      <w:contextualSpacing/>
    </w:pPr>
  </w:style>
  <w:style w:type="character" w:styleId="Accentuationintense">
    <w:name w:val="Intense Emphasis"/>
    <w:basedOn w:val="Policepardfaut"/>
    <w:uiPriority w:val="21"/>
    <w:qFormat/>
    <w:rsid w:val="00F616C8"/>
    <w:rPr>
      <w:i/>
      <w:iCs/>
      <w:color w:val="0F4761" w:themeColor="accent1" w:themeShade="BF"/>
    </w:rPr>
  </w:style>
  <w:style w:type="paragraph" w:styleId="Citationintense">
    <w:name w:val="Intense Quote"/>
    <w:basedOn w:val="Normal"/>
    <w:next w:val="Normal"/>
    <w:link w:val="CitationintenseCar"/>
    <w:uiPriority w:val="30"/>
    <w:qFormat/>
    <w:rsid w:val="00F61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616C8"/>
    <w:rPr>
      <w:i/>
      <w:iCs/>
      <w:color w:val="0F4761" w:themeColor="accent1" w:themeShade="BF"/>
    </w:rPr>
  </w:style>
  <w:style w:type="character" w:styleId="Rfrenceintense">
    <w:name w:val="Intense Reference"/>
    <w:basedOn w:val="Policepardfaut"/>
    <w:uiPriority w:val="32"/>
    <w:qFormat/>
    <w:rsid w:val="00F616C8"/>
    <w:rPr>
      <w:b/>
      <w:bCs/>
      <w:smallCaps/>
      <w:color w:val="0F4761" w:themeColor="accent1" w:themeShade="BF"/>
      <w:spacing w:val="5"/>
    </w:rPr>
  </w:style>
  <w:style w:type="paragraph" w:styleId="NormalWeb">
    <w:name w:val="Normal (Web)"/>
    <w:basedOn w:val="Normal"/>
    <w:uiPriority w:val="99"/>
    <w:semiHidden/>
    <w:unhideWhenUsed/>
    <w:rsid w:val="00F616C8"/>
    <w:pPr>
      <w:spacing w:before="100" w:beforeAutospacing="1" w:after="100" w:afterAutospacing="1" w:line="240" w:lineRule="auto"/>
    </w:pPr>
    <w:rPr>
      <w:rFonts w:ascii="Times New Roman" w:hAnsi="Times New Roman" w:cs="Times New Roman"/>
      <w:kern w:val="0"/>
      <w14:ligatures w14:val="none"/>
    </w:rPr>
  </w:style>
  <w:style w:type="character" w:customStyle="1" w:styleId="citation-96">
    <w:name w:val="citation-96"/>
    <w:basedOn w:val="Policepardfaut"/>
    <w:rsid w:val="00F616C8"/>
  </w:style>
  <w:style w:type="character" w:customStyle="1" w:styleId="citation-95">
    <w:name w:val="citation-95"/>
    <w:basedOn w:val="Policepardfaut"/>
    <w:rsid w:val="00F616C8"/>
  </w:style>
  <w:style w:type="character" w:customStyle="1" w:styleId="citation-94">
    <w:name w:val="citation-94"/>
    <w:basedOn w:val="Policepardfaut"/>
    <w:rsid w:val="00F616C8"/>
  </w:style>
  <w:style w:type="character" w:customStyle="1" w:styleId="citation-93">
    <w:name w:val="citation-93"/>
    <w:basedOn w:val="Policepardfaut"/>
    <w:rsid w:val="00F616C8"/>
  </w:style>
  <w:style w:type="character" w:customStyle="1" w:styleId="citation-92">
    <w:name w:val="citation-92"/>
    <w:basedOn w:val="Policepardfaut"/>
    <w:rsid w:val="00F616C8"/>
  </w:style>
  <w:style w:type="character" w:customStyle="1" w:styleId="citation-91">
    <w:name w:val="citation-91"/>
    <w:basedOn w:val="Policepardfaut"/>
    <w:rsid w:val="00F616C8"/>
  </w:style>
  <w:style w:type="character" w:customStyle="1" w:styleId="citation-90">
    <w:name w:val="citation-90"/>
    <w:basedOn w:val="Policepardfaut"/>
    <w:rsid w:val="00F616C8"/>
  </w:style>
  <w:style w:type="character" w:customStyle="1" w:styleId="citation-89">
    <w:name w:val="citation-89"/>
    <w:basedOn w:val="Policepardfaut"/>
    <w:rsid w:val="00F616C8"/>
  </w:style>
  <w:style w:type="character" w:customStyle="1" w:styleId="citation-88">
    <w:name w:val="citation-88"/>
    <w:basedOn w:val="Policepardfaut"/>
    <w:rsid w:val="00F616C8"/>
  </w:style>
  <w:style w:type="character" w:customStyle="1" w:styleId="citation-87">
    <w:name w:val="citation-87"/>
    <w:basedOn w:val="Policepardfaut"/>
    <w:rsid w:val="00F616C8"/>
  </w:style>
  <w:style w:type="character" w:customStyle="1" w:styleId="citation-86">
    <w:name w:val="citation-86"/>
    <w:basedOn w:val="Policepardfaut"/>
    <w:rsid w:val="00F616C8"/>
  </w:style>
  <w:style w:type="character" w:customStyle="1" w:styleId="citation-85">
    <w:name w:val="citation-85"/>
    <w:basedOn w:val="Policepardfaut"/>
    <w:rsid w:val="00F616C8"/>
  </w:style>
  <w:style w:type="character" w:customStyle="1" w:styleId="citation-84">
    <w:name w:val="citation-84"/>
    <w:basedOn w:val="Policepardfaut"/>
    <w:rsid w:val="00F616C8"/>
  </w:style>
  <w:style w:type="character" w:customStyle="1" w:styleId="citation-83">
    <w:name w:val="citation-83"/>
    <w:basedOn w:val="Policepardfaut"/>
    <w:rsid w:val="00F616C8"/>
  </w:style>
  <w:style w:type="character" w:customStyle="1" w:styleId="citation-82">
    <w:name w:val="citation-82"/>
    <w:basedOn w:val="Policepardfaut"/>
    <w:rsid w:val="00F616C8"/>
  </w:style>
  <w:style w:type="character" w:customStyle="1" w:styleId="citation-81">
    <w:name w:val="citation-81"/>
    <w:basedOn w:val="Policepardfaut"/>
    <w:rsid w:val="00F616C8"/>
  </w:style>
  <w:style w:type="character" w:customStyle="1" w:styleId="citation-80">
    <w:name w:val="citation-80"/>
    <w:basedOn w:val="Policepardfaut"/>
    <w:rsid w:val="00F616C8"/>
  </w:style>
  <w:style w:type="character" w:customStyle="1" w:styleId="citation-79">
    <w:name w:val="citation-79"/>
    <w:basedOn w:val="Policepardfaut"/>
    <w:rsid w:val="00F616C8"/>
  </w:style>
  <w:style w:type="character" w:customStyle="1" w:styleId="citation-78">
    <w:name w:val="citation-78"/>
    <w:basedOn w:val="Policepardfaut"/>
    <w:rsid w:val="00F616C8"/>
  </w:style>
  <w:style w:type="character" w:customStyle="1" w:styleId="citation-77">
    <w:name w:val="citation-77"/>
    <w:basedOn w:val="Policepardfaut"/>
    <w:rsid w:val="00F616C8"/>
  </w:style>
  <w:style w:type="character" w:customStyle="1" w:styleId="citation-76">
    <w:name w:val="citation-76"/>
    <w:basedOn w:val="Policepardfaut"/>
    <w:rsid w:val="00F616C8"/>
  </w:style>
  <w:style w:type="character" w:customStyle="1" w:styleId="citation-75">
    <w:name w:val="citation-75"/>
    <w:basedOn w:val="Policepardfaut"/>
    <w:rsid w:val="00F616C8"/>
  </w:style>
  <w:style w:type="character" w:customStyle="1" w:styleId="citation-74">
    <w:name w:val="citation-74"/>
    <w:basedOn w:val="Policepardfaut"/>
    <w:rsid w:val="00F616C8"/>
  </w:style>
  <w:style w:type="character" w:customStyle="1" w:styleId="citation-73">
    <w:name w:val="citation-73"/>
    <w:basedOn w:val="Policepardfaut"/>
    <w:rsid w:val="00F616C8"/>
  </w:style>
  <w:style w:type="character" w:customStyle="1" w:styleId="citation-72">
    <w:name w:val="citation-72"/>
    <w:basedOn w:val="Policepardfaut"/>
    <w:rsid w:val="00F616C8"/>
  </w:style>
  <w:style w:type="character" w:customStyle="1" w:styleId="citation-71">
    <w:name w:val="citation-71"/>
    <w:basedOn w:val="Policepardfaut"/>
    <w:rsid w:val="00F616C8"/>
  </w:style>
  <w:style w:type="character" w:customStyle="1" w:styleId="citation-70">
    <w:name w:val="citation-70"/>
    <w:basedOn w:val="Policepardfaut"/>
    <w:rsid w:val="00F616C8"/>
  </w:style>
  <w:style w:type="character" w:customStyle="1" w:styleId="citation-69">
    <w:name w:val="citation-69"/>
    <w:basedOn w:val="Policepardfaut"/>
    <w:rsid w:val="00F616C8"/>
  </w:style>
  <w:style w:type="character" w:customStyle="1" w:styleId="citation-68">
    <w:name w:val="citation-68"/>
    <w:basedOn w:val="Policepardfaut"/>
    <w:rsid w:val="00F616C8"/>
  </w:style>
  <w:style w:type="character" w:customStyle="1" w:styleId="citation-67">
    <w:name w:val="citation-67"/>
    <w:basedOn w:val="Policepardfaut"/>
    <w:rsid w:val="00F616C8"/>
  </w:style>
  <w:style w:type="character" w:customStyle="1" w:styleId="citation-66">
    <w:name w:val="citation-66"/>
    <w:basedOn w:val="Policepardfaut"/>
    <w:rsid w:val="00F61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962</Words>
  <Characters>5294</Characters>
  <Application>Microsoft Office Word</Application>
  <DocSecurity>0</DocSecurity>
  <Lines>44</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Sofiane Bensebane</dc:creator>
  <cp:keywords/>
  <dc:description/>
  <cp:lastModifiedBy>Sofiane Bensebane</cp:lastModifiedBy>
  <cp:revision>2</cp:revision>
  <dcterms:created xsi:type="dcterms:W3CDTF">2025-12-05T01:42:00Z</dcterms:created>
  <dcterms:modified xsi:type="dcterms:W3CDTF">2025-12-05T01:42:00Z</dcterms:modified>
</cp:coreProperties>
</file>