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2"/>
          <w:szCs w:val="32"/>
        </w:rPr>
        <w:t xml:space="preserve">ABD Borsasi Sirketleri icin Bir Sonraki Yil Gelirinin Regresyon Yontemleriyle Tahmini</w:t>
      </w:r>
    </w:p>
    <w:p>
      <w:pPr>
        <w:spacing w:after="60" w:before="60"/>
        <w:jc w:val="center"/>
      </w:pPr>
      <w:r>
        <w:rPr>
          <w:rFonts w:ascii="Times New Roman" w:cs="Times New Roman" w:eastAsia="Times New Roman" w:hAnsi="Times New Roman"/>
          <w:i/>
          <w:iCs/>
          <w:sz w:val="22"/>
          <w:szCs w:val="22"/>
        </w:rPr>
        <w:t xml:space="preserve">A Regression-Based Approach to Forecasting Next-Year Revenue of U.S. Stock Market Companies</w:t>
      </w:r>
    </w:p>
    <w:p>
      <w:pPr>
        <w:spacing w:after="0" w:before="180"/>
        <w:jc w:val="center"/>
      </w:pPr>
      <w:r>
        <w:rPr>
          <w:rFonts w:ascii="Times New Roman" w:cs="Times New Roman" w:eastAsia="Times New Roman" w:hAnsi="Times New Roman"/>
          <w:sz w:val="22"/>
          <w:szCs w:val="22"/>
        </w:rPr>
        <w:t xml:space="preserve">[Ogrenci Adi Soyadi]</w:t>
      </w:r>
    </w:p>
    <w:p>
      <w:pPr>
        <w:spacing w:after="0" w:before="0"/>
        <w:jc w:val="center"/>
      </w:pPr>
      <w:r>
        <w:rPr>
          <w:rFonts w:ascii="Times New Roman" w:cs="Times New Roman" w:eastAsia="Times New Roman" w:hAnsi="Times New Roman"/>
          <w:i/>
          <w:iCs/>
          <w:sz w:val="20"/>
          <w:szCs w:val="20"/>
        </w:rPr>
        <w:t xml:space="preserve">[Bolum]</w:t>
      </w:r>
    </w:p>
    <w:p>
      <w:pPr>
        <w:spacing w:after="0" w:before="0"/>
        <w:jc w:val="center"/>
      </w:pPr>
      <w:r>
        <w:rPr>
          <w:rFonts w:ascii="Times New Roman" w:cs="Times New Roman" w:eastAsia="Times New Roman" w:hAnsi="Times New Roman"/>
          <w:i/>
          <w:iCs/>
          <w:sz w:val="20"/>
          <w:szCs w:val="20"/>
        </w:rPr>
        <w:t xml:space="preserve">[Universite]</w:t>
      </w:r>
    </w:p>
    <w:p>
      <w:pPr>
        <w:spacing w:after="240" w:before="0"/>
        <w:jc w:val="center"/>
      </w:pPr>
      <w:r>
        <w:rPr>
          <w:rFonts w:ascii="Times New Roman" w:cs="Times New Roman" w:eastAsia="Times New Roman" w:hAnsi="Times New Roman"/>
          <w:i/>
          <w:iCs/>
          <w:sz w:val="20"/>
          <w:szCs w:val="20"/>
        </w:rPr>
        <w:t xml:space="preserve">Veri Madenciligi Vize Projesi</w:t>
      </w:r>
    </w:p>
    <w:p>
      <w:pPr>
        <w:spacing w:after="120" w:before="0" w:line="260"/>
        <w:jc w:val="both"/>
      </w:pPr>
      <w:r>
        <w:rPr>
          <w:b/>
          <w:bCs/>
          <w:i/>
          <w:iCs/>
          <w:sz w:val="20"/>
          <w:szCs w:val="20"/>
        </w:rPr>
        <w:t xml:space="preserve">Ozet</w:t>
      </w:r>
      <w:r>
        <w:rPr>
          <w:sz w:val="20"/>
          <w:szCs w:val="20"/>
        </w:rPr>
        <w:t xml:space="preserve"> - Bu calismada, 2014 - 2018 yillarini kapsayan 225 sutunlu ABD borsasi finansal veri seti kullanilarak bir sirketin **bir sonraki yilki yillik gelirinin** (Revenue) regresyon yontemleriyle tahmin edilmesi amaclanmistir. Ayni sirketin ardisik iki yilindaki gozlemleri Ticker anahtariyla birlestirilerek 15.497 gozlemlik bir ogrenme kumesi olusturulmustur. Eksik veriler medyan atamasi, yuksek eksiklik oranina (%40 ustu) sahip sutunlar kaldirilma ile islenmis; sayisal ozellikler standartlastirilmis, sektor degiskeni One-Hot Encoding ile sayisallastirilmis ve SelectKBest (f_regression) ile en onemli 50 ozellik secilmistir. Ek olarak Temel Bilesen Analizi (PCA) varyans yapisinin anlasilmasi icin uygulanmistir. Sekiz farkli regresyon modeli (Dogrusal, Ridge, Lasso, Polinomial+Ridge, Karar Agaci, Rastgele Orman, Gradient Boosting, KNN) 5-katli capraz dogrulama ile karsilastirilmistir. En iyi performansi **Gradient Boosting** modeli log olceginde Test R2 = 0.966 ve gercek olcekte R2 = 0.970 degeri ile sergilemistir. Bulgular, topluluk temelli agac modellerinin coklu dogrusalliga ve uc degerlere ragmen finansal zaman serilerinde yuksek tahmin gucu saglayabildigini ortaya koymaktadir.</w:t>
      </w:r>
    </w:p>
    <w:p>
      <w:pPr>
        <w:spacing w:after="180" w:before="0" w:line="260"/>
        <w:jc w:val="both"/>
      </w:pPr>
      <w:r>
        <w:rPr>
          <w:b/>
          <w:bCs/>
          <w:i/>
          <w:iCs/>
          <w:sz w:val="20"/>
          <w:szCs w:val="20"/>
        </w:rPr>
        <w:t xml:space="preserve">Anahtar Kelimeler</w:t>
      </w:r>
      <w:r>
        <w:rPr>
          <w:sz w:val="20"/>
          <w:szCs w:val="20"/>
        </w:rPr>
        <w:t xml:space="preserve"> - regresyon, finansal tahmin, gelir tahmini, Gradient Boosting, Rastgele Orman, PCA, ozellik secimi, capraz dogrulama.</w:t>
      </w:r>
    </w:p>
    <w:p>
      <w:pPr>
        <w:sectPr>
          <w:footerReference w:type="default" r:id="rId7"/>
          <w:pgSz w:w="12240" w:h="15840" w:orient="portrait"/>
          <w:pgMar w:top="1080" w:right="1080" w:bottom="1080" w:left="1080" w:header="708" w:footer="708" w:gutter="0"/>
          <w:pgNumType/>
          <w:docGrid w:linePitch="360"/>
        </w:sectPr>
      </w:pPr>
    </w:p>
    <w:p>
      <w:pPr>
        <w:pStyle w:val="Heading1"/>
        <w:spacing w:after="120" w:before="240"/>
        <w:jc w:val="left"/>
      </w:pPr>
      <w:r>
        <w:rPr>
          <w:rFonts w:ascii="Times New Roman" w:cs="Times New Roman" w:eastAsia="Times New Roman" w:hAnsi="Times New Roman"/>
          <w:b/>
          <w:bCs/>
          <w:sz w:val="22"/>
          <w:szCs w:val="22"/>
        </w:rPr>
        <w:t xml:space="preserve">I. GIRIS</w:t>
      </w:r>
    </w:p>
    <w:p>
      <w:pPr>
        <w:spacing w:after="120" w:before="0" w:line="260"/>
        <w:ind w:firstLine="360"/>
        <w:jc w:val="both"/>
      </w:pPr>
      <w:r>
        <w:rPr>
          <w:smallCaps/>
          <w:sz w:val="20"/>
          <w:szCs w:val="20"/>
        </w:rPr>
        <w:t xml:space="preserve">F</w:t>
      </w:r>
      <w:r>
        <w:rPr>
          <w:sz w:val="20"/>
          <w:szCs w:val="20"/>
        </w:rPr>
        <w:t xml:space="preserve">INANSAL performans tahmini, yatirimcilar, sirket yoneticileri ve piyasa analistleri icin kritik oneme sahiptir. Ozellikle bir sirketin gelecek donem gelirinin tahmini; stratejik planlama, butce hazirlama ve degerleme modelleri icin temel girdi olusturmaktadir. Geleneksel finansal analiz yontemleri genellikle olceklenemez, oznel ve sinirli sayida gosterge kullanir. Buna karsin makine ogrenmesi tabanli yaklasimlar, yuzlerce finansal gostergeyi ayni anda degerlendirerek dogrusal olmayan iliskileri yakalayabilir.</w:t>
      </w:r>
    </w:p>
    <w:p>
      <w:pPr>
        <w:spacing w:after="120" w:before="0" w:line="260"/>
        <w:ind w:firstLine="360"/>
        <w:jc w:val="both"/>
      </w:pPr>
      <w:r>
        <w:rPr>
          <w:sz w:val="20"/>
          <w:szCs w:val="20"/>
        </w:rPr>
        <w:t xml:space="preserve">Bu calismanin amaci, ABD borsasinda islem goren sirketlerin cok boyutlu finansal verilerini kullanarak bir sonraki yilin gelirini tahmin eden bir regresyon modeli gelistirmek ve farkli algoritmalarin performanslarini karsilastirmaktir. Problem denetimli ogrenmenin regresyon alt dalina aittir: hedef degisken (Revenue_next) sureklidir ve birkac bin dolardan birkac yuz milyar dolara kadar genis bir dinamik arakta degisir.</w:t>
      </w:r>
    </w:p>
    <w:p>
      <w:pPr>
        <w:spacing w:after="120" w:before="0" w:line="260"/>
        <w:ind w:firstLine="360"/>
        <w:jc w:val="both"/>
      </w:pPr>
      <w:r>
        <w:rPr>
          <w:sz w:val="20"/>
          <w:szCs w:val="20"/>
        </w:rPr>
        <w:t xml:space="preserve">Calismanin katkilari soyle ozetlenebilir: (i) 2014-2018 donemindeki bes yil ardisik olarak eslestirilerek her sirket icin bir yil sonrasinin geliri hedef olarak uretilmis; (ii) hedef degiskenin genis dinamik araligi icin log1p donusumu uygulanarak metriklerin dengelenmesi saglanmis; (iii) sekiz farkli regresyon modeli ayni on isleme hatti uzerinden egitilmis ve 5-katli capraz dogrulama ile karsilastirilmistir; (iv) temel bilesen analizi ile veri setinin dogasal boyutu incelenmistir.</w:t>
      </w:r>
    </w:p>
    <w:p>
      <w:pPr>
        <w:pStyle w:val="Heading1"/>
        <w:spacing w:after="120" w:before="240"/>
        <w:jc w:val="left"/>
      </w:pPr>
      <w:r>
        <w:rPr>
          <w:rFonts w:ascii="Times New Roman" w:cs="Times New Roman" w:eastAsia="Times New Roman" w:hAnsi="Times New Roman"/>
          <w:b/>
          <w:bCs/>
          <w:sz w:val="22"/>
          <w:szCs w:val="22"/>
        </w:rPr>
        <w:t xml:space="preserve">II. YONTEM</w:t>
      </w:r>
    </w:p>
    <w:p>
      <w:pPr>
        <w:pStyle w:val="Heading2"/>
        <w:spacing w:after="80" w:before="180"/>
      </w:pPr>
      <w:r>
        <w:rPr>
          <w:rFonts w:ascii="Times New Roman" w:cs="Times New Roman" w:eastAsia="Times New Roman" w:hAnsi="Times New Roman"/>
          <w:i/>
          <w:iCs/>
          <w:sz w:val="20"/>
          <w:szCs w:val="20"/>
        </w:rPr>
        <w:t xml:space="preserve">A. Veri Seti ve On Hazirlik</w:t>
      </w:r>
    </w:p>
    <w:p>
      <w:pPr>
        <w:spacing w:after="120" w:before="0" w:line="260"/>
        <w:ind w:firstLine="360"/>
        <w:jc w:val="both"/>
      </w:pPr>
      <w:r>
        <w:rPr>
          <w:sz w:val="20"/>
          <w:szCs w:val="20"/>
        </w:rPr>
        <w:t xml:space="preserve">Calismada kullanilan veri seti, 2014-2018 yillari arasinda ABD borsasinda islem goren sirketlere ait yillik finansal gostergeleri (gelir, maliyet, nakit akisi, oranlar vb.) 225 sutun altinda tutmaktadir. Ayrica her yil icin Sector kategorik degiskeni ve gozlem yilini izleyen yilin fiyat degisimi (PRICE VAR [%]) gibi yila ozgu alanlar mevcuttur.</w:t>
      </w:r>
    </w:p>
    <w:p>
      <w:pPr>
        <w:spacing w:after="120" w:before="0" w:line="260"/>
        <w:ind w:firstLine="360"/>
        <w:jc w:val="both"/>
      </w:pPr>
      <w:r>
        <w:rPr>
          <w:sz w:val="20"/>
          <w:szCs w:val="20"/>
        </w:rPr>
        <w:t xml:space="preserve">Regresyon problemi, her ornek icin "yil N gostergeleri -&gt; yil N+1 geliri" sekilde tanimlanmistir. Bu amacla ardisik dort yil cifti (2014-&gt;2015, 2015-&gt;2016, 2016-&gt;2017, 2017-&gt;2018) ayni Ticker uzerinden ic birlesim (inner join) yapilarak toplam 17.063 eslenmis gozlem elde edilmistir. Negatif veya sifir gelir degerleri log donusumu ile uyumsuz oldugundan filtrelenmis ve nihai veri seti 15.497 gozleme indirilmistir (Tablo I).</w:t>
      </w:r>
    </w:p>
    <w:p>
      <w:pPr>
        <w:pStyle w:val="Heading2"/>
        <w:spacing w:after="80" w:before="180"/>
      </w:pPr>
      <w:r>
        <w:rPr>
          <w:rFonts w:ascii="Times New Roman" w:cs="Times New Roman" w:eastAsia="Times New Roman" w:hAnsi="Times New Roman"/>
          <w:i/>
          <w:iCs/>
          <w:sz w:val="20"/>
          <w:szCs w:val="20"/>
        </w:rPr>
        <w:t xml:space="preserve">B. Veri Temizleme</w:t>
      </w:r>
    </w:p>
    <w:p>
      <w:pPr>
        <w:spacing w:after="120" w:before="0" w:line="260"/>
        <w:ind w:firstLine="360"/>
        <w:jc w:val="both"/>
      </w:pPr>
      <w:r>
        <w:rPr>
          <w:sz w:val="20"/>
          <w:szCs w:val="20"/>
        </w:rPr>
        <w:t xml:space="preserve">Sutun bazinda eksik veri orani analiz edilmis (Sekil 1), %40 esigini asan yedi sutun (operatingCycle, cashConversionCycle ve bes yila ozgu PRICE VAR sutunu) veri setinden cikarilmistir. Kalan sayisal sutunlardaki eksik degerler medyan atamasi ile doldurulmus, sonsuz degerler (inf) once NaN'a cevrilip ardindan medyan ile ikame edilmistir. Medyan ortalamaya kiyasla uc degerlere dayanikli oldugundan finansal veriler icin tercih edilmistir. Kategorik Sector degiskenindeki olasi bos degerler mod ile doldurulmus, tekrar eden satirlar kontrol edilmistir.</w:t>
      </w:r>
    </w:p>
    <w:p>
      <w:pPr>
        <w:pStyle w:val="Heading2"/>
        <w:spacing w:after="80" w:before="180"/>
      </w:pPr>
      <w:r>
        <w:rPr>
          <w:rFonts w:ascii="Times New Roman" w:cs="Times New Roman" w:eastAsia="Times New Roman" w:hAnsi="Times New Roman"/>
          <w:i/>
          <w:iCs/>
          <w:sz w:val="20"/>
          <w:szCs w:val="20"/>
        </w:rPr>
        <w:t xml:space="preserve">C. Veri Donusturme ve Ozellik Muhendisligi</w:t>
      </w:r>
    </w:p>
    <w:p>
      <w:pPr>
        <w:spacing w:after="120" w:before="0" w:line="260"/>
        <w:ind w:firstLine="360"/>
        <w:jc w:val="both"/>
      </w:pPr>
      <w:r>
        <w:rPr>
          <w:sz w:val="20"/>
          <w:szCs w:val="20"/>
        </w:rPr>
        <w:t xml:space="preserve">Sizinti riski tasiyan alanlar (Ticker, Class, SourceYear) ozellik matrisinden cikarilmistir. Hedef degisken Revenue_next, log1p donusumu ile logaritmik olcege cevrilmistir; bu donusum genis dinamik araligi daraltarak MSE kayip fonksiyonunu dengeler ve dogrusal modellere tasiyabilecek uc deger etkilerini azaltir. Sayisal ozelliklerin tamamina StandardScaler uygulanmis, kategorik Sector degiskeni One-Hot Encoding ile 11 ikili sutuna cevrilmistir. Sonuc olarak 229 sutunlu bir ozellik matrisi elde edilmistir.</w:t>
      </w:r>
    </w:p>
    <w:p>
      <w:pPr>
        <w:spacing w:after="120" w:before="0" w:line="260"/>
        <w:ind w:firstLine="360"/>
        <w:jc w:val="both"/>
      </w:pPr>
      <w:r>
        <w:rPr>
          <w:sz w:val="20"/>
          <w:szCs w:val="20"/>
        </w:rPr>
        <w:t xml:space="preserve">Boyut lanetini azaltmak icin denetimli bir filtre yontemi olan SelectKBest (f_regression) kullanilarak hedefle en yuksek F-skoruna sahip 50 ozellik secilmistir (Sekil 4). Secilen ozelliklerin basinda Operating Expenses, Gross Profit, SG&amp;A Expense, Dividend payments ve Enterprise Value yer almaktadir; bu goruntu, gelir buyukluklu finansal metriklerin hedefle guclu sekilde iliskili oldugunu dogrular.</w:t>
      </w:r>
    </w:p>
    <w:p>
      <w:pPr>
        <w:spacing w:after="120" w:before="0" w:line="260"/>
        <w:ind w:firstLine="360"/>
        <w:jc w:val="both"/>
      </w:pPr>
      <w:r>
        <w:rPr>
          <w:sz w:val="20"/>
          <w:szCs w:val="20"/>
        </w:rPr>
        <w:t xml:space="preserve">Ek olarak, denetimsiz bir boyut indirgeme yontemi olan Temel Bilesen Analizi (PCA) tum 229 standartlastirilmis ozellige uygulanmistir. PCA, ozellikler arasindaki yuksek coklu dogrusalligi (multicollinearity) cozerek ortogonal bilesenler uretir. Ilk bilesen tek basina varyansin %9.31'ini, ilk bes bilesen %26.58'ini aciklamis; toplam varyansin %90'i icin 94, %95'i icin 112 bilesen gerekmistir (Sekil 5). Bu sonuc, 229 ozgun ozellikte yaklasik 100 bileseni bulunan ortak bir "finansal sinyal" oldugunu gostermektedir. Bununla birlikte yorumlanabilirlik acisindan modelleme asamasinda SelectKBest ile secilen 50 ozgun ozellik tercih edilmistir.</w:t>
      </w:r>
    </w:p>
    <w:p>
      <w:pPr>
        <w:pStyle w:val="Heading2"/>
        <w:spacing w:after="80" w:before="180"/>
      </w:pPr>
      <w:r>
        <w:rPr>
          <w:rFonts w:ascii="Times New Roman" w:cs="Times New Roman" w:eastAsia="Times New Roman" w:hAnsi="Times New Roman"/>
          <w:i/>
          <w:iCs/>
          <w:sz w:val="20"/>
          <w:szCs w:val="20"/>
        </w:rPr>
        <w:t xml:space="preserve">D. Kesifsel Veri Analizi</w:t>
      </w:r>
    </w:p>
    <w:p>
      <w:pPr>
        <w:spacing w:after="120" w:before="0" w:line="260"/>
        <w:ind w:firstLine="360"/>
        <w:jc w:val="both"/>
      </w:pPr>
      <w:r>
        <w:rPr>
          <w:sz w:val="20"/>
          <w:szCs w:val="20"/>
        </w:rPr>
        <w:t xml:space="preserve">Hedef degiskenin ham dagilimi asiri saga carpiktir (maksimum 1.89 trilyon USD, medyan 546 milyon USD); log donusumu sonrasi yaklasik normal bir dagilim elde edilmistir (Sekil 2). Sektor baz indirgendiginde gelir medyanlarinin bes mertebe farklilasabildigi goruntulenmistir (Sekil 3). Ayrica yil N'in Revenue'su ile yil N+1'in Revenue'su arasindaki log-log korelasyonu 0.979 gibi cok yuksek bir deger almistir (Sekil 6); bu, bir sirketin gecmis geliri gelecek gelirinin en guclu oncusudur bulgusunu dogrular. Hedefle en yuksek mutlak korelasyonlu 15 ozellik uzerinden olusturulan isi haritasi (Sekil 7), Operating Expenses, Gross Profit ve EBITDA gibi buyukluk odakli gostergelerin onemini vurgulamaktadir.</w:t>
      </w:r>
    </w:p>
    <w:p>
      <w:pPr>
        <w:pStyle w:val="Heading2"/>
        <w:spacing w:after="80" w:before="180"/>
      </w:pPr>
      <w:r>
        <w:rPr>
          <w:rFonts w:ascii="Times New Roman" w:cs="Times New Roman" w:eastAsia="Times New Roman" w:hAnsi="Times New Roman"/>
          <w:i/>
          <w:iCs/>
          <w:sz w:val="20"/>
          <w:szCs w:val="20"/>
        </w:rPr>
        <w:t xml:space="preserve">E. Model Secimi ve Gerekcelendirme</w:t>
      </w:r>
    </w:p>
    <w:p>
      <w:pPr>
        <w:spacing w:after="120" w:before="0" w:line="260"/>
        <w:ind w:firstLine="360"/>
        <w:jc w:val="both"/>
      </w:pPr>
      <w:r>
        <w:rPr>
          <w:sz w:val="20"/>
          <w:szCs w:val="20"/>
        </w:rPr>
        <w:t xml:space="preserve">Bu calismada dogrusal ve dogrusal olmayan iliskileri birlikte degerlendirmek amaciyla sekiz farkli regresyon algoritmasi karsilastirilmistir: (i) Dogrusal Regresyon (yorumlanabilir taban cizgisi), (ii) Ridge Regresyon (L2 cezasi ile coklu dogrusallik dayanikli), (iii) Lasso Regresyon (L1 cezasi ile seyrek cozum ve otomatik ozellik secimi), (iv) Polinomial Regresyon derece=2 + Ridge (karesel ve ikili etkilesim terimleri ile dogrusal olmayan yapilarin kismi yakalanmasi), (v) Karar Agaci (yorumlanabilir, uc deger dayanikli), (vi) Rastgele Orman (topluluk, asiri uyumu azaltir), (vii) Gradient Boosting (ardisik hata duzeltme ile yuksek dogruluk), (viii) KNN k=7 (parametrik olmayan komsuluk tabanli referans). Bu cesitlilik farkli model ailelerinin gucu ve zayifligini ayni kosullarda gorebilmeyi saglar.</w:t>
      </w:r>
    </w:p>
    <w:p>
      <w:pPr>
        <w:pStyle w:val="Heading2"/>
        <w:spacing w:after="80" w:before="180"/>
      </w:pPr>
      <w:r>
        <w:rPr>
          <w:rFonts w:ascii="Times New Roman" w:cs="Times New Roman" w:eastAsia="Times New Roman" w:hAnsi="Times New Roman"/>
          <w:i/>
          <w:iCs/>
          <w:sz w:val="20"/>
          <w:szCs w:val="20"/>
        </w:rPr>
        <w:t xml:space="preserve">F. Egitim Protokolu ve Degerlendirme Metrikleri</w:t>
      </w:r>
    </w:p>
    <w:p>
      <w:pPr>
        <w:spacing w:after="120" w:before="0" w:line="260"/>
        <w:ind w:firstLine="360"/>
        <w:jc w:val="both"/>
      </w:pPr>
      <w:r>
        <w:rPr>
          <w:sz w:val="20"/>
          <w:szCs w:val="20"/>
        </w:rPr>
        <w:t xml:space="preserve">Veri seti %80 egitim / %20 test orani ile bolunmus (random_state=42), egitim kumesi uzerinde 5-katli KFold capraz dogrulama uygulanarak her model icin R2, MAE ve RMSE metriklerinin ortalama ve standart sapmalari raporlanmistir. Test kumesinde ise metrikler hem log1p olceginde hem de ters donusum sonrasi gercek dolar olceginde hesaplanmistir. MAPE degerleri de raporlanmis; ancak cok kucuk gerceklesen gelirlerde yuzde hatasinin patlayabilmesi nedeniyle log-olcek metriklerine oncelik verilmistir.</w:t>
      </w:r>
    </w:p>
    <w:p>
      <w:pPr>
        <w:spacing w:after="60" w:before="120"/>
        <w:jc w:val="center"/>
      </w:pPr>
      <w:r>
        <w:drawing>
          <wp:inline distT="0" distB="0" distL="0" distR="0">
            <wp:extent cx="2876550" cy="1438275"/>
            <wp:effectExtent t="0" r="0" b="0" l="0"/>
            <wp:docPr id="1" name="01_missing_values.png" descr="En fazla eksik veri iceren 20 sutunun eksiklik oranlari." title="Missing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76550" cy="1438275"/>
                    </a:xfrm>
                    <a:prstGeom prst="rect">
                      <a:avLst/>
                    </a:prstGeom>
                  </pic:spPr>
                </pic:pic>
              </a:graphicData>
            </a:graphic>
          </wp:inline>
        </w:drawing>
      </w:r>
    </w:p>
    <w:p>
      <w:pPr>
        <w:spacing w:after="180" w:before="0"/>
        <w:jc w:val="center"/>
      </w:pPr>
      <w:r>
        <w:rPr>
          <w:b/>
          <w:bCs/>
          <w:sz w:val="18"/>
          <w:szCs w:val="18"/>
        </w:rPr>
        <w:t xml:space="preserve">Sekil 1. </w:t>
      </w:r>
      <w:r>
        <w:rPr>
          <w:sz w:val="18"/>
          <w:szCs w:val="18"/>
        </w:rPr>
        <w:t xml:space="preserve">En fazla eksik veri iceren 20 sutunun eksiklik oranlari.</w:t>
      </w:r>
    </w:p>
    <w:p>
      <w:pPr>
        <w:spacing w:after="60" w:before="120"/>
        <w:jc w:val="center"/>
      </w:pPr>
      <w:r>
        <w:drawing>
          <wp:inline distT="0" distB="0" distL="0" distR="0">
            <wp:extent cx="2876550" cy="962025"/>
            <wp:effectExtent t="0" r="0" b="0" l="0"/>
            <wp:docPr id="1" name="02_target_distribution.png" descr="Hedef degiskenin ham ve log1p donusmus dagilimlari." title="Target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962025"/>
                    </a:xfrm>
                    <a:prstGeom prst="rect">
                      <a:avLst/>
                    </a:prstGeom>
                  </pic:spPr>
                </pic:pic>
              </a:graphicData>
            </a:graphic>
          </wp:inline>
        </w:drawing>
      </w:r>
    </w:p>
    <w:p>
      <w:pPr>
        <w:spacing w:after="180" w:before="0"/>
        <w:jc w:val="center"/>
      </w:pPr>
      <w:r>
        <w:rPr>
          <w:b/>
          <w:bCs/>
          <w:sz w:val="18"/>
          <w:szCs w:val="18"/>
        </w:rPr>
        <w:t xml:space="preserve">Sekil 2. </w:t>
      </w:r>
      <w:r>
        <w:rPr>
          <w:sz w:val="18"/>
          <w:szCs w:val="18"/>
        </w:rPr>
        <w:t xml:space="preserve">Hedef degiskenin ham ve log1p donusmus dagilimlari.</w:t>
      </w:r>
    </w:p>
    <w:p>
      <w:pPr>
        <w:spacing w:after="60" w:before="120"/>
        <w:jc w:val="center"/>
      </w:pPr>
      <w:r>
        <w:drawing>
          <wp:inline distT="0" distB="0" distL="0" distR="0">
            <wp:extent cx="2876550" cy="1304925"/>
            <wp:effectExtent t="0" r="0" b="0" l="0"/>
            <wp:docPr id="1" name="03_sector_boxplot.png" descr="Sektorlere gore bir sonraki yil gelirinin (log olcek) dagilimi." title="Sector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76550" cy="1304925"/>
                    </a:xfrm>
                    <a:prstGeom prst="rect">
                      <a:avLst/>
                    </a:prstGeom>
                  </pic:spPr>
                </pic:pic>
              </a:graphicData>
            </a:graphic>
          </wp:inline>
        </w:drawing>
      </w:r>
    </w:p>
    <w:p>
      <w:pPr>
        <w:spacing w:after="180" w:before="0"/>
        <w:jc w:val="center"/>
      </w:pPr>
      <w:r>
        <w:rPr>
          <w:b/>
          <w:bCs/>
          <w:sz w:val="18"/>
          <w:szCs w:val="18"/>
        </w:rPr>
        <w:t xml:space="preserve">Sekil 3. </w:t>
      </w:r>
      <w:r>
        <w:rPr>
          <w:sz w:val="18"/>
          <w:szCs w:val="18"/>
        </w:rPr>
        <w:t xml:space="preserve">Sektorlere gore bir sonraki yil gelirinin (log olcek) dagilimi.</w:t>
      </w:r>
    </w:p>
    <w:p>
      <w:pPr>
        <w:spacing w:after="60" w:before="120"/>
        <w:jc w:val="center"/>
      </w:pPr>
      <w:r>
        <w:drawing>
          <wp:inline distT="0" distB="0" distL="0" distR="0">
            <wp:extent cx="2876550" cy="1724025"/>
            <wp:effectExtent t="0" r="0" b="0" l="0"/>
            <wp:docPr id="1" name="08_feature_importance.png" descr="SelectKBest tarafindan hesaplanan en yuksek F-skoruna sahip 20 ozellik." title="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1724025"/>
                    </a:xfrm>
                    <a:prstGeom prst="rect">
                      <a:avLst/>
                    </a:prstGeom>
                  </pic:spPr>
                </pic:pic>
              </a:graphicData>
            </a:graphic>
          </wp:inline>
        </w:drawing>
      </w:r>
    </w:p>
    <w:p>
      <w:pPr>
        <w:spacing w:after="180" w:before="0"/>
        <w:jc w:val="center"/>
      </w:pPr>
      <w:r>
        <w:rPr>
          <w:b/>
          <w:bCs/>
          <w:sz w:val="18"/>
          <w:szCs w:val="18"/>
        </w:rPr>
        <w:t xml:space="preserve">Sekil 4. </w:t>
      </w:r>
      <w:r>
        <w:rPr>
          <w:sz w:val="18"/>
          <w:szCs w:val="18"/>
        </w:rPr>
        <w:t xml:space="preserve">SelectKBest tarafindan hesaplanan en yuksek F-skoruna sahip 20 ozellik.</w:t>
      </w:r>
    </w:p>
    <w:p>
      <w:pPr>
        <w:spacing w:after="60" w:before="120"/>
        <w:jc w:val="center"/>
      </w:pPr>
      <w:r>
        <w:drawing>
          <wp:inline distT="0" distB="0" distL="0" distR="0">
            <wp:extent cx="2876550" cy="1000125"/>
            <wp:effectExtent t="0" r="0" b="0" l="0"/>
            <wp:docPr id="1" name="08b_pca_scree.png" descr="PCA scree plot ve kumulatif varyans: %95 icin 112 bilesen gereklidir." title="PCA sc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76550" cy="1000125"/>
                    </a:xfrm>
                    <a:prstGeom prst="rect">
                      <a:avLst/>
                    </a:prstGeom>
                  </pic:spPr>
                </pic:pic>
              </a:graphicData>
            </a:graphic>
          </wp:inline>
        </w:drawing>
      </w:r>
    </w:p>
    <w:p>
      <w:pPr>
        <w:spacing w:after="180" w:before="0"/>
        <w:jc w:val="center"/>
      </w:pPr>
      <w:r>
        <w:rPr>
          <w:b/>
          <w:bCs/>
          <w:sz w:val="18"/>
          <w:szCs w:val="18"/>
        </w:rPr>
        <w:t xml:space="preserve">Sekil 5. </w:t>
      </w:r>
      <w:r>
        <w:rPr>
          <w:sz w:val="18"/>
          <w:szCs w:val="18"/>
        </w:rPr>
        <w:t xml:space="preserve">PCA scree plot ve kumulatif varyans: %95 icin 112 bilesen gereklidir.</w:t>
      </w:r>
    </w:p>
    <w:p>
      <w:pPr>
        <w:spacing w:after="60" w:before="120"/>
        <w:jc w:val="center"/>
      </w:pPr>
      <w:r>
        <w:drawing>
          <wp:inline distT="0" distB="0" distL="0" distR="0">
            <wp:extent cx="2705100" cy="2314575"/>
            <wp:effectExtent t="0" r="0" b="0" l="0"/>
            <wp:docPr id="1" name="06_rev_scatter.png" descr="Yil N Revenue ile yil N+1 Revenue arasindaki log-log iliskisi (korelasyon ≈ 0.979)." title="Revenue 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05100" cy="2314575"/>
                    </a:xfrm>
                    <a:prstGeom prst="rect">
                      <a:avLst/>
                    </a:prstGeom>
                  </pic:spPr>
                </pic:pic>
              </a:graphicData>
            </a:graphic>
          </wp:inline>
        </w:drawing>
      </w:r>
    </w:p>
    <w:p>
      <w:pPr>
        <w:spacing w:after="180" w:before="0"/>
        <w:jc w:val="center"/>
      </w:pPr>
      <w:r>
        <w:rPr>
          <w:b/>
          <w:bCs/>
          <w:sz w:val="18"/>
          <w:szCs w:val="18"/>
        </w:rPr>
        <w:t xml:space="preserve">Sekil 6. </w:t>
      </w:r>
      <w:r>
        <w:rPr>
          <w:sz w:val="18"/>
          <w:szCs w:val="18"/>
        </w:rPr>
        <w:t xml:space="preserve">Yil N Revenue ile yil N+1 Revenue arasindaki log-log iliskisi (korelasyon ≈ 0.979).</w:t>
      </w:r>
    </w:p>
    <w:p>
      <w:pPr>
        <w:spacing w:after="60" w:before="120"/>
        <w:jc w:val="center"/>
      </w:pPr>
      <w:r>
        <w:drawing>
          <wp:inline distT="0" distB="0" distL="0" distR="0">
            <wp:extent cx="2876550" cy="2305050"/>
            <wp:effectExtent t="0" r="0" b="0" l="0"/>
            <wp:docPr id="1" name="07_correlation_heatmap.png" descr="Log-hedef ile en yuksek (mutlak) korelasyona sahip 15 ozellik uzerinden isi haritasi." title="Correlation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76550" cy="2305050"/>
                    </a:xfrm>
                    <a:prstGeom prst="rect">
                      <a:avLst/>
                    </a:prstGeom>
                  </pic:spPr>
                </pic:pic>
              </a:graphicData>
            </a:graphic>
          </wp:inline>
        </w:drawing>
      </w:r>
    </w:p>
    <w:p>
      <w:pPr>
        <w:spacing w:after="180" w:before="0"/>
        <w:jc w:val="center"/>
      </w:pPr>
      <w:r>
        <w:rPr>
          <w:b/>
          <w:bCs/>
          <w:sz w:val="18"/>
          <w:szCs w:val="18"/>
        </w:rPr>
        <w:t xml:space="preserve">Sekil 7. </w:t>
      </w:r>
      <w:r>
        <w:rPr>
          <w:sz w:val="18"/>
          <w:szCs w:val="18"/>
        </w:rPr>
        <w:t xml:space="preserve">Log-hedef ile en yuksek (mutlak) korelasyona sahip 15 ozellik uzerinden isi haritasi.</w:t>
      </w:r>
    </w:p>
    <w:p>
      <w:pPr>
        <w:spacing w:after="60" w:before="120"/>
        <w:jc w:val="center"/>
      </w:pPr>
      <w:r>
        <w:rPr>
          <w:rFonts w:ascii="Times New Roman" w:cs="Times New Roman" w:eastAsia="Times New Roman" w:hAnsi="Times New Roman"/>
          <w:b/>
          <w:bCs/>
          <w:sz w:val="18"/>
          <w:szCs w:val="18"/>
        </w:rPr>
        <w:t xml:space="preserve">TABLO I</w:t>
      </w:r>
    </w:p>
    <w:p>
      <w:pPr>
        <w:spacing w:after="80" w:before="0"/>
        <w:jc w:val="center"/>
      </w:pPr>
      <w:r>
        <w:rPr>
          <w:rFonts w:ascii="Times New Roman" w:cs="Times New Roman" w:eastAsia="Times New Roman" w:hAnsi="Times New Roman"/>
          <w:i/>
          <w:iCs/>
          <w:sz w:val="18"/>
          <w:szCs w:val="18"/>
        </w:rPr>
        <w:t xml:space="preserve">Veri Seti Ozetinde Temel Rakamlar</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tblGrid>
      <w:tr>
        <w:tc>
          <w:tcPr>
            <w:tcW w:type="dxa" w:w="23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Ozellik</w:t>
            </w:r>
          </w:p>
        </w:tc>
        <w:tc>
          <w:tcPr>
            <w:tcW w:type="dxa" w:w="17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Deger</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Kaynak yillar</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2014 - 2018</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Ardisik yil cifti</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4</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Ham gozlem sayisi</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17.063</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Temizlenmis gozlem</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15.497</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Ham sutun sayisi</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225</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Ozellik (one-hot sonra)</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229</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Secilen ozellik (K)</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50</w:t>
            </w:r>
          </w:p>
        </w:tc>
      </w:tr>
      <w:tr>
        <w:tc>
          <w:tcPr>
            <w:tcW w:type="dxa" w:w="23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Egitim / Test orani</w:t>
            </w:r>
          </w:p>
        </w:tc>
        <w:tc>
          <w:tcPr>
            <w:tcW w:type="dxa" w:w="17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%80 / %20</w:t>
            </w:r>
          </w:p>
        </w:tc>
      </w:tr>
    </w:tbl>
    <w:p>
      <w:pPr>
        <w:spacing w:before="120"/>
      </w:pPr>
      <w:r>
        <w:rPr>
          <w:sz w:val="2"/>
          <w:szCs w:val="2"/>
        </w:rPr>
        <w:t xml:space="preserve"/>
      </w:r>
    </w:p>
    <w:p>
      <w:pPr>
        <w:pStyle w:val="Heading1"/>
        <w:spacing w:after="120" w:before="240"/>
        <w:jc w:val="left"/>
      </w:pPr>
      <w:r>
        <w:rPr>
          <w:rFonts w:ascii="Times New Roman" w:cs="Times New Roman" w:eastAsia="Times New Roman" w:hAnsi="Times New Roman"/>
          <w:b/>
          <w:bCs/>
          <w:sz w:val="22"/>
          <w:szCs w:val="22"/>
        </w:rPr>
        <w:t xml:space="preserve">III. SONUCLAR</w:t>
      </w:r>
    </w:p>
    <w:p>
      <w:pPr>
        <w:spacing w:after="120" w:before="0" w:line="260"/>
        <w:ind w:firstLine="360"/>
        <w:jc w:val="both"/>
      </w:pPr>
      <w:r>
        <w:rPr>
          <w:sz w:val="20"/>
          <w:szCs w:val="20"/>
        </w:rPr>
        <w:t xml:space="preserve">Sekiz regresyon modelinin 5-katli capraz dogrulama ve test kumesi metrikleri Tablo II'de ozetlenmis ve Sekil 8'de gorsel olarak karsilastirilmistir. Sonuclar log1p olceginde raporlanmistir; R2 degeri 1'e yakin oldukca model daha basarilidir.</w:t>
      </w:r>
    </w:p>
    <w:p>
      <w:pPr>
        <w:spacing w:after="60" w:before="120"/>
        <w:jc w:val="center"/>
      </w:pPr>
      <w:r>
        <w:rPr>
          <w:rFonts w:ascii="Times New Roman" w:cs="Times New Roman" w:eastAsia="Times New Roman" w:hAnsi="Times New Roman"/>
          <w:b/>
          <w:bCs/>
          <w:sz w:val="18"/>
          <w:szCs w:val="18"/>
        </w:rPr>
        <w:t xml:space="preserve">TABLO II</w:t>
      </w:r>
    </w:p>
    <w:p>
      <w:pPr>
        <w:spacing w:after="80" w:before="0"/>
        <w:jc w:val="center"/>
      </w:pPr>
      <w:r>
        <w:rPr>
          <w:rFonts w:ascii="Times New Roman" w:cs="Times New Roman" w:eastAsia="Times New Roman" w:hAnsi="Times New Roman"/>
          <w:i/>
          <w:iCs/>
          <w:sz w:val="18"/>
          <w:szCs w:val="18"/>
        </w:rPr>
        <w:t xml:space="preserve">Modellerin 5-Katli CV ve Test Performanslari (log1p olcek, R2 azalan)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1500"/>
        <w:gridCol w:w="1500"/>
      </w:tblGrid>
      <w:tr>
        <w:tc>
          <w:tcPr>
            <w:tcW w:type="dxa" w:w="26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Model</w:t>
            </w:r>
          </w:p>
        </w:tc>
        <w:tc>
          <w:tcPr>
            <w:tcW w:type="dxa" w:w="14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CV R2</w:t>
            </w:r>
          </w:p>
        </w:tc>
        <w:tc>
          <w:tcPr>
            <w:tcW w:type="dxa" w:w="14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Test R2</w:t>
            </w:r>
          </w:p>
        </w:tc>
        <w:tc>
          <w:tcPr>
            <w:tcW w:type="dxa" w:w="15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Test MAE</w:t>
            </w:r>
          </w:p>
        </w:tc>
        <w:tc>
          <w:tcPr>
            <w:tcW w:type="dxa" w:w="15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Test RMSE</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b/>
                <w:bCs/>
                <w:sz w:val="16"/>
                <w:szCs w:val="16"/>
              </w:rPr>
              <w:t xml:space="preserve">Gradient Boosting</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0.9618</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0.9661</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0.2280</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0.4674</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Rastgele Orman</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0.9621</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0.9634</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0.2324</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0.4854</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Karar Agaci (max_depth=10)</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0.9438</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0.9485</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0.2650</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0.5764</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KNN (k=7)</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0.7286</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0.7328</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0.9055</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1.3123</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Lasso (alpha=0.01)</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0.3763</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0.3796</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1.5262</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1.9996</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Ridge (alpha=1)</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0.3307</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0.3986</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1.5083</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1.9687</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Dogrusal Regresyon</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0.3184</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0.3990</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1.5083</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1.9680</w:t>
            </w:r>
          </w:p>
        </w:tc>
      </w:tr>
      <w:tr>
        <w:tc>
          <w:tcPr>
            <w:tcW w:type="dxa" w:w="2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left"/>
            </w:pPr>
            <w:r>
              <w:rPr>
                <w:rFonts w:ascii="Times New Roman" w:cs="Times New Roman" w:eastAsia="Times New Roman" w:hAnsi="Times New Roman"/>
                <w:sz w:val="16"/>
                <w:szCs w:val="16"/>
              </w:rPr>
              <w:t xml:space="preserve">Polinomial (deg=2+Ridge)</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-231.66</w:t>
            </w:r>
          </w:p>
        </w:tc>
        <w:tc>
          <w:tcPr>
            <w:tcW w:type="dxa" w:w="14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-11.41</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1.6274</w:t>
            </w:r>
          </w:p>
        </w:tc>
        <w:tc>
          <w:tcPr>
            <w:tcW w:type="dxa" w:w="15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8.9427</w:t>
            </w:r>
          </w:p>
        </w:tc>
      </w:tr>
    </w:tbl>
    <w:p>
      <w:pPr>
        <w:spacing w:before="120"/>
      </w:pPr>
      <w:r>
        <w:rPr>
          <w:sz w:val="2"/>
          <w:szCs w:val="2"/>
        </w:rPr>
        <w:t xml:space="preserve"/>
      </w:r>
    </w:p>
    <w:p>
      <w:pPr>
        <w:spacing w:after="120" w:before="0" w:line="260"/>
        <w:ind w:firstLine="360"/>
        <w:jc w:val="both"/>
      </w:pPr>
      <w:r>
        <w:rPr>
          <w:sz w:val="20"/>
          <w:szCs w:val="20"/>
        </w:rPr>
        <w:t xml:space="preserve">Gradient Boosting ve Rastgele Orman modelleri birbirine cok yakin en yuksek performansi sergilemistir: Gradient Boosting icin Test R2 = 0.9661, Rastgele Orman icin 0.9634. Her iki model de 5-katli CV ortalamasinda R2 &gt; 0.96 degerlerine ulaserek tutarli genelleme kabiliyeti gostermistir. Karar Agaci tek basina dahi R2 = 0.9485 ile yuksek bir taban saglamistir; bu, veri setindeki iliskilerin buyuk olcude agaclar tarafindan yakalanabilir oldugunu gostermektedir. KNN (k=7) orta duzeyde (R2 = 0.7328), dogrusal modeller (Linear, Ridge, Lasso) ise R2 = 0.38-0.40 araliginda kalmistir.</w:t>
      </w:r>
    </w:p>
    <w:p>
      <w:pPr>
        <w:spacing w:after="120" w:before="0" w:line="260"/>
        <w:ind w:firstLine="360"/>
        <w:jc w:val="both"/>
      </w:pPr>
      <w:r>
        <w:rPr>
          <w:sz w:val="20"/>
          <w:szCs w:val="20"/>
        </w:rPr>
        <w:t xml:space="preserve">Polinomial Regresyon (derece=2, Ridge cezali) beklenmedik sekilde cok kotu performans gostermistir (Test R2 = -11.41). Bunun nedeni, 50 ozelligin 1325 polinomial ozellige genislemesiyle olusan yuksek boyutlu matrise Ridge cezasinin yeterince agir gelmemesi ve bazi ozellik kombinasyonlarinin asiri uyum saglayip test kumesinde kararsizlasmasidir. Bu olumsuz sonuc bile, naif polinomial genisletmenin her zaman dogrusal olmayan bir model icin en iyi secim olmadigini gostermesi acisindan egiticidir (Sekil 10).</w:t>
      </w:r>
    </w:p>
    <w:p>
      <w:pPr>
        <w:spacing w:after="60" w:before="120"/>
        <w:jc w:val="center"/>
      </w:pPr>
      <w:r>
        <w:drawing>
          <wp:inline distT="0" distB="0" distL="0" distR="0">
            <wp:extent cx="2952750" cy="914400"/>
            <wp:effectExtent t="0" r="0" b="0" l="0"/>
            <wp:docPr id="1" name="09_model_comparison.png" descr="Modellerin test seti R2, MAE ve RMSE (log olcek) karsilastirmasi." titl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914400"/>
                    </a:xfrm>
                    <a:prstGeom prst="rect">
                      <a:avLst/>
                    </a:prstGeom>
                  </pic:spPr>
                </pic:pic>
              </a:graphicData>
            </a:graphic>
          </wp:inline>
        </w:drawing>
      </w:r>
    </w:p>
    <w:p>
      <w:pPr>
        <w:spacing w:after="180" w:before="0"/>
        <w:jc w:val="center"/>
      </w:pPr>
      <w:r>
        <w:rPr>
          <w:b/>
          <w:bCs/>
          <w:sz w:val="18"/>
          <w:szCs w:val="18"/>
        </w:rPr>
        <w:t xml:space="preserve">Sekil 8. </w:t>
      </w:r>
      <w:r>
        <w:rPr>
          <w:sz w:val="18"/>
          <w:szCs w:val="18"/>
        </w:rPr>
        <w:t xml:space="preserve">Modellerin test seti R2, MAE ve RMSE (log olcek) karsilastirmasi.</w:t>
      </w:r>
    </w:p>
    <w:p>
      <w:pPr>
        <w:spacing w:after="60" w:before="120"/>
        <w:jc w:val="center"/>
      </w:pPr>
      <w:r>
        <w:drawing>
          <wp:inline distT="0" distB="0" distL="0" distR="0">
            <wp:extent cx="2876550" cy="885825"/>
            <wp:effectExtent t="0" r="0" b="0" l="0"/>
            <wp:docPr id="1" name="11_residuals.png" descr="En iyi model (Gradient Boosting) icin artik (residual) dagilimi ve histogrami." title="Residu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885825"/>
                    </a:xfrm>
                    <a:prstGeom prst="rect">
                      <a:avLst/>
                    </a:prstGeom>
                  </pic:spPr>
                </pic:pic>
              </a:graphicData>
            </a:graphic>
          </wp:inline>
        </w:drawing>
      </w:r>
    </w:p>
    <w:p>
      <w:pPr>
        <w:spacing w:after="180" w:before="0"/>
        <w:jc w:val="center"/>
      </w:pPr>
      <w:r>
        <w:rPr>
          <w:b/>
          <w:bCs/>
          <w:sz w:val="18"/>
          <w:szCs w:val="18"/>
        </w:rPr>
        <w:t xml:space="preserve">Sekil 9. </w:t>
      </w:r>
      <w:r>
        <w:rPr>
          <w:sz w:val="18"/>
          <w:szCs w:val="18"/>
        </w:rPr>
        <w:t xml:space="preserve">En iyi model (Gradient Boosting) icin artik (residual) dagilimi ve histogrami.</w:t>
      </w:r>
    </w:p>
    <w:p>
      <w:pPr>
        <w:spacing w:after="60" w:before="120"/>
        <w:jc w:val="center"/>
      </w:pPr>
      <w:r>
        <w:drawing>
          <wp:inline distT="0" distB="0" distL="0" distR="0">
            <wp:extent cx="2876550" cy="1104900"/>
            <wp:effectExtent t="0" r="0" b="0" l="0"/>
            <wp:docPr id="1" name="13_polynomial_analysis.png" descr="Polinomial Regresyon icin tahmin-gercek ve artik analizi; modelin kararsizligi gozlenmektedir." title="Polynomi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104900"/>
                    </a:xfrm>
                    <a:prstGeom prst="rect">
                      <a:avLst/>
                    </a:prstGeom>
                  </pic:spPr>
                </pic:pic>
              </a:graphicData>
            </a:graphic>
          </wp:inline>
        </w:drawing>
      </w:r>
    </w:p>
    <w:p>
      <w:pPr>
        <w:spacing w:after="180" w:before="0"/>
        <w:jc w:val="center"/>
      </w:pPr>
      <w:r>
        <w:rPr>
          <w:b/>
          <w:bCs/>
          <w:sz w:val="18"/>
          <w:szCs w:val="18"/>
        </w:rPr>
        <w:t xml:space="preserve">Sekil 10. </w:t>
      </w:r>
      <w:r>
        <w:rPr>
          <w:sz w:val="18"/>
          <w:szCs w:val="18"/>
        </w:rPr>
        <w:t xml:space="preserve">Polinomial Regresyon icin tahmin-gercek ve artik analizi; modelin kararsizligi gozlenmektedir.</w:t>
      </w:r>
    </w:p>
    <w:p>
      <w:pPr>
        <w:spacing w:after="60" w:before="120"/>
        <w:jc w:val="center"/>
      </w:pPr>
      <w:r>
        <w:drawing>
          <wp:inline distT="0" distB="0" distL="0" distR="0">
            <wp:extent cx="2952750" cy="2581275"/>
            <wp:effectExtent t="0" r="0" b="0" l="0"/>
            <wp:docPr id="1" name="10_pred_vs_true.png" descr="Tum modeller icin tahmin-gercek scatter plot (log olcek)." title="Predictions v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52750" cy="2581275"/>
                    </a:xfrm>
                    <a:prstGeom prst="rect">
                      <a:avLst/>
                    </a:prstGeom>
                  </pic:spPr>
                </pic:pic>
              </a:graphicData>
            </a:graphic>
          </wp:inline>
        </w:drawing>
      </w:r>
    </w:p>
    <w:p>
      <w:pPr>
        <w:spacing w:after="180" w:before="0"/>
        <w:jc w:val="center"/>
      </w:pPr>
      <w:r>
        <w:rPr>
          <w:b/>
          <w:bCs/>
          <w:sz w:val="18"/>
          <w:szCs w:val="18"/>
        </w:rPr>
        <w:t xml:space="preserve">Sekil 11. </w:t>
      </w:r>
      <w:r>
        <w:rPr>
          <w:sz w:val="18"/>
          <w:szCs w:val="18"/>
        </w:rPr>
        <w:t xml:space="preserve">Tum modeller icin tahmin-gercek scatter plot (log olcek).</w:t>
      </w:r>
    </w:p>
    <w:p>
      <w:pPr>
        <w:pStyle w:val="Heading2"/>
        <w:spacing w:after="80" w:before="180"/>
      </w:pPr>
      <w:r>
        <w:rPr>
          <w:rFonts w:ascii="Times New Roman" w:cs="Times New Roman" w:eastAsia="Times New Roman" w:hAnsi="Times New Roman"/>
          <w:i/>
          <w:iCs/>
          <w:sz w:val="20"/>
          <w:szCs w:val="20"/>
        </w:rPr>
        <w:t xml:space="preserve">A. En Iyi Modelin Detayli Incelemesi</w:t>
      </w:r>
    </w:p>
    <w:p>
      <w:pPr>
        <w:spacing w:after="120" w:before="0" w:line="260"/>
        <w:ind w:firstLine="360"/>
        <w:jc w:val="both"/>
      </w:pPr>
      <w:r>
        <w:rPr>
          <w:sz w:val="20"/>
          <w:szCs w:val="20"/>
        </w:rPr>
        <w:t xml:space="preserve">En iyi model olan Gradient Boosting icin artik (residual) analizi Sekil 9'da sunulmustur. Artiklarin ortalamasi yaklasik 0'a (sapma ≈ -0.019) ve standart sapmasi 0.467 log-biriminde olup hatalarin simetrik dagildigi gozlenmistir. Tahmin-gercek scatter plotlari tum modeller icin Sekil 11'de gosterilmis; Gradient Boosting ve Rastgele Orman noktalarin y=x cizgisine cok yakin yerlesimi ile dikkat cekmektedir. Tek tek modellerin artik dagilimi ve tahmin-gercek grafiklerinin karsilastirmali gorunumu modelin genellikle dusuk yanlilik ile kararli varyans urettigini ortaya koymaktadir.</w:t>
      </w:r>
    </w:p>
    <w:p>
      <w:pPr>
        <w:spacing w:after="120" w:before="0" w:line="260"/>
        <w:ind w:firstLine="360"/>
        <w:jc w:val="both"/>
      </w:pPr>
      <w:r>
        <w:rPr>
          <w:sz w:val="20"/>
          <w:szCs w:val="20"/>
        </w:rPr>
        <w:t xml:space="preserve">Gradient Boosting modelinin ozellik onem siralamasinda (Sekil 12) Revenue (yil N), %97.9 oraninda baskin cikmistir. Bu, bir sirketin bu yilin geliri bir sonraki yilin gelirinin en guclu oncusudur bulgusunu nicel olarak dogrulamaktadir. Toplam liabilities, Total current assets, Current ratio ve Investing Cash flow gibi ikincil ozellikler %0.1 civarinda tamamlayici katki saglar.</w:t>
      </w:r>
    </w:p>
    <w:p>
      <w:pPr>
        <w:spacing w:after="120" w:before="0" w:line="260"/>
        <w:ind w:firstLine="360"/>
        <w:jc w:val="both"/>
      </w:pPr>
      <w:r>
        <w:rPr>
          <w:sz w:val="20"/>
          <w:szCs w:val="20"/>
        </w:rPr>
        <w:t xml:space="preserve">Modelin gercek dolar olceginde pratik performansini gostermek amaciyla Tablo III'te test kumesinden rastgele secilen 10 sirketin gercek ve tahmin gelirleri milyar USD birimiyle sunulmustur. Tahminlerin onemli bir kisminda mutlak yuzde hatasi %20'nin altindadir; en buyuk hata kucuk olcekli (79 milyon USD) bir sirket icin %79 civarinda gozlemlenmistir, bu da buyuklugu dusuk gozlemlerde log olcekli egitimin gorece toleransli davrandigini yansitir.</w:t>
      </w:r>
    </w:p>
    <w:p>
      <w:pPr>
        <w:spacing w:after="60" w:before="120"/>
        <w:jc w:val="center"/>
      </w:pPr>
      <w:r>
        <w:drawing>
          <wp:inline distT="0" distB="0" distL="0" distR="0">
            <wp:extent cx="2876550" cy="2009775"/>
            <wp:effectExtent t="0" r="0" b="0" l="0"/>
            <wp:docPr id="1" name="12_best_model_importance.png" descr="Gradient Boosting modelinde en onemli 20 ozellik (Revenue baskindir)." title="Best model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2009775"/>
                    </a:xfrm>
                    <a:prstGeom prst="rect">
                      <a:avLst/>
                    </a:prstGeom>
                  </pic:spPr>
                </pic:pic>
              </a:graphicData>
            </a:graphic>
          </wp:inline>
        </w:drawing>
      </w:r>
    </w:p>
    <w:p>
      <w:pPr>
        <w:spacing w:after="180" w:before="0"/>
        <w:jc w:val="center"/>
      </w:pPr>
      <w:r>
        <w:rPr>
          <w:b/>
          <w:bCs/>
          <w:sz w:val="18"/>
          <w:szCs w:val="18"/>
        </w:rPr>
        <w:t xml:space="preserve">Sekil 12. </w:t>
      </w:r>
      <w:r>
        <w:rPr>
          <w:sz w:val="18"/>
          <w:szCs w:val="18"/>
        </w:rPr>
        <w:t xml:space="preserve">Gradient Boosting modelinde en onemli 20 ozellik (Revenue baskindir).</w:t>
      </w:r>
    </w:p>
    <w:p>
      <w:pPr>
        <w:spacing w:after="60" w:before="160"/>
        <w:jc w:val="center"/>
      </w:pPr>
      <w:r>
        <w:rPr>
          <w:rFonts w:ascii="Times New Roman" w:cs="Times New Roman" w:eastAsia="Times New Roman" w:hAnsi="Times New Roman"/>
          <w:b/>
          <w:bCs/>
          <w:sz w:val="18"/>
          <w:szCs w:val="18"/>
        </w:rPr>
        <w:t xml:space="preserve">TABLO III</w:t>
      </w:r>
    </w:p>
    <w:p>
      <w:pPr>
        <w:spacing w:after="80" w:before="0"/>
        <w:jc w:val="center"/>
      </w:pPr>
      <w:r>
        <w:rPr>
          <w:rFonts w:ascii="Times New Roman" w:cs="Times New Roman" w:eastAsia="Times New Roman" w:hAnsi="Times New Roman"/>
          <w:i/>
          <w:iCs/>
          <w:sz w:val="18"/>
          <w:szCs w:val="18"/>
        </w:rPr>
        <w:t xml:space="preserve">Gradient Boosting Modelinden 10 Ornek Tahmin (Milyar USD)</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600"/>
        <w:gridCol w:w="1250"/>
        <w:gridCol w:w="1250"/>
        <w:gridCol w:w="900"/>
      </w:tblGrid>
      <w:tr>
        <w:tc>
          <w:tcPr>
            <w:tcW w:type="dxa" w:w="6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w:t>
            </w:r>
          </w:p>
        </w:tc>
        <w:tc>
          <w:tcPr>
            <w:tcW w:type="dxa" w:w="125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Gercek (G$)</w:t>
            </w:r>
          </w:p>
        </w:tc>
        <w:tc>
          <w:tcPr>
            <w:tcW w:type="dxa" w:w="125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Tahmin (G$)</w:t>
            </w:r>
          </w:p>
        </w:tc>
        <w:tc>
          <w:tcPr>
            <w:tcW w:type="dxa" w:w="900"/>
            <w:tcBorders>
              <w:top w:val="single" w:color="000000" w:sz="6"/>
              <w:left w:val="single" w:color="000000" w:sz="6"/>
              <w:bottom w:val="single" w:color="000000" w:sz="6"/>
              <w:right w:val="single" w:color="000000" w:sz="6"/>
            </w:tcBorders>
            <w:shd w:fill="E6E6E6" w:val="clear"/>
            <w:tcMar>
              <w:top w:type="dxa" w:w="60"/>
              <w:left w:type="dxa" w:w="80"/>
              <w:bottom w:type="dxa" w:w="60"/>
              <w:right w:type="dxa" w:w="80"/>
            </w:tcMar>
          </w:tcPr>
          <w:p>
            <w:pPr>
              <w:jc w:val="center"/>
            </w:pPr>
            <w:r>
              <w:rPr>
                <w:rFonts w:ascii="Times New Roman" w:cs="Times New Roman" w:eastAsia="Times New Roman" w:hAnsi="Times New Roman"/>
                <w:b/>
                <w:bCs/>
                <w:sz w:val="16"/>
                <w:szCs w:val="16"/>
              </w:rPr>
              <w:t xml:space="preserve">Hata</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1.09</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1.26</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16%</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8.14</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8.78</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8%</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3</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0.003</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0.002</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14%</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4</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2.98</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3.62</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21%</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5</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0.74</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0.83</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12%</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6</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44.54</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41.25</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7%</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7</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1.08</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0.95</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12%</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8</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1.07</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1.13</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6%</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9</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0.08</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0.14</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79%</w:t>
            </w:r>
          </w:p>
        </w:tc>
      </w:tr>
      <w:tr>
        <w:tc>
          <w:tcPr>
            <w:tcW w:type="dxa" w:w="6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10</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0.43</w:t>
            </w:r>
          </w:p>
        </w:tc>
        <w:tc>
          <w:tcPr>
            <w:tcW w:type="dxa" w:w="125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0.55</w:t>
            </w:r>
          </w:p>
        </w:tc>
        <w:tc>
          <w:tcPr>
            <w:tcW w:type="dxa" w:w="900"/>
            <w:tcBorders>
              <w:top w:val="single" w:color="000000" w:sz="6"/>
              <w:left w:val="single" w:color="000000" w:sz="6"/>
              <w:bottom w:val="single" w:color="000000" w:sz="6"/>
              <w:right w:val="single" w:color="000000" w:sz="6"/>
            </w:tcBorders>
            <w:tcMar>
              <w:top w:type="dxa" w:w="60"/>
              <w:left w:type="dxa" w:w="80"/>
              <w:bottom w:type="dxa" w:w="60"/>
              <w:right w:type="dxa" w:w="80"/>
            </w:tcMar>
          </w:tcPr>
          <w:p>
            <w:pPr>
              <w:jc w:val="center"/>
            </w:pPr>
            <w:r>
              <w:rPr>
                <w:rFonts w:ascii="Times New Roman" w:cs="Times New Roman" w:eastAsia="Times New Roman" w:hAnsi="Times New Roman"/>
                <w:sz w:val="16"/>
                <w:szCs w:val="16"/>
              </w:rPr>
              <w:t xml:space="preserve">28%</w:t>
            </w:r>
          </w:p>
        </w:tc>
      </w:tr>
    </w:tbl>
    <w:p>
      <w:pPr>
        <w:spacing w:before="120"/>
      </w:pPr>
      <w:r>
        <w:rPr>
          <w:sz w:val="2"/>
          <w:szCs w:val="2"/>
        </w:rPr>
        <w:t xml:space="preserve"/>
      </w:r>
    </w:p>
    <w:p>
      <w:pPr>
        <w:pStyle w:val="Heading1"/>
        <w:spacing w:after="120" w:before="240"/>
        <w:jc w:val="left"/>
      </w:pPr>
      <w:r>
        <w:rPr>
          <w:rFonts w:ascii="Times New Roman" w:cs="Times New Roman" w:eastAsia="Times New Roman" w:hAnsi="Times New Roman"/>
          <w:b/>
          <w:bCs/>
          <w:sz w:val="22"/>
          <w:szCs w:val="22"/>
        </w:rPr>
        <w:t xml:space="preserve">IV. TARTISMA VE SINIRLAMALAR</w:t>
      </w:r>
    </w:p>
    <w:p>
      <w:pPr>
        <w:spacing w:after="120" w:before="0" w:line="260"/>
        <w:ind w:firstLine="360"/>
        <w:jc w:val="both"/>
      </w:pPr>
      <w:r>
        <w:rPr>
          <w:sz w:val="20"/>
          <w:szCs w:val="20"/>
        </w:rPr>
        <w:t xml:space="preserve">Elde edilen bulgular, topluluk temelli agac modellerinin (Gradient Boosting, Rastgele Orman) gelir tahmini gibi cok degiskenli, coklu dogrusalliga egilimli finansal veri setlerinde yuksek dogruluk sagladigini gostermektedir. Bu modeller hem veri setindeki dogrusal olmayan etkilesimleri hem de uc degerleri dogal olarak tolere edebilmektedir. Dogrusal modellerin yalnizca R2 ≈ 0.40 seviyesinde kalmasi, finansal degiskenler arasindaki iliskilerin buyuk olcude dogrusal olmadigini; ozellikle varlik buyuklugu, sektor yapisi ve buyume oranlari arasindaki etkilesimin dogrusal olmayan bicimlerde ortaya cikabildigini gostermektedir.</w:t>
      </w:r>
    </w:p>
    <w:p>
      <w:pPr>
        <w:spacing w:after="120" w:before="0" w:line="260"/>
        <w:ind w:firstLine="360"/>
        <w:jc w:val="both"/>
      </w:pPr>
      <w:r>
        <w:rPr>
          <w:sz w:val="20"/>
          <w:szCs w:val="20"/>
        </w:rPr>
        <w:t xml:space="preserve">PCA analizi, 229 ozgun ozellikte varyansin %95'ini aciklamak icin yaklasik 112 bilesen gerektigini ortaya koyarak ozelliklerin buyuk olcude baginim icerdigini (ozellikle gelir buyuklukleri ile turev metrikler) dogrulamistir. Bununla birlikte modelde dogrudan PCA bilesenleri yerine SelectKBest ile secilen orijinal 50 ozellik tercih edilmistir cunku yorumlanabilirlik kritiktir: bir finansal analist icin Operating Expenses gibi tanidik bir gostergenin etkisinin raporlanabilir olmasi, "3. temel bilesenin 0.82 katsayisi" ifadesinden cok daha degerlidir. Gradient Boosting icin yapilan hizli bir kontrol PCA tabanli Ridge modelinin (CV R2 ≈ 0.13) SelectKBest tabanli alternatife gore cok daha dusuk performans sergiledigini dogrulamistir.</w:t>
      </w:r>
    </w:p>
    <w:p>
      <w:pPr>
        <w:pStyle w:val="Heading2"/>
        <w:spacing w:after="80" w:before="180"/>
      </w:pPr>
      <w:r>
        <w:rPr>
          <w:rFonts w:ascii="Times New Roman" w:cs="Times New Roman" w:eastAsia="Times New Roman" w:hAnsi="Times New Roman"/>
          <w:i/>
          <w:iCs/>
          <w:sz w:val="20"/>
          <w:szCs w:val="20"/>
        </w:rPr>
        <w:t xml:space="preserve">A. Sinirlamalar</w:t>
      </w:r>
    </w:p>
    <w:p>
      <w:pPr>
        <w:spacing w:after="120" w:before="0" w:line="260"/>
        <w:ind w:firstLine="360"/>
        <w:jc w:val="both"/>
      </w:pPr>
      <w:r>
        <w:rPr>
          <w:sz w:val="20"/>
          <w:szCs w:val="20"/>
        </w:rPr>
        <w:t xml:space="preserve">1) Veri setindeki yil N'nin Revenue'su, hedef yil N+1 Revenue'su ile cok yuksek korelasyonlu (0.979) oldugundan modelin buyuk bir kismi "gecmis ≈ gelecek" kestiriminden yararlaniyor olabilir; gercek anlamda kirilim noktalarini (ornegin iflas, birlesme, devasa kampanyalar) yakalama kabiliyeti sinirlidir. 2) Calisma yalnizca 2014-2018 yillarini kapsar; makroekonomik krizler (2008, 2020) dahil degildir. 3) Hedef olarak yalnizca bir sonraki yilin geliri kullanilmistir; karlilik, nakit akisi veya buyume oranlari gibi tamamlayici cikti hedefleri modellenmemistir. 4) Sektor kodlamasi One-Hot ile yapilmis; target encoding veya embedding gibi alternatifler denenmemistir. 5) Polinomial regresyonun duzensizlestirilmemis yuksek boyutlu varyantindaki kararsizlik, agir bir Ridge cezasi veya interaction_only=True ile iyilestirilebilir.</w:t>
      </w:r>
    </w:p>
    <w:p>
      <w:pPr>
        <w:pStyle w:val="Heading1"/>
        <w:spacing w:after="120" w:before="240"/>
        <w:jc w:val="left"/>
      </w:pPr>
      <w:r>
        <w:rPr>
          <w:rFonts w:ascii="Times New Roman" w:cs="Times New Roman" w:eastAsia="Times New Roman" w:hAnsi="Times New Roman"/>
          <w:b/>
          <w:bCs/>
          <w:sz w:val="22"/>
          <w:szCs w:val="22"/>
        </w:rPr>
        <w:t xml:space="preserve">V. SONUC</w:t>
      </w:r>
    </w:p>
    <w:p>
      <w:pPr>
        <w:spacing w:after="120" w:before="0" w:line="260"/>
        <w:ind w:firstLine="360"/>
        <w:jc w:val="both"/>
      </w:pPr>
      <w:r>
        <w:rPr>
          <w:sz w:val="20"/>
          <w:szCs w:val="20"/>
        </w:rPr>
        <w:t xml:space="preserve">Bu calismada 15.497 sirket-yil gozleminden olusan 229 boyutlu finansal veri seti uzerinde sekiz farkli regresyon algoritmasi ayni on isleme hatti uzerinden karsilastirilmis; Gradient Boosting ve Rastgele Orman modellerinin log olceginde R2 &gt; 0.96, gercek dolar olceginde R2 &gt; 0.97 degerleri ile uretilmistir. Hedef degiskenin log1p donusumu modelin kararliligini belirgin sekilde artirmistir. SelectKBest ile yapilan denetimli ozellik secimi (50 ozellik) modelleme icin daha uygulanabilir bulunurken, Temel Bilesen Analizi (PCA) veri setinin dogal boyutu hakkinda degerli bir kesif saglamistir. Elde edilen sonuclar, klasik makine ogrenmesi algoritmalarinin finansal tahminlerde anlamli is icgoruleri uretebilecegini ve yuksek boyutlu finansal veri setlerinde topluluk yontemlerinin guclu bir ilk tercih olusturdugunu gostermektedir.</w:t>
      </w:r>
    </w:p>
    <w:p>
      <w:pPr>
        <w:spacing w:after="120" w:before="0" w:line="260"/>
        <w:ind w:firstLine="360"/>
        <w:jc w:val="both"/>
      </w:pPr>
      <w:r>
        <w:rPr>
          <w:sz w:val="20"/>
          <w:szCs w:val="20"/>
        </w:rPr>
        <w:t xml:space="preserve">Gelecek calismalar icin; (i) zaman serisi icin ozelleslesmis modellerin (LSTM, Temporal Fusion Transformer) bu setirli setir uzerinde denenmesi, (ii) sektor-ozgu alt modellerin egitilmesi, (iii) makroekonomik gostergelerin (faiz, enflasyon, GSYH buyumesi) ek ozellik olarak dahil edilmesi ve (iv) daha uzun bir zaman penceresi (1990-2024) ile modelin robustlugunun dogrulanmasi onerilmektedir.</w:t>
      </w:r>
    </w:p>
    <w:p>
      <w:pPr>
        <w:pStyle w:val="Heading1"/>
        <w:spacing w:after="120" w:before="240"/>
        <w:jc w:val="left"/>
      </w:pPr>
      <w:r>
        <w:rPr>
          <w:rFonts w:ascii="Times New Roman" w:cs="Times New Roman" w:eastAsia="Times New Roman" w:hAnsi="Times New Roman"/>
          <w:b/>
          <w:bCs/>
          <w:sz w:val="22"/>
          <w:szCs w:val="22"/>
        </w:rPr>
        <w:t xml:space="preserve">KAYNAKCA</w:t>
      </w:r>
    </w:p>
    <w:p>
      <w:pPr>
        <w:spacing w:after="80" w:before="0" w:line="240"/>
        <w:ind w:left="360" w:hanging="360"/>
      </w:pPr>
      <w:r>
        <w:rPr>
          <w:rFonts w:ascii="Times New Roman" w:cs="Times New Roman" w:eastAsia="Times New Roman" w:hAnsi="Times New Roman"/>
          <w:sz w:val="18"/>
          <w:szCs w:val="18"/>
        </w:rPr>
        <w:t xml:space="preserve">[1] F. Pedregosa, G. Varoquaux, A. Gramfort, et al., "Scikit-learn: Machine Learning in Python," J. Mach. Learn. Res., vol. 12, pp. 2825-2830, 2011.</w:t>
      </w:r>
    </w:p>
    <w:p>
      <w:pPr>
        <w:spacing w:after="80" w:before="0" w:line="240"/>
        <w:ind w:left="360" w:hanging="360"/>
      </w:pPr>
      <w:r>
        <w:rPr>
          <w:rFonts w:ascii="Times New Roman" w:cs="Times New Roman" w:eastAsia="Times New Roman" w:hAnsi="Times New Roman"/>
          <w:sz w:val="18"/>
          <w:szCs w:val="18"/>
        </w:rPr>
        <w:t xml:space="preserve">[2] L. Breiman, "Random Forests," Machine Learning, vol. 45, no. 1, pp. 5-32, 2001.</w:t>
      </w:r>
    </w:p>
    <w:p>
      <w:pPr>
        <w:spacing w:after="80" w:before="0" w:line="240"/>
        <w:ind w:left="360" w:hanging="360"/>
      </w:pPr>
      <w:r>
        <w:rPr>
          <w:rFonts w:ascii="Times New Roman" w:cs="Times New Roman" w:eastAsia="Times New Roman" w:hAnsi="Times New Roman"/>
          <w:sz w:val="18"/>
          <w:szCs w:val="18"/>
        </w:rPr>
        <w:t xml:space="preserve">[3] J. H. Friedman, "Greedy Function Approximation: A Gradient Boosting Machine," Annals of Statistics, vol. 29, no. 5, pp. 1189-1232, 2001.</w:t>
      </w:r>
    </w:p>
    <w:p>
      <w:pPr>
        <w:spacing w:after="80" w:before="0" w:line="240"/>
        <w:ind w:left="360" w:hanging="360"/>
      </w:pPr>
      <w:r>
        <w:rPr>
          <w:rFonts w:ascii="Times New Roman" w:cs="Times New Roman" w:eastAsia="Times New Roman" w:hAnsi="Times New Roman"/>
          <w:sz w:val="18"/>
          <w:szCs w:val="18"/>
        </w:rPr>
        <w:t xml:space="preserve">[4] I. T. Jolliffe, Principal Component Analysis, 2nd ed. New York: Springer, 2002.</w:t>
      </w:r>
    </w:p>
    <w:p>
      <w:pPr>
        <w:spacing w:after="80" w:before="0" w:line="240"/>
        <w:ind w:left="360" w:hanging="360"/>
      </w:pPr>
      <w:r>
        <w:rPr>
          <w:rFonts w:ascii="Times New Roman" w:cs="Times New Roman" w:eastAsia="Times New Roman" w:hAnsi="Times New Roman"/>
          <w:sz w:val="18"/>
          <w:szCs w:val="18"/>
        </w:rPr>
        <w:t xml:space="preserve">[5] A. E. Hoerl and R. W. Kennard, "Ridge Regression: Biased Estimation for Nonorthogonal Problems," Technometrics, vol. 12, no. 1, pp. 55-67, 1970.</w:t>
      </w:r>
    </w:p>
    <w:p>
      <w:pPr>
        <w:spacing w:after="80" w:before="0" w:line="240"/>
        <w:ind w:left="360" w:hanging="360"/>
      </w:pPr>
      <w:r>
        <w:rPr>
          <w:rFonts w:ascii="Times New Roman" w:cs="Times New Roman" w:eastAsia="Times New Roman" w:hAnsi="Times New Roman"/>
          <w:sz w:val="18"/>
          <w:szCs w:val="18"/>
        </w:rPr>
        <w:t xml:space="preserve">[6] R. Tibshirani, "Regression Shrinkage and Selection via the Lasso," J. Royal Statistical Society B, vol. 58, no. 1, pp. 267-288, 1996.</w:t>
      </w:r>
    </w:p>
    <w:p>
      <w:pPr>
        <w:spacing w:after="80" w:before="0" w:line="240"/>
        <w:ind w:left="360" w:hanging="360"/>
      </w:pPr>
      <w:r>
        <w:rPr>
          <w:rFonts w:ascii="Times New Roman" w:cs="Times New Roman" w:eastAsia="Times New Roman" w:hAnsi="Times New Roman"/>
          <w:sz w:val="18"/>
          <w:szCs w:val="18"/>
        </w:rPr>
        <w:t xml:space="preserve">[7] T. Hastie, R. Tibshirani, and J. Friedman, The Elements of Statistical Learning, 2nd ed. New York: Springer, 2009.</w:t>
      </w:r>
    </w:p>
    <w:p>
      <w:pPr>
        <w:spacing w:after="80" w:before="0" w:line="240"/>
        <w:ind w:left="360" w:hanging="360"/>
      </w:pPr>
      <w:r>
        <w:rPr>
          <w:rFonts w:ascii="Times New Roman" w:cs="Times New Roman" w:eastAsia="Times New Roman" w:hAnsi="Times New Roman"/>
          <w:sz w:val="18"/>
          <w:szCs w:val="18"/>
        </w:rPr>
        <w:t xml:space="preserve">[8] "200+ Financial Indicators of US stocks (2014-2018)," Kaggle Dataset. [Online]. Available: https://www.kaggle.com/datasets/cnic92/200-financial-indicators-of-us-stocks-20142018</w:t>
      </w:r>
    </w:p>
    <w:p>
      <w:pPr>
        <w:spacing w:after="80" w:before="0" w:line="240"/>
        <w:ind w:left="360" w:hanging="360"/>
      </w:pPr>
      <w:r>
        <w:rPr>
          <w:rFonts w:ascii="Times New Roman" w:cs="Times New Roman" w:eastAsia="Times New Roman" w:hAnsi="Times New Roman"/>
          <w:sz w:val="18"/>
          <w:szCs w:val="18"/>
        </w:rPr>
        <w:t xml:space="preserve">[9] W. McKinney, "Data Structures for Statistical Computing in Python," in Proc. 9th Python in Science Conf. (SciPy), Austin, TX, USA, 2010, pp. 51-56.</w:t>
      </w:r>
    </w:p>
    <w:p>
      <w:pPr>
        <w:spacing w:after="80" w:before="0" w:line="240"/>
        <w:ind w:left="360" w:hanging="360"/>
      </w:pPr>
      <w:r>
        <w:rPr>
          <w:rFonts w:ascii="Times New Roman" w:cs="Times New Roman" w:eastAsia="Times New Roman" w:hAnsi="Times New Roman"/>
          <w:sz w:val="18"/>
          <w:szCs w:val="18"/>
        </w:rPr>
        <w:t xml:space="preserve">[10] J. D. Hunter, "Matplotlib: A 2D Graphics Environment," Computing in Science &amp; Engineering, vol. 9, no. 3, pp. 90-95, 2007.</w:t>
      </w:r>
    </w:p>
    <w:sectPr>
      <w:type w:val="continuous"/>
      <w:pgSz w:w="12240" w:h="15840" w:orient="portrait"/>
      <w:pgMar w:top="1080" w:right="1080" w:bottom="1080" w:left="1080" w:header="708" w:footer="708" w:gutter="0"/>
      <w:pgNumType/>
      <w:cols w:space="432"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Sayfa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spacing w:after="80" w:before="180"/>
      <w:outlineLvl w:val="1"/>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49faa6b98bbe084ca32d9d06f6d35c3f3f4627.png"/><Relationship Id="rId9" Type="http://schemas.openxmlformats.org/officeDocument/2006/relationships/image" Target="media/3c84a79551534c1091edacb831c3efbfb67fe27d.png"/><Relationship Id="rId10" Type="http://schemas.openxmlformats.org/officeDocument/2006/relationships/image" Target="media/c788cbde993cc4f27cbe90a5467a9befb790bd83.png"/><Relationship Id="rId11" Type="http://schemas.openxmlformats.org/officeDocument/2006/relationships/image" Target="media/62b3619ad2fd1c4e9923853aac512bb3ff272712.png"/><Relationship Id="rId12" Type="http://schemas.openxmlformats.org/officeDocument/2006/relationships/image" Target="media/a3e29a2292c9bd2043ea5cb4908b039df63e7c5b.png"/><Relationship Id="rId13" Type="http://schemas.openxmlformats.org/officeDocument/2006/relationships/image" Target="media/0d3897fd73b6ff42d7c6fee0a39e940b1272421e.png"/><Relationship Id="rId14" Type="http://schemas.openxmlformats.org/officeDocument/2006/relationships/image" Target="media/5e3ee7e4df4de1896fd5df6b5bab537ef7f5c2c5.png"/><Relationship Id="rId15" Type="http://schemas.openxmlformats.org/officeDocument/2006/relationships/image" Target="media/3147d133103001eb17b3d3fb25d5aff2dd7f9b21.png"/><Relationship Id="rId16" Type="http://schemas.openxmlformats.org/officeDocument/2006/relationships/image" Target="media/6891cc4077ab45aa6c7a45bf1b514a36b44b77b8.png"/><Relationship Id="rId17" Type="http://schemas.openxmlformats.org/officeDocument/2006/relationships/image" Target="media/80d48be5ad0141b83281688228ac4c3e9f491e29.png"/><Relationship Id="rId18" Type="http://schemas.openxmlformats.org/officeDocument/2006/relationships/image" Target="media/811bcfd55bacdd5751541a77a86b26e22ef856cb.png"/><Relationship Id="rId19" Type="http://schemas.openxmlformats.org/officeDocument/2006/relationships/image" Target="media/171acfdf053509ddd8bba86353a6290b6f05dcc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 Borsasi Gelir Tahmini - Vize Raporu</dc:title>
  <dc:creator>Veri Madenciligi Projesi</dc:creator>
  <dc:description>IEEE formatinda vize proje raporu</dc:description>
  <cp:lastModifiedBy>Un-named</cp:lastModifiedBy>
  <cp:revision>1</cp:revision>
  <dcterms:created xsi:type="dcterms:W3CDTF">2026-04-10T22:43:12.600Z</dcterms:created>
  <dcterms:modified xsi:type="dcterms:W3CDTF">2026-04-10T22:43:12.601Z</dcterms:modified>
</cp:coreProperties>
</file>

<file path=docProps/custom.xml><?xml version="1.0" encoding="utf-8"?>
<Properties xmlns="http://schemas.openxmlformats.org/officeDocument/2006/custom-properties" xmlns:vt="http://schemas.openxmlformats.org/officeDocument/2006/docPropsVTypes"/>
</file>