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運務系統功能擴充案（草案）</w:t>
      </w:r>
    </w:p>
    <w:p>
      <w:pPr>
        <w:jc w:val="center"/>
      </w:pPr>
      <w:r>
        <w:t>（依原建置案格式對齊，整併本次擴充需求）</w:t>
      </w:r>
    </w:p>
    <w:p>
      <w:pPr>
        <w:pStyle w:val="Heading1"/>
      </w:pPr>
      <w:r>
        <w:t>1. 專案背景與目的</w:t>
      </w:r>
    </w:p>
    <w:p>
      <w:pPr>
        <w:pStyle w:val="ListBullet"/>
      </w:pPr>
      <w:r>
        <w:t>進場證件電子化：公司員工識別證、甲乙證改為感應卡，識別證旁新增條碼（bar code）作為身分識別。</w:t>
      </w:r>
    </w:p>
    <w:p>
      <w:pPr>
        <w:pStyle w:val="ListBullet"/>
      </w:pPr>
      <w:r>
        <w:t>與 OMS 同步：進出場資訊經掃碼確認後，於 OMS 即時帶入與更新（進場資訊同步更新）。</w:t>
      </w:r>
    </w:p>
    <w:p>
      <w:pPr>
        <w:pStyle w:val="ListBullet"/>
      </w:pPr>
      <w:r>
        <w:t>資料查詢與報表：進出場資訊可匯出 Excel，利於稽核與追蹤。</w:t>
      </w:r>
    </w:p>
    <w:p>
      <w:pPr>
        <w:pStyle w:val="Heading1"/>
      </w:pPr>
      <w:r>
        <w:t>2. 需求概述與責任分工</w:t>
      </w:r>
    </w:p>
    <w:p>
      <w:pPr>
        <w:pStyle w:val="Heading2"/>
      </w:pPr>
      <w:r>
        <w:t>2.1 進場資訊確認（硬體/人力資源處）</w:t>
      </w:r>
    </w:p>
    <w:p>
      <w:pPr>
        <w:pStyle w:val="ListBullet"/>
      </w:pPr>
      <w:r>
        <w:t>掃工單條碼（bar code）自動帶出工單資訊。</w:t>
      </w:r>
    </w:p>
    <w:p>
      <w:pPr>
        <w:pStyle w:val="ListBullet"/>
      </w:pPr>
      <w:r>
        <w:t>可掃進場證件並自動判讀有效性，確認後帶入進場資訊至 OMS，並同步更新進場資訊。</w:t>
      </w:r>
    </w:p>
    <w:p>
      <w:pPr>
        <w:pStyle w:val="Heading2"/>
      </w:pPr>
      <w:r>
        <w:t>2.2 離場資訊確認（軟體/數發中心）</w:t>
      </w:r>
    </w:p>
    <w:p>
      <w:pPr>
        <w:pStyle w:val="ListBullet"/>
      </w:pPr>
      <w:r>
        <w:t>掃識別證即時判斷人員是否離場，確認後更新至 OMS。</w:t>
      </w:r>
    </w:p>
    <w:p>
      <w:pPr>
        <w:pStyle w:val="ListBullet"/>
      </w:pPr>
      <w:r>
        <w:t>進出場資訊可匯出為 Excel。</w:t>
      </w:r>
    </w:p>
    <w:p>
      <w:pPr>
        <w:pStyle w:val="Heading2"/>
      </w:pPr>
      <w:r>
        <w:t>2.3 現場危害告知電子化（軟體/數發中心）</w:t>
      </w:r>
    </w:p>
    <w:p>
      <w:pPr>
        <w:pStyle w:val="ListBullet"/>
      </w:pPr>
      <w:r>
        <w:t>掃工單條碼與進場證件後，系統自動跳出對應「危害告知」條碼與內容。</w:t>
      </w:r>
    </w:p>
    <w:p>
      <w:pPr>
        <w:pStyle w:val="ListBullet"/>
      </w:pPr>
      <w:r>
        <w:t>現場人員掃描後帶出表單，於手機或掃證裝置上完成簽名。</w:t>
      </w:r>
    </w:p>
    <w:p>
      <w:pPr>
        <w:pStyle w:val="ListBullet"/>
      </w:pPr>
      <w:r>
        <w:t>後台可查詢人員簽認紀錄以便追蹤。</w:t>
      </w:r>
    </w:p>
    <w:p>
      <w:pPr>
        <w:pStyle w:val="Heading1"/>
      </w:pPr>
      <w:r>
        <w:t>3. 報價與工時分析</w:t>
      </w:r>
    </w:p>
    <w:p>
      <w:pPr>
        <w:pStyle w:val="Heading2"/>
      </w:pPr>
      <w:r>
        <w:t>3.1 報價項目與金額（NTD）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工作項目</w:t>
            </w:r>
          </w:p>
        </w:tc>
        <w:tc>
          <w:tcPr>
            <w:tcW w:type="dxa" w:w="4320"/>
          </w:tcPr>
          <w:p>
            <w:r>
              <w:t>金額</w:t>
            </w:r>
          </w:p>
        </w:tc>
      </w:tr>
      <w:tr>
        <w:tc>
          <w:tcPr>
            <w:tcW w:type="dxa" w:w="4320"/>
          </w:tcPr>
          <w:p>
            <w:r>
              <w:t>新增進場管制相關功能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新增行控相關功能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資安檢測及修補作業（原始碼掃描、弱點掃描）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文件製作、交通、公費及管理等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r>
        <w:t>小計（未稅）：1,498,000</w:t>
      </w:r>
    </w:p>
    <w:p>
      <w:r>
        <w:t>總金額（含稅5%）：1,572,900</w:t>
      </w:r>
    </w:p>
    <w:p>
      <w:pPr>
        <w:pStyle w:val="Heading2"/>
      </w:pPr>
      <w:r>
        <w:t>3.2 按工時分析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工作項目</w:t>
            </w:r>
          </w:p>
        </w:tc>
        <w:tc>
          <w:tcPr>
            <w:tcW w:type="dxa" w:w="1440"/>
          </w:tcPr>
          <w:p>
            <w:r>
              <w:t>參與人力</w:t>
            </w:r>
          </w:p>
        </w:tc>
        <w:tc>
          <w:tcPr>
            <w:tcW w:type="dxa" w:w="1440"/>
          </w:tcPr>
          <w:p>
            <w:r>
              <w:t>單價</w:t>
            </w:r>
          </w:p>
        </w:tc>
        <w:tc>
          <w:tcPr>
            <w:tcW w:type="dxa" w:w="1440"/>
          </w:tcPr>
          <w:p>
            <w:r>
              <w:t>單位</w:t>
            </w:r>
          </w:p>
        </w:tc>
        <w:tc>
          <w:tcPr>
            <w:tcW w:type="dxa" w:w="1440"/>
          </w:tcPr>
          <w:p>
            <w:r>
              <w:t>數量</w:t>
            </w:r>
          </w:p>
        </w:tc>
        <w:tc>
          <w:tcPr>
            <w:tcW w:type="dxa" w:w="1440"/>
          </w:tcPr>
          <w:p>
            <w:r>
              <w:t>小計</w:t>
            </w:r>
          </w:p>
        </w:tc>
      </w:tr>
      <w:tr>
        <w:tc>
          <w:tcPr>
            <w:tcW w:type="dxa" w:w="1440"/>
          </w:tcPr>
          <w:p>
            <w:r>
              <w:t>專案管理、需求訪談、客戶服務</w:t>
            </w:r>
          </w:p>
        </w:tc>
        <w:tc>
          <w:tcPr>
            <w:tcW w:type="dxa" w:w="1440"/>
          </w:tcPr>
          <w:p>
            <w:r>
              <w:t>專案經理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式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448,000</w:t>
            </w:r>
          </w:p>
        </w:tc>
      </w:tr>
      <w:tr>
        <w:tc>
          <w:tcPr>
            <w:tcW w:type="dxa" w:w="1440"/>
          </w:tcPr>
          <w:p>
            <w:r>
              <w:t>前端介面設計及調整作業</w:t>
            </w:r>
          </w:p>
        </w:tc>
        <w:tc>
          <w:tcPr>
            <w:tcW w:type="dxa" w:w="1440"/>
          </w:tcPr>
          <w:p>
            <w:r>
              <w:t>前端設計師</w:t>
            </w:r>
          </w:p>
        </w:tc>
        <w:tc>
          <w:tcPr>
            <w:tcW w:type="dxa" w:w="1440"/>
          </w:tcPr>
          <w:p>
            <w:r>
              <w:t>4,500</w:t>
            </w:r>
          </w:p>
        </w:tc>
        <w:tc>
          <w:tcPr>
            <w:tcW w:type="dxa" w:w="1440"/>
          </w:tcPr>
          <w:p>
            <w:r>
              <w:t>人日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90,000</w:t>
            </w:r>
          </w:p>
        </w:tc>
      </w:tr>
      <w:tr>
        <w:tc>
          <w:tcPr>
            <w:tcW w:type="dxa" w:w="1440"/>
          </w:tcPr>
          <w:p>
            <w:r>
              <w:t>功能開發、程式設計</w:t>
            </w:r>
          </w:p>
        </w:tc>
        <w:tc>
          <w:tcPr>
            <w:tcW w:type="dxa" w:w="1440"/>
          </w:tcPr>
          <w:p>
            <w:r>
              <w:t>系統工程師、程式設計師、資安督導</w:t>
            </w:r>
          </w:p>
        </w:tc>
        <w:tc>
          <w:tcPr>
            <w:tcW w:type="dxa" w:w="1440"/>
          </w:tcPr>
          <w:p>
            <w:r>
              <w:t>5,800</w:t>
            </w:r>
          </w:p>
        </w:tc>
        <w:tc>
          <w:tcPr>
            <w:tcW w:type="dxa" w:w="1440"/>
          </w:tcPr>
          <w:p>
            <w:r>
              <w:t>人日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754,000</w:t>
            </w:r>
          </w:p>
        </w:tc>
      </w:tr>
      <w:tr>
        <w:tc>
          <w:tcPr>
            <w:tcW w:type="dxa" w:w="1440"/>
          </w:tcPr>
          <w:p>
            <w:r>
              <w:t>資安檢測及修補作業、文件製作、交通、公費及管理費</w:t>
            </w:r>
          </w:p>
        </w:tc>
        <w:tc>
          <w:tcPr>
            <w:tcW w:type="dxa" w:w="1440"/>
          </w:tcPr>
          <w:p>
            <w:r>
              <w:t>全員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式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206,000</w:t>
            </w:r>
          </w:p>
        </w:tc>
      </w:tr>
    </w:tbl>
    <w:p>
      <w:r>
        <w:t>註：薪酬、公費及管理比例依「中華民國資訊軟體協會 資訊服務委外經費估算原則」。</w:t>
      </w:r>
    </w:p>
    <w:p>
      <w:pPr>
        <w:pStyle w:val="Heading1"/>
      </w:pPr>
      <w:r>
        <w:t>4. 專案時程（對齊原建置案 1.4 範本）</w:t>
      </w:r>
    </w:p>
    <w:p>
      <w:pPr>
        <w:pStyle w:val="Heading2"/>
      </w:pPr>
      <w:r>
        <w:t>4.1 預計時程</w:t>
      </w:r>
    </w:p>
    <w:p>
      <w:r>
        <w:t>本專案預計時程為決標日次日起 150/560 日曆天內完成（機關審查期間不計入履約期間）。</w:t>
      </w:r>
    </w:p>
    <w:p>
      <w:pPr>
        <w:pStyle w:val="Heading2"/>
      </w:pPr>
      <w:r>
        <w:t>4.2 各階段時程概述</w:t>
      </w:r>
    </w:p>
    <w:p>
      <w:r>
        <w:rPr>
          <w:b/>
        </w:rPr>
        <w:t>第一階段：履約期間為決標日次日起 85/320 天（不含審查期間）。</w:t>
      </w:r>
    </w:p>
    <w:p>
      <w:pPr>
        <w:pStyle w:val="ListNumber"/>
      </w:pPr>
      <w:r>
        <w:t>需求分析教育訓練、需求訪談及系統分析、系統設計（上述項目須於工作計畫書審查通過次日起 90 日曆天內完成）。</w:t>
      </w:r>
    </w:p>
    <w:p>
      <w:pPr>
        <w:pStyle w:val="ListNumber"/>
      </w:pPr>
      <w:r>
        <w:t>軟體開發、系統測試與操作教育訓練、系統測試（上述項目須於第一階段程式設計書審查通過、機關通知日次日起 150 日曆天內完成）。</w:t>
      </w:r>
    </w:p>
    <w:p>
      <w:pPr>
        <w:pStyle w:val="ListNumber"/>
      </w:pPr>
      <w:r>
        <w:t>第一階段功能上線導入（須於第一階段系統測試報告審查通過、機關通知日次日起 60 日曆天內完成）。</w:t>
      </w:r>
    </w:p>
    <w:p>
      <w:pPr>
        <w:pStyle w:val="ListBullet"/>
      </w:pPr>
      <w:r>
        <w:t>須完成第一階段應交付項目，詳表 3.6-1 及表 3.6-2。</w:t>
      </w:r>
    </w:p>
    <w:p>
      <w:pPr>
        <w:pStyle w:val="ListBullet"/>
      </w:pPr>
      <w:r>
        <w:t>自工作項目(系統測試)啟始日起至本階段查驗合格止，廠商應適當安排專案組織成員協助系統功能測試與上線導入。</w:t>
      </w:r>
    </w:p>
    <w:p>
      <w:pPr>
        <w:pStyle w:val="ListBullet"/>
      </w:pPr>
      <w:r>
        <w:t>須於工作項目(上線導入)到期日前提報第一階段查驗，查驗合格後付款契約價金 50%。</w:t>
      </w:r>
    </w:p>
    <w:p>
      <w:r>
        <w:rPr>
          <w:b/>
        </w:rPr>
        <w:t>第二階段：履約期間為機關通知日次日起 240 天（不含審查期間）。</w:t>
      </w:r>
    </w:p>
    <w:p>
      <w:pPr>
        <w:pStyle w:val="ListNumber"/>
      </w:pPr>
      <w:r>
        <w:t>需求訪談及系統分析、系統設計（須於第一階段查驗通過、機關通知日次日起 60 日曆天內完成）。</w:t>
      </w:r>
    </w:p>
    <w:p>
      <w:pPr>
        <w:pStyle w:val="ListNumber"/>
      </w:pPr>
      <w:r>
        <w:t>軟體開發、系統測試與操作教育訓練、系統測試（須於第二階段程式設計書審查通過、機關通知日次日起 120 日曆天內完成）。</w:t>
      </w:r>
    </w:p>
    <w:p>
      <w:pPr>
        <w:pStyle w:val="ListNumber"/>
      </w:pPr>
      <w:r>
        <w:t>第二階段功能上線導入（須於第二階段系統測試報告審查通過、機關通知日次日起 60 日曆天內完成）。</w:t>
      </w:r>
    </w:p>
    <w:p>
      <w:pPr>
        <w:pStyle w:val="ListBullet"/>
      </w:pPr>
      <w:r>
        <w:t>須完成第二階段應交付項目，詳表 3.6-1 及表 3.6-2。</w:t>
      </w:r>
    </w:p>
    <w:p>
      <w:pPr>
        <w:pStyle w:val="ListBullet"/>
      </w:pPr>
      <w:r>
        <w:t>自工作項目(系統測試)啟始日起至驗收合格止，廠商適當安排專案組織成員協助系統功能測試與上線導入。</w:t>
      </w:r>
    </w:p>
    <w:p>
      <w:pPr>
        <w:pStyle w:val="ListBullet"/>
      </w:pPr>
      <w:r>
        <w:t>須於工作項目(上線導入)到期日前提報竣工，驗收合格後付款契約價金 50%。</w:t>
      </w:r>
    </w:p>
    <w:p>
      <w:pPr>
        <w:pStyle w:val="ListBullet"/>
      </w:pPr>
      <w:r>
        <w:t>全案驗收合格通過日起，提供一年本專案系統保固維運。</w:t>
      </w:r>
    </w:p>
    <w:p>
      <w:pPr>
        <w:pStyle w:val="Heading2"/>
      </w:pPr>
      <w:r>
        <w:t>4.3 各階段完成功能項目一覽表（表 1.4-1）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階段</w:t>
            </w:r>
          </w:p>
        </w:tc>
        <w:tc>
          <w:tcPr>
            <w:tcW w:type="dxa" w:w="2880"/>
          </w:tcPr>
          <w:p>
            <w:r>
              <w:t>模組</w:t>
            </w:r>
          </w:p>
        </w:tc>
        <w:tc>
          <w:tcPr>
            <w:tcW w:type="dxa" w:w="2880"/>
          </w:tcPr>
          <w:p>
            <w:r>
              <w:t>作業</w:t>
            </w:r>
          </w:p>
        </w:tc>
      </w:tr>
      <w:tr>
        <w:tc>
          <w:tcPr>
            <w:tcW w:type="dxa" w:w="2880"/>
          </w:tcPr>
          <w:p>
            <w:r>
              <w:t>第一階段</w:t>
            </w:r>
          </w:p>
        </w:tc>
        <w:tc>
          <w:tcPr>
            <w:tcW w:type="dxa" w:w="2880"/>
          </w:tcPr>
          <w:p>
            <w:r>
              <w:t>共同性</w:t>
            </w:r>
          </w:p>
        </w:tc>
        <w:tc>
          <w:tcPr>
            <w:tcW w:type="dxa" w:w="2880"/>
          </w:tcPr>
          <w:p>
            <w:r>
              <w:t>基本資料管理</w:t>
            </w:r>
          </w:p>
        </w:tc>
      </w:tr>
      <w:tr>
        <w:tc>
          <w:tcPr>
            <w:tcW w:type="dxa" w:w="2880"/>
          </w:tcPr>
          <w:p>
            <w:r>
              <w:t>第一階段</w:t>
            </w:r>
          </w:p>
        </w:tc>
        <w:tc>
          <w:tcPr>
            <w:tcW w:type="dxa" w:w="2880"/>
          </w:tcPr>
          <w:p>
            <w:r>
              <w:t>共同性</w:t>
            </w:r>
          </w:p>
        </w:tc>
        <w:tc>
          <w:tcPr>
            <w:tcW w:type="dxa" w:w="2880"/>
          </w:tcPr>
          <w:p>
            <w:r>
              <w:t>維護管理</w:t>
            </w:r>
          </w:p>
        </w:tc>
      </w:tr>
      <w:tr>
        <w:tc>
          <w:tcPr>
            <w:tcW w:type="dxa" w:w="2880"/>
          </w:tcPr>
          <w:p>
            <w:r>
              <w:t>第一階段</w:t>
            </w:r>
          </w:p>
        </w:tc>
        <w:tc>
          <w:tcPr>
            <w:tcW w:type="dxa" w:w="2880"/>
          </w:tcPr>
          <w:p>
            <w:r>
              <w:t>車務管理</w:t>
            </w:r>
          </w:p>
        </w:tc>
        <w:tc>
          <w:tcPr>
            <w:tcW w:type="dxa" w:w="2880"/>
          </w:tcPr>
          <w:p>
            <w:r>
              <w:t>車務日誌管理</w:t>
            </w:r>
          </w:p>
        </w:tc>
      </w:tr>
      <w:tr>
        <w:tc>
          <w:tcPr>
            <w:tcW w:type="dxa" w:w="2880"/>
          </w:tcPr>
          <w:p>
            <w:r>
              <w:t>第一階段</w:t>
            </w:r>
          </w:p>
        </w:tc>
        <w:tc>
          <w:tcPr>
            <w:tcW w:type="dxa" w:w="2880"/>
          </w:tcPr>
          <w:p>
            <w:r>
              <w:t>車務管理</w:t>
            </w:r>
          </w:p>
        </w:tc>
        <w:tc>
          <w:tcPr>
            <w:tcW w:type="dxa" w:w="2880"/>
          </w:tcPr>
          <w:p>
            <w:r>
              <w:t>線上勤務管理</w:t>
            </w:r>
          </w:p>
        </w:tc>
      </w:tr>
      <w:tr>
        <w:tc>
          <w:tcPr>
            <w:tcW w:type="dxa" w:w="2880"/>
          </w:tcPr>
          <w:p>
            <w:r>
              <w:t>第一階段</w:t>
            </w:r>
          </w:p>
        </w:tc>
        <w:tc>
          <w:tcPr>
            <w:tcW w:type="dxa" w:w="2880"/>
          </w:tcPr>
          <w:p>
            <w:r>
              <w:t>車務管理</w:t>
            </w:r>
          </w:p>
        </w:tc>
        <w:tc>
          <w:tcPr>
            <w:tcW w:type="dxa" w:w="2880"/>
          </w:tcPr>
          <w:p>
            <w:r>
              <w:t>進場管制作業</w:t>
            </w:r>
          </w:p>
        </w:tc>
      </w:tr>
      <w:tr>
        <w:tc>
          <w:tcPr>
            <w:tcW w:type="dxa" w:w="2880"/>
          </w:tcPr>
          <w:p>
            <w:r>
              <w:t>第一階段</w:t>
            </w:r>
          </w:p>
        </w:tc>
        <w:tc>
          <w:tcPr>
            <w:tcW w:type="dxa" w:w="2880"/>
          </w:tcPr>
          <w:p>
            <w:r>
              <w:t>車務管理</w:t>
            </w:r>
          </w:p>
        </w:tc>
        <w:tc>
          <w:tcPr>
            <w:tcW w:type="dxa" w:w="2880"/>
          </w:tcPr>
          <w:p>
            <w:r>
              <w:t>司機員勤務裝備管理</w:t>
            </w:r>
          </w:p>
        </w:tc>
      </w:tr>
      <w:tr>
        <w:tc>
          <w:tcPr>
            <w:tcW w:type="dxa" w:w="2880"/>
          </w:tcPr>
          <w:p>
            <w:r>
              <w:t>第一階段</w:t>
            </w:r>
          </w:p>
        </w:tc>
        <w:tc>
          <w:tcPr>
            <w:tcW w:type="dxa" w:w="2880"/>
          </w:tcPr>
          <w:p>
            <w:r>
              <w:t>行控管理</w:t>
            </w:r>
          </w:p>
        </w:tc>
        <w:tc>
          <w:tcPr>
            <w:tcW w:type="dxa" w:w="2880"/>
          </w:tcPr>
          <w:p>
            <w:r>
              <w:t>例行作業</w:t>
            </w:r>
          </w:p>
        </w:tc>
      </w:tr>
      <w:tr>
        <w:tc>
          <w:tcPr>
            <w:tcW w:type="dxa" w:w="2880"/>
          </w:tcPr>
          <w:p>
            <w:r>
              <w:t>第一階段</w:t>
            </w:r>
          </w:p>
        </w:tc>
        <w:tc>
          <w:tcPr>
            <w:tcW w:type="dxa" w:w="2880"/>
          </w:tcPr>
          <w:p>
            <w:r>
              <w:t>行控管理</w:t>
            </w:r>
          </w:p>
        </w:tc>
        <w:tc>
          <w:tcPr>
            <w:tcW w:type="dxa" w:w="2880"/>
          </w:tcPr>
          <w:p>
            <w:r>
              <w:t>事件管理</w:t>
            </w:r>
          </w:p>
        </w:tc>
      </w:tr>
      <w:tr>
        <w:tc>
          <w:tcPr>
            <w:tcW w:type="dxa" w:w="2880"/>
          </w:tcPr>
          <w:p>
            <w:r>
              <w:t>第一階段</w:t>
            </w:r>
          </w:p>
        </w:tc>
        <w:tc>
          <w:tcPr>
            <w:tcW w:type="dxa" w:w="2880"/>
          </w:tcPr>
          <w:p>
            <w:r>
              <w:t>行控管理</w:t>
            </w:r>
          </w:p>
        </w:tc>
        <w:tc>
          <w:tcPr>
            <w:tcW w:type="dxa" w:w="2880"/>
          </w:tcPr>
          <w:p>
            <w:r>
              <w:t>日誌及報表管理</w:t>
            </w:r>
          </w:p>
        </w:tc>
      </w:tr>
      <w:tr>
        <w:tc>
          <w:tcPr>
            <w:tcW w:type="dxa" w:w="2880"/>
          </w:tcPr>
          <w:p>
            <w:r>
              <w:t>第二階段</w:t>
            </w:r>
          </w:p>
        </w:tc>
        <w:tc>
          <w:tcPr>
            <w:tcW w:type="dxa" w:w="2880"/>
          </w:tcPr>
          <w:p>
            <w:r>
              <w:t>車務管理</w:t>
            </w:r>
          </w:p>
        </w:tc>
        <w:tc>
          <w:tcPr>
            <w:tcW w:type="dxa" w:w="2880"/>
          </w:tcPr>
          <w:p>
            <w:r>
              <w:t>列車管制作業</w:t>
            </w:r>
          </w:p>
        </w:tc>
      </w:tr>
      <w:tr>
        <w:tc>
          <w:tcPr>
            <w:tcW w:type="dxa" w:w="2880"/>
          </w:tcPr>
          <w:p>
            <w:r>
              <w:t>第二階段</w:t>
            </w:r>
          </w:p>
        </w:tc>
        <w:tc>
          <w:tcPr>
            <w:tcW w:type="dxa" w:w="2880"/>
          </w:tcPr>
          <w:p>
            <w:r>
              <w:t>車務管理</w:t>
            </w:r>
          </w:p>
        </w:tc>
        <w:tc>
          <w:tcPr>
            <w:tcW w:type="dxa" w:w="2880"/>
          </w:tcPr>
          <w:p>
            <w:r>
              <w:t>行政管理</w:t>
            </w:r>
          </w:p>
        </w:tc>
      </w:tr>
      <w:tr>
        <w:tc>
          <w:tcPr>
            <w:tcW w:type="dxa" w:w="2880"/>
          </w:tcPr>
          <w:p>
            <w:r>
              <w:t>第二階段</w:t>
            </w:r>
          </w:p>
        </w:tc>
        <w:tc>
          <w:tcPr>
            <w:tcW w:type="dxa" w:w="2880"/>
          </w:tcPr>
          <w:p>
            <w:r>
              <w:t>車務管理</w:t>
            </w:r>
          </w:p>
        </w:tc>
        <w:tc>
          <w:tcPr>
            <w:tcW w:type="dxa" w:w="2880"/>
          </w:tcPr>
          <w:p>
            <w:r>
              <w:t>事故資料管理</w:t>
            </w:r>
          </w:p>
        </w:tc>
      </w:tr>
      <w:tr>
        <w:tc>
          <w:tcPr>
            <w:tcW w:type="dxa" w:w="2880"/>
          </w:tcPr>
          <w:p>
            <w:r>
              <w:t>第二階段</w:t>
            </w:r>
          </w:p>
        </w:tc>
        <w:tc>
          <w:tcPr>
            <w:tcW w:type="dxa" w:w="2880"/>
          </w:tcPr>
          <w:p>
            <w:r>
              <w:t>行控管理</w:t>
            </w:r>
          </w:p>
        </w:tc>
        <w:tc>
          <w:tcPr>
            <w:tcW w:type="dxa" w:w="2880"/>
          </w:tcPr>
          <w:p>
            <w:r>
              <w:t>輔助資訊管理</w:t>
            </w:r>
          </w:p>
        </w:tc>
      </w:tr>
      <w:tr>
        <w:tc>
          <w:tcPr>
            <w:tcW w:type="dxa" w:w="2880"/>
          </w:tcPr>
          <w:p>
            <w:r>
              <w:t>第二階段</w:t>
            </w:r>
          </w:p>
        </w:tc>
        <w:tc>
          <w:tcPr>
            <w:tcW w:type="dxa" w:w="2880"/>
          </w:tcPr>
          <w:p>
            <w:r>
              <w:t>行控管理</w:t>
            </w:r>
          </w:p>
        </w:tc>
        <w:tc>
          <w:tcPr>
            <w:tcW w:type="dxa" w:w="2880"/>
          </w:tcPr>
          <w:p>
            <w:r>
              <w:t>行政管理</w:t>
            </w:r>
          </w:p>
        </w:tc>
      </w:tr>
      <w:tr>
        <w:tc>
          <w:tcPr>
            <w:tcW w:type="dxa" w:w="2880"/>
          </w:tcPr>
          <w:p>
            <w:r>
              <w:t>第二階段</w:t>
            </w:r>
          </w:p>
        </w:tc>
        <w:tc>
          <w:tcPr>
            <w:tcW w:type="dxa" w:w="2880"/>
          </w:tcPr>
          <w:p>
            <w:r>
              <w:t>行控管理</w:t>
            </w:r>
          </w:p>
        </w:tc>
        <w:tc>
          <w:tcPr>
            <w:tcW w:type="dxa" w:w="2880"/>
          </w:tcPr>
          <w:p>
            <w:r>
              <w:t>簡訊管理</w:t>
            </w:r>
          </w:p>
        </w:tc>
      </w:tr>
    </w:tbl>
    <w:p>
      <w:pPr>
        <w:pStyle w:val="Heading1"/>
      </w:pPr>
      <w:r>
        <w:t>附錄 A：功能需求說明（整理）</w:t>
      </w:r>
    </w:p>
    <w:p>
      <w:pPr>
        <w:pStyle w:val="Heading2"/>
      </w:pPr>
      <w:r>
        <w:t>A. 與進場管制相關（節錄與歸納）</w:t>
      </w:r>
    </w:p>
    <w:p>
      <w:pPr>
        <w:pStyle w:val="ListNumber"/>
      </w:pPr>
      <w:r>
        <w:t>功能表分類與名稱優化：配合組織異動與使用習慣調整左側頁籤分類/中文名稱（含權限設定）。</w:t>
      </w:r>
    </w:p>
    <w:p>
      <w:pPr>
        <w:pStyle w:val="ListNumber"/>
      </w:pPr>
      <w:r>
        <w:t>車務進場申請作業：進場區域調整（移除「機廠軌道區」「重要機房區」）。</w:t>
      </w:r>
    </w:p>
    <w:p>
      <w:pPr>
        <w:pStyle w:val="ListNumber"/>
      </w:pPr>
      <w:r>
        <w:t>行控進場申請作業（機廠）：參照 toc050103 設計；進場區域含「機廠軌道區」「機廠重要機房區」。</w:t>
      </w:r>
    </w:p>
    <w:p>
      <w:pPr>
        <w:pStyle w:val="ListNumber"/>
      </w:pPr>
      <w:r>
        <w:t>行控進場申請審核作業優化：多日進場工單，未進場之日期可修改。</w:t>
      </w:r>
    </w:p>
    <w:p>
      <w:pPr>
        <w:pStyle w:val="ListNumber"/>
      </w:pPr>
      <w:r>
        <w:t>行控進場申請審核作業（機廠）：參照 toc050107 設計。</w:t>
      </w:r>
    </w:p>
    <w:p>
      <w:pPr>
        <w:pStyle w:val="ListNumber"/>
      </w:pPr>
      <w:r>
        <w:t>行控核發授權碼作業（機廠）：參照 toc050203 設計。</w:t>
      </w:r>
    </w:p>
    <w:p>
      <w:pPr>
        <w:pStyle w:val="ListNumber"/>
      </w:pPr>
      <w:r>
        <w:t>授權碼進場分佈圖（青埔/蘆竹機廠）：與「行控核發授權碼作業（機廠）」連動，呈現授權碼、防護措施（SCD、ETS、EBW）、斷電資料、工程車路徑等。</w:t>
      </w:r>
    </w:p>
    <w:p>
      <w:pPr>
        <w:pStyle w:val="ListNumber"/>
      </w:pPr>
      <w:r>
        <w:t>授權碼進場分佈圖（正線軌道）：新增 A22 老街溪、A23 中壢車站於分布圖；呈現授權碼、防護措施、斷電資料、工程車路徑位置。</w:t>
      </w:r>
    </w:p>
    <w:p>
      <w:pPr>
        <w:pStyle w:val="ListNumber"/>
      </w:pPr>
      <w:r>
        <w:t>進場類型申請時限設定：行控中心新增「機廠」「綠線」設定群組；開放申請日期區間可指定（如春節前兩週）。</w:t>
      </w:r>
    </w:p>
    <w:p>
      <w:pPr>
        <w:pStyle w:val="ListNumber"/>
      </w:pPr>
      <w:r>
        <w:t>行控進場申請作業（綠線）：參照 toc050103 設計，原則不區分正線與機廠（區域類別待討論）。</w:t>
      </w:r>
    </w:p>
    <w:p>
      <w:pPr>
        <w:pStyle w:val="ListNumber"/>
      </w:pPr>
      <w:r>
        <w:t>行控進場申請審核作業（綠線）：參照 toc050107 設計。</w:t>
      </w:r>
    </w:p>
    <w:p>
      <w:pPr>
        <w:pStyle w:val="ListNumber"/>
      </w:pPr>
      <w:r>
        <w:t>行控核發授權碼作業（綠線）：參照 toc050203 設計。</w:t>
      </w:r>
    </w:p>
    <w:p>
      <w:pPr>
        <w:pStyle w:val="ListNumber"/>
      </w:pPr>
      <w:r>
        <w:t>授權碼進場分佈圖（綠線）：參照 toc050206 設計；圖面分為「綠線」「北機廠」。</w:t>
      </w:r>
    </w:p>
    <w:p>
      <w:pPr>
        <w:pStyle w:val="ListNumber"/>
      </w:pPr>
      <w:r>
        <w:t>進場率統計作業：行控中心新增「機廠」「綠線」統計群組。</w:t>
      </w:r>
    </w:p>
    <w:p>
      <w:pPr>
        <w:pStyle w:val="ListNumber"/>
      </w:pPr>
      <w:r>
        <w:t>機廠調車申請/查詢/審核作業：分別參照 toc040301/040302/040303 設計（待需求討論）。</w:t>
      </w:r>
    </w:p>
    <w:p>
      <w:pPr>
        <w:pStyle w:val="Heading2"/>
      </w:pPr>
      <w:r>
        <w:t>B. 與行控相關（節錄與歸納）</w:t>
      </w:r>
    </w:p>
    <w:p>
      <w:pPr>
        <w:pStyle w:val="ListNumber"/>
      </w:pPr>
      <w:r>
        <w:t>新增 2 個 DC 席位（名稱待定），並新增該席位之營運前檢查（occ0201）與席位交接檢查表（occ0202），可搜尋。</w:t>
      </w:r>
    </w:p>
    <w:p>
      <w:pPr>
        <w:pStyle w:val="ListNumber"/>
      </w:pPr>
      <w:r>
        <w:t>功能分類整理優化：首頁與左側頁籤分類整理（含權限設定）。</w:t>
      </w:r>
    </w:p>
    <w:p>
      <w:pPr>
        <w:pStyle w:val="ListNumber"/>
      </w:pPr>
      <w:r>
        <w:t>斷復電管理／設定：TSS 參數新增機廠區域供電設備。</w:t>
      </w:r>
    </w:p>
    <w:p>
      <w:pPr>
        <w:pStyle w:val="ListNumber"/>
      </w:pPr>
      <w:r>
        <w:t>交接事項：改為資料庫共用交接內容並重新規劃表格；新增 2 個 DC 席位。</w:t>
      </w:r>
    </w:p>
    <w:p>
      <w:pPr>
        <w:pStyle w:val="ListNumber"/>
      </w:pPr>
      <w:r>
        <w:t>報修事件：配合新版維修管理系統（MMS）更新（是否提供 API 介接待討論）。</w:t>
      </w:r>
    </w:p>
    <w:p>
      <w:pPr>
        <w:pStyle w:val="ListNumber"/>
      </w:pPr>
      <w:r>
        <w:t>監控資訊管理：版面優化，網址加入小標題超連結，簡化版面文字。</w:t>
      </w:r>
    </w:p>
    <w:p>
      <w:pPr>
        <w:pStyle w:val="ListNumber"/>
      </w:pPr>
      <w:r>
        <w:t>航班資訊：新增「代碼對照表」，使用者可維護航空公司與目的地代碼中文名稱。</w:t>
      </w:r>
    </w:p>
    <w:p>
      <w:pPr>
        <w:pStyle w:val="ListNumber"/>
      </w:pPr>
      <w:r>
        <w:t>發車提醒：增加文字語音播報功能。</w:t>
      </w:r>
    </w:p>
    <w:p>
      <w:pPr>
        <w:pStyle w:val="ListNumber"/>
      </w:pPr>
      <w:r>
        <w:t>故障代碼管理：新增「機廠發車與否」欄位。</w:t>
      </w:r>
    </w:p>
    <w:p>
      <w:pPr>
        <w:pStyle w:val="ListNumber"/>
      </w:pPr>
      <w:r>
        <w:t>收車/發車/調車紀錄表：分別參考 toc040401、toc040402、toc040403 設計（含 toc040701 代碼參數設定，待討論）。</w:t>
      </w:r>
    </w:p>
    <w:p>
      <w:pPr>
        <w:pStyle w:val="ListNumber"/>
      </w:pPr>
      <w:r>
        <w:t>車輛調度查詢作業：參考 toc040404 設計（待討論）。</w:t>
      </w:r>
    </w:p>
    <w:p>
      <w:pPr>
        <w:pStyle w:val="ListNumber"/>
      </w:pPr>
      <w:r>
        <w:t>列車狀況及紀錄：參考 toc040405 設計（待討論）。</w:t>
      </w:r>
    </w:p>
    <w:p>
      <w:pPr>
        <w:pStyle w:val="ListNumber"/>
      </w:pPr>
      <w:r>
        <w:t>車組駐車位置調整：參考 toc040703 設計（待討論）。</w:t>
      </w:r>
    </w:p>
    <w:p>
      <w:pPr>
        <w:pStyle w:val="Heading1"/>
      </w:pPr>
      <w:r>
        <w:t>6. 備註與付款條件</w:t>
      </w:r>
    </w:p>
    <w:p>
      <w:pPr>
        <w:pStyle w:val="ListNumber"/>
      </w:pPr>
      <w:r>
        <w:t>專案工作內容詳附件「功能需求說明」，未盡事宜由雙方另行商議。</w:t>
      </w:r>
    </w:p>
    <w:p>
      <w:pPr>
        <w:pStyle w:val="ListNumber"/>
      </w:pPr>
      <w:r>
        <w:t>參與本專案人員：專案經理、前端設計師、系統工程師、程式設計師、資安督導（共計 5 位）。</w:t>
      </w:r>
    </w:p>
    <w:p>
      <w:pPr>
        <w:pStyle w:val="ListNumber"/>
      </w:pPr>
      <w:r>
        <w:t>付款條件：依契約條款分階段交付驗收，合格後支付該期約定款項。</w:t>
      </w:r>
    </w:p>
    <w:p>
      <w:pPr>
        <w:pStyle w:val="ListNumber"/>
      </w:pPr>
      <w:r>
        <w:t>報價不含系統開發/建置所需硬體環境（設備）及作業系統、資料庫等第三方軟體授權費用。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