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Milestone 2.5: Synthesis: One Cohort, A Whole Semester</w:t>
      </w:r>
    </w:p>
    <w:p>
      <w:pPr>
        <w:pStyle w:val="Subtitle"/>
      </w:pPr>
      <w:r>
        <w:t xml:space="preserve">INFO 521 · Machine Learning Foundations · project milestone brief · From Inference to Discovery · Synthesis</w:t>
      </w:r>
    </w:p>
    <w:p>
      <w:pPr>
        <w:pStyle w:val="FirstParagraph"/>
      </w:pPr>
      <w:r>
        <w:rPr>
          <w:b/>
          <w:bCs/>
        </w:rPr>
        <w:t xml:space="preserve">How to read this.</w:t>
      </w:r>
      <w:r>
        <w:t xml:space="preserve"> </w:t>
      </w:r>
      <w:r>
        <w:t xml:space="preserve">This is the assignment brief for one project milestone. The Satisfactory criteria below are authoritative: every one must be met, and it is all-or-nothing rather than partial credit. A Not-Yet returns with targeted feedback and one revise cycle. Do the work in the notebook distributed through Classroom 50; this PDF is the brief, not the workspace.</w:t>
      </w:r>
    </w:p>
    <w:p>
      <w:pPr>
        <w:pStyle w:val="BodyText"/>
      </w:pPr>
      <w:r>
        <w:rPr>
          <w:b/>
          <w:bCs/>
        </w:rPr>
        <w:t xml:space="preserve">Course-schedule placement.</w:t>
      </w:r>
      <w:r>
        <w:t xml:space="preserve"> </w:t>
      </w:r>
      <w:r>
        <w:t xml:space="preserve">Part 2 of the project: begins at the midpoint, due Week 7.5. This milestone covers M5 to M7 and is due Week 7.5. Gated by structured peer review (synthesis).</w:t>
      </w:r>
    </w:p>
    <w:bookmarkStart w:id="20" w:name="the-whole-arc"/>
    <w:p>
      <w:pPr>
        <w:pStyle w:val="Heading2"/>
      </w:pPr>
      <w:r>
        <w:t xml:space="preserve">The whole arc</w:t>
      </w:r>
    </w:p>
    <w:p>
      <w:pPr>
        <w:pStyle w:val="FirstParagraph"/>
      </w:pPr>
      <w:r>
        <w:t xml:space="preserve">One cohort has carried every method this semester. You met it as a regression</w:t>
      </w:r>
      <w:r>
        <w:t xml:space="preserve"> </w:t>
      </w:r>
      <w:r>
        <w:t xml:space="preserve">problem (</w:t>
      </w:r>
      <w:r>
        <w:rPr>
          <w:i/>
          <w:iCs/>
        </w:rPr>
        <w:t xml:space="preserve">how does systolic BP change with age?</w:t>
      </w:r>
      <w:r>
        <w:t xml:space="preserve">) and answered it three ways</w:t>
      </w:r>
      <w:r>
        <w:t xml:space="preserve"> </w:t>
      </w:r>
      <w:r>
        <w:t xml:space="preserve">(least squares, maximum likelihood, Bayesian). Part 2 turned the</w:t>
      </w:r>
      <w:r>
        <w:t xml:space="preserve"> </w:t>
      </w:r>
      <w:r>
        <w:rPr>
          <w:b/>
          <w:bCs/>
        </w:rPr>
        <w:t xml:space="preserve">same patients</w:t>
      </w:r>
      <w:r>
        <w:t xml:space="preserve"> </w:t>
      </w:r>
      <w:r>
        <w:t xml:space="preserve">into a classification problem (</w:t>
      </w:r>
      <w:r>
        <w:rPr>
          <w:i/>
          <w:iCs/>
        </w:rPr>
        <w:t xml:space="preserve">who is hypertensive?</w:t>
      </w:r>
      <w:r>
        <w:t xml:space="preserve">), answered it two ways</w:t>
      </w:r>
      <w:r>
        <w:t xml:space="preserve"> </w:t>
      </w:r>
      <w:r>
        <w:t xml:space="preserve">(probabilistic vs. margin), then dropped the labels entirely and asked whether the</w:t>
      </w:r>
      <w:r>
        <w:t xml:space="preserve"> </w:t>
      </w:r>
      <w:r>
        <w:t xml:space="preserve">structure was there all along. This synthesis makes that arc a single, argued story.</w:t>
      </w:r>
    </w:p>
    <w:p>
      <w:pPr>
        <w:pStyle w:val="BlockText"/>
      </w:pPr>
      <w:r>
        <w:rPr>
          <w:b/>
          <w:bCs/>
        </w:rPr>
        <w:t xml:space="preserve">Ground rules.</w:t>
      </w:r>
      <w:r>
        <w:t xml:space="preserve"> </w:t>
      </w:r>
      <w:r>
        <w:t xml:space="preserve">Reuse</w:t>
      </w:r>
      <w:r>
        <w:t xml:space="preserve"> </w:t>
      </w:r>
      <w:r>
        <w:rPr>
          <w:b/>
          <w:bCs/>
        </w:rPr>
        <w:t xml:space="preserve">your own</w:t>
      </w:r>
      <w:r>
        <w:t xml:space="preserve"> </w:t>
      </w:r>
      <w:r>
        <w:t xml:space="preserve">from-scratch implementations from 1.1–2.4:</w:t>
      </w:r>
      <w:r>
        <w:t xml:space="preserve"> </w:t>
      </w:r>
      <w:r>
        <w:t xml:space="preserve">import your modules or copy your functions. No scikit-learn or off-the-shelf</w:t>
      </w:r>
      <w:r>
        <w:t xml:space="preserve"> </w:t>
      </w:r>
      <w:r>
        <w:t xml:space="preserve">solvers, here or anywhere upstream.</w:t>
      </w:r>
      <w:r>
        <w:t xml:space="preserve"> </w:t>
      </w:r>
      <w:r>
        <w:rPr>
          <w:rStyle w:val="VerbatimChar"/>
        </w:rPr>
        <w:t xml:space="preserve">info521</w:t>
      </w:r>
      <w:r>
        <w:t xml:space="preserve"> </w:t>
      </w:r>
      <w:r>
        <w:t xml:space="preserve">stays plumbing-only.</w:t>
      </w:r>
    </w:p>
    <w:bookmarkEnd w:id="20"/>
    <w:bookmarkStart w:id="21" w:name="what-satisfactory-means-for-2.5"/>
    <w:p>
      <w:pPr>
        <w:pStyle w:val="Heading2"/>
      </w:pPr>
      <w:r>
        <w:t xml:space="preserve">What</w:t>
      </w:r>
      <w:r>
        <w:t xml:space="preserve"> </w:t>
      </w:r>
      <w:r>
        <w:t xml:space="preserve">“Satisfactory”</w:t>
      </w:r>
      <w:r>
        <w:t xml:space="preserve"> </w:t>
      </w:r>
      <w:r>
        <w:t xml:space="preserve">means for 2.5</w:t>
      </w:r>
    </w:p>
    <w:p>
      <w:pPr>
        <w:pStyle w:val="Compact"/>
        <w:numPr>
          <w:ilvl w:val="0"/>
          <w:numId w:val="1001"/>
        </w:numPr>
      </w:pPr>
      <w:r>
        <w:t xml:space="preserve">You tell</w:t>
      </w:r>
      <w:r>
        <w:t xml:space="preserve"> </w:t>
      </w:r>
      <w:r>
        <w:rPr>
          <w:b/>
          <w:bCs/>
        </w:rPr>
        <w:t xml:space="preserve">one narrative across the whole semester on the same cohort</w:t>
      </w:r>
      <w:r>
        <w:t xml:space="preserve">:</w:t>
      </w:r>
      <w:r>
        <w:t xml:space="preserve"> </w:t>
      </w:r>
      <w:r>
        <w:t xml:space="preserve">P1 regression (age → SBP, three lenses) → Gate A supervised hypertension</w:t>
      </w:r>
      <w:r>
        <w:t xml:space="preserve"> </w:t>
      </w:r>
      <w:r>
        <w:t xml:space="preserve">classification (probabilistic vs. margin) → Gate B unsupervised structure</w:t>
      </w:r>
      <w:r>
        <w:t xml:space="preserve"> </w:t>
      </w:r>
      <w:r>
        <w:t xml:space="preserve">(does it recover the strata?).</w:t>
      </w:r>
    </w:p>
    <w:p>
      <w:pPr>
        <w:pStyle w:val="Compact"/>
        <w:numPr>
          <w:ilvl w:val="0"/>
          <w:numId w:val="1002"/>
        </w:numPr>
      </w:pPr>
      <w:r>
        <w:t xml:space="preserve">You</w:t>
      </w:r>
      <w:r>
        <w:t xml:space="preserve"> </w:t>
      </w:r>
      <w:r>
        <w:rPr>
          <w:b/>
          <w:bCs/>
        </w:rPr>
        <w:t xml:space="preserve">argue supervised vs. unsupervised framing</w:t>
      </w:r>
      <w:r>
        <w:t xml:space="preserve">: what question each mode</w:t>
      </w:r>
      <w:r>
        <w:t xml:space="preserve"> </w:t>
      </w:r>
      <w:r>
        <w:t xml:space="preserve">answers, how the methods relate, and which you would reach for given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clinical question.</w:t>
      </w:r>
    </w:p>
    <w:p>
      <w:pPr>
        <w:pStyle w:val="Compact"/>
        <w:numPr>
          <w:ilvl w:val="0"/>
          <w:numId w:val="1003"/>
        </w:numPr>
      </w:pPr>
      <w:r>
        <w:t xml:space="preserve">The notebook</w:t>
      </w:r>
      <w:r>
        <w:t xml:space="preserve"> </w:t>
      </w:r>
      <w:r>
        <w:rPr>
          <w:b/>
          <w:bCs/>
        </w:rPr>
        <w:t xml:space="preserve">runs end-to-end</w:t>
      </w:r>
      <w:r>
        <w:t xml:space="preserve"> </w:t>
      </w:r>
      <w:r>
        <w:t xml:space="preserve">against the pinned environment.</w:t>
      </w:r>
    </w:p>
    <w:p>
      <w:pPr>
        <w:pStyle w:val="Compact"/>
        <w:numPr>
          <w:ilvl w:val="0"/>
          <w:numId w:val="1004"/>
        </w:numPr>
      </w:pPr>
      <w:r>
        <w:t xml:space="preserve">Structured</w:t>
      </w:r>
      <w:r>
        <w:t xml:space="preserve"> </w:t>
      </w:r>
      <w:r>
        <w:rPr>
          <w:b/>
          <w:bCs/>
        </w:rPr>
        <w:t xml:space="preserve">peer review</w:t>
      </w:r>
      <w:r>
        <w:t xml:space="preserve"> </w:t>
      </w:r>
      <w:r>
        <w:t xml:space="preserve">completed (rubric posted on D2L).</w:t>
      </w:r>
    </w:p>
    <w:p>
      <w:r>
        <w:pict>
          <v:rect style="width:0;height:1.5pt" o:hralign="center" o:hrstd="t" o:hr="t"/>
        </w:pict>
      </w:r>
    </w:p>
    <w:bookmarkEnd w:id="21"/>
    <w:bookmarkStart w:id="22" w:name="setup"/>
    <w:p>
      <w:pPr>
        <w:pStyle w:val="Heading2"/>
      </w:pPr>
      <w:r>
        <w:t xml:space="preserve">Setup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info521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data, plotting</w:t>
      </w:r>
      <w:r>
        <w:br/>
      </w:r>
      <w:r>
        <w:br/>
      </w:r>
      <w:r>
        <w:rPr>
          <w:rStyle w:val="NormalTok"/>
        </w:rPr>
        <w:t xml:space="preserve">plotting.use_course_style()</w:t>
      </w:r>
      <w:r>
        <w:br/>
      </w:r>
      <w:r>
        <w:rPr>
          <w:rStyle w:val="NormalTok"/>
        </w:rPr>
        <w:t xml:space="preserve">ds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data.load_clinical()</w:t>
      </w:r>
      <w:r>
        <w:br/>
      </w:r>
      <w:r>
        <w:br/>
      </w:r>
      <w:r>
        <w:rPr>
          <w:rStyle w:val="NormalTok"/>
        </w:rPr>
        <w:t xml:space="preserve">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data.primary_predictor(ds)      </w:t>
      </w:r>
      <w:r>
        <w:rPr>
          <w:rStyle w:val="CommentTok"/>
        </w:rPr>
        <w:t xml:space="preserve"># P1's single predictor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]                           </w:t>
      </w:r>
      <w:r>
        <w:rPr>
          <w:rStyle w:val="CommentTok"/>
        </w:rPr>
        <w:t xml:space="preserve"># Gate A/B six-feature space (non-BP)</w:t>
      </w:r>
      <w:r>
        <w:br/>
      </w:r>
      <w:r>
        <w:rPr>
          <w:rStyle w:val="NormalTok"/>
        </w:rPr>
        <w:t xml:space="preserve">sbp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ds[</w:t>
      </w:r>
      <w:r>
        <w:rPr>
          <w:rStyle w:val="StringTok"/>
        </w:rPr>
        <w:t xml:space="preserve">"y"</w:t>
      </w:r>
      <w:r>
        <w:rPr>
          <w:rStyle w:val="NormalTok"/>
        </w:rPr>
        <w:t xml:space="preserve">]                         </w:t>
      </w:r>
      <w:r>
        <w:rPr>
          <w:rStyle w:val="CommentTok"/>
        </w:rPr>
        <w:t xml:space="preserve"># P1 continuous target</w:t>
      </w:r>
      <w:r>
        <w:br/>
      </w:r>
      <w:r>
        <w:rPr>
          <w:rStyle w:val="NormalTok"/>
        </w:rPr>
        <w:t xml:space="preserve">labels, rule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data.hypertension(ds)  </w:t>
      </w:r>
      <w:r>
        <w:rPr>
          <w:rStyle w:val="CommentTok"/>
        </w:rPr>
        <w:t xml:space="preserve"># Gate A label / Gate B reveal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X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shape[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patients · features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ds[</w:t>
      </w:r>
      <w:r>
        <w:rPr>
          <w:rStyle w:val="StringTok"/>
        </w:rPr>
        <w:t xml:space="preserve">'features'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f"P1 target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ds[</w:t>
      </w:r>
      <w:r>
        <w:rPr>
          <w:rStyle w:val="StringTok"/>
        </w:rPr>
        <w:t xml:space="preserve">'target'</w:t>
      </w:r>
      <w:r>
        <w:rPr>
          <w:rStyle w:val="NormalTok"/>
        </w:rPr>
        <w:t xml:space="preserve">]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 (SBP) · P2 label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rule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the-arc-in-one-figure"/>
    <w:p>
      <w:pPr>
        <w:pStyle w:val="Heading2"/>
      </w:pPr>
      <w:r>
        <w:t xml:space="preserve">1 · The arc in one figure</w:t>
      </w:r>
    </w:p>
    <w:p>
      <w:pPr>
        <w:pStyle w:val="FirstParagraph"/>
      </w:pPr>
      <w:r>
        <w:t xml:space="preserve">Assemble a</w:t>
      </w:r>
      <w:r>
        <w:t xml:space="preserve"> </w:t>
      </w:r>
      <w:r>
        <w:rPr>
          <w:b/>
          <w:bCs/>
        </w:rPr>
        <w:t xml:space="preserve">single multi-panel figure</w:t>
      </w:r>
      <w:r>
        <w:t xml:space="preserve"> </w:t>
      </w:r>
      <w:r>
        <w:t xml:space="preserve">that walks the semester on this one cohort.</w:t>
      </w:r>
      <w:r>
        <w:t xml:space="preserve"> </w:t>
      </w:r>
      <w:r>
        <w:t xml:space="preserve">A clean three-panel layout: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Panel A: Part 1 (regression).</w:t>
      </w:r>
      <w:r>
        <w:t xml:space="preserve"> </w:t>
      </w:r>
      <w:r>
        <w:t xml:space="preserve">age → SBP with your best fit and a</w:t>
      </w:r>
      <w:r>
        <w:t xml:space="preserve"> </w:t>
      </w:r>
      <w:r>
        <w:t xml:space="preserve">posterior-predictive band (the three-lens result from 1.4).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Panel B: Gate A (supervised).</w:t>
      </w:r>
      <w:r>
        <w:t xml:space="preserve"> </w:t>
      </w:r>
      <w:r>
        <w:t xml:space="preserve">the hypertension decision viewed on two</w:t>
      </w:r>
      <w:r>
        <w:t xml:space="preserve"> </w:t>
      </w:r>
      <w:r>
        <w:t xml:space="preserve">features (your Bayesian-logistic probability surface and the SVM margin on the</w:t>
      </w:r>
      <w:r>
        <w:t xml:space="preserve"> </w:t>
      </w:r>
      <w:r>
        <w:t xml:space="preserve">same axes) with precision/recall/F1 reported.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Panel C: Gate B (unsupervised).</w:t>
      </w:r>
      <w:r>
        <w:t xml:space="preserve"> </w:t>
      </w:r>
      <w:r>
        <w:t xml:space="preserve">the PCA projection from 2.4 colored by your</w:t>
      </w:r>
      <w:r>
        <w:t xml:space="preserve"> </w:t>
      </w:r>
      <w:r>
        <w:t xml:space="preserve">k-means clusters, with the hypertension label alongside.</w:t>
      </w:r>
    </w:p>
    <w:p>
      <w:pPr>
        <w:pStyle w:val="SourceCode"/>
      </w:pPr>
      <w:r>
        <w:rPr>
          <w:rStyle w:val="CommentTok"/>
        </w:rPr>
        <w:t xml:space="preserve"># </w:t>
      </w:r>
      <w:r>
        <w:rPr>
          <w:rStyle w:val="AlertTok"/>
        </w:rPr>
        <w:t xml:space="preserve">TODO</w:t>
      </w:r>
      <w:r>
        <w:rPr>
          <w:rStyle w:val="CommentTok"/>
        </w:rPr>
        <w:t xml:space="preserve">: import/copy your fitted models from 1.4, 2.1/2.2, 2.3/2.4 and draw the</w:t>
      </w:r>
      <w:r>
        <w:br/>
      </w:r>
      <w:r>
        <w:rPr>
          <w:rStyle w:val="CommentTok"/>
        </w:rPr>
        <w:t xml:space="preserve"># three panels. This is integration, not re-derivation: reuse your own code.</w:t>
      </w:r>
    </w:p>
    <w:bookmarkEnd w:id="23"/>
    <w:bookmarkStart w:id="24" w:name="the-argument"/>
    <w:p>
      <w:pPr>
        <w:pStyle w:val="Heading2"/>
      </w:pPr>
      <w:r>
        <w:t xml:space="preserve">2 · The argument</w:t>
      </w:r>
    </w:p>
    <w:p>
      <w:pPr>
        <w:pStyle w:val="FirstParagraph"/>
      </w:pPr>
      <w:r>
        <w:t xml:space="preserve">Address, in prose (≈500–800 words total):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Supervised vs. unsupervised.</w:t>
      </w:r>
      <w:r>
        <w:t xml:space="preserve"> </w:t>
      </w:r>
      <w:r>
        <w:t xml:space="preserve">What question does each</w:t>
      </w:r>
      <w:r>
        <w:t xml:space="preserve"> </w:t>
      </w:r>
      <w:r>
        <w:rPr>
          <w:i/>
          <w:iCs/>
        </w:rPr>
        <w:t xml:space="preserve">mode</w:t>
      </w:r>
      <w:r>
        <w:t xml:space="preserve"> </w:t>
      </w:r>
      <w:r>
        <w:t xml:space="preserve">answer? Gate A</w:t>
      </w:r>
      <w:r>
        <w:t xml:space="preserve"> </w:t>
      </w:r>
      <w:r>
        <w:t xml:space="preserve">was handed a target and asked to predict it; Gate B was handed nothing and asked</w:t>
      </w:r>
      <w:r>
        <w:t xml:space="preserve"> </w:t>
      </w:r>
      <w:r>
        <w:t xml:space="preserve">to find structure. State precisely what each can and cannot tell a clinician.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How the methods relate.</w:t>
      </w:r>
      <w:r>
        <w:t xml:space="preserve"> </w:t>
      </w:r>
      <w:r>
        <w:t xml:space="preserve">Trace the throughline: the conjugate Gaussian</w:t>
      </w:r>
      <w:r>
        <w:t xml:space="preserve"> </w:t>
      </w:r>
      <w:r>
        <w:t xml:space="preserve">posterior of 1.3 → its deliberate break in 2.1 (approximate inference) → the</w:t>
      </w:r>
      <w:r>
        <w:t xml:space="preserve"> </w:t>
      </w:r>
      <w:r>
        <w:t xml:space="preserve">discriminative reframing in 2.2 (margin, not probability) → structure without</w:t>
      </w:r>
      <w:r>
        <w:t xml:space="preserve"> </w:t>
      </w:r>
      <w:r>
        <w:t xml:space="preserve">labels in 2.3–2.4. Where does each method sit on the axes of</w:t>
      </w:r>
      <w:r>
        <w:t xml:space="preserve"> </w:t>
      </w:r>
      <w:r>
        <w:rPr>
          <w:i/>
          <w:iCs/>
        </w:rPr>
        <w:t xml:space="preserve">probabilistic ↔ geometric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supervised ↔ unsupervised</w:t>
      </w:r>
      <w:r>
        <w:t xml:space="preserve">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Recovery.</w:t>
      </w:r>
      <w:r>
        <w:t xml:space="preserve"> </w:t>
      </w:r>
      <w:r>
        <w:t xml:space="preserve">Did the unsupervised subgroups recover the hypertension strata</w:t>
      </w:r>
      <w:r>
        <w:t xml:space="preserve"> </w:t>
      </w:r>
      <w:r>
        <w:t xml:space="preserve">(your 2.3 cross-tab and 2.4 projection)? What does the answer (full, partial, or</w:t>
      </w:r>
      <w:r>
        <w:t xml:space="preserve"> </w:t>
      </w:r>
      <w:r>
        <w:t xml:space="preserve">none) say about whether clinical structure is</w:t>
      </w:r>
      <w:r>
        <w:t xml:space="preserve"> </w:t>
      </w:r>
      <w:r>
        <w:rPr>
          <w:i/>
          <w:iCs/>
        </w:rPr>
        <w:t xml:space="preserve">geometric</w:t>
      </w:r>
      <w:r>
        <w:t xml:space="preserve"> </w:t>
      </w:r>
      <w:r>
        <w:t xml:space="preserve">structure?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Choice.</w:t>
      </w:r>
      <w:r>
        <w:t xml:space="preserve"> </w:t>
      </w:r>
      <w:r>
        <w:t xml:space="preserve">Given a</w:t>
      </w:r>
      <w:r>
        <w:t xml:space="preserve"> </w:t>
      </w:r>
      <w:r>
        <w:rPr>
          <w:b/>
          <w:bCs/>
        </w:rPr>
        <w:t xml:space="preserve">new</w:t>
      </w:r>
      <w:r>
        <w:t xml:space="preserve"> </w:t>
      </w:r>
      <w:r>
        <w:t xml:space="preserve">clinical question on this cohort (you state it),</w:t>
      </w:r>
      <w:r>
        <w:t xml:space="preserve"> </w:t>
      </w:r>
      <w:r>
        <w:t xml:space="preserve">which lens/mode would you reach for first, and why?</w:t>
      </w:r>
    </w:p>
    <w:bookmarkEnd w:id="24"/>
    <w:bookmarkStart w:id="28" w:name="reflection-1-paragraph"/>
    <w:p>
      <w:pPr>
        <w:pStyle w:val="Heading2"/>
      </w:pPr>
      <w:r>
        <w:t xml:space="preserve">3 · Reflection (1 paragraph)</w:t>
      </w:r>
    </w:p>
    <w:p>
      <w:pPr>
        <w:pStyle w:val="FirstParagraph"/>
      </w:pPr>
      <w:r>
        <w:t xml:space="preserve">Across the semester you saw the</w:t>
      </w:r>
      <w:r>
        <w:t xml:space="preserve"> </w:t>
      </w:r>
      <w:r>
        <w:rPr>
          <w:i/>
          <w:iCs/>
        </w:rPr>
        <w:t xml:space="preserve">same</w:t>
      </w:r>
      <w:r>
        <w:t xml:space="preserve"> </w:t>
      </w:r>
      <w:r>
        <w:t xml:space="preserve">prediction as a point, a likelihood, a</w:t>
      </w:r>
      <w:r>
        <w:t xml:space="preserve"> </w:t>
      </w:r>
      <w:r>
        <w:t xml:space="preserve">posterior; then as a probability vs. a margin; then as discovered structure. What</w:t>
      </w:r>
      <w:r>
        <w:t xml:space="preserve"> </w:t>
      </w:r>
      <w:r>
        <w:t xml:space="preserve">did moving across all of these teach you that no single method, and no single</w:t>
      </w:r>
      <w:r>
        <w:t xml:space="preserve"> </w:t>
      </w:r>
      <w:r>
        <w:t xml:space="preserve">project, could have?</w:t>
      </w:r>
    </w:p>
    <w:tbl>
      <w:tblPr>
        <w:tblStyle w:val="Table"/>
        <w:tblLook w:firstRow="0" w:lastRow="0" w:firstColumn="0" w:lastColumn="0" w:noHBand="0" w:noVBand="0" w:val="0000"/>
        <w:tblBorders>
          <w:left w:val="single" w:sz="24" w:space="0" w:color="0758E5"/>
          <w:right w:val="single" w:sz="4" w:space="0" w:color="0758E5"/>
          <w:top w:val="single" w:sz="4" w:space="0" w:color="0758E5"/>
          <w:bottom w:val="single" w:sz="4" w:space="0" w:color="0758E5"/>
        </w:tblBorders>
        <w:tblCellMar>
          <w:left w:w="144" w:type="dxa"/>
          <w:right w:w="144" w:type="dxa"/>
        </w:tblCellMar>
        <w:tblInd w:w="164" w:type="dxa"/>
        <w:tblW w:type="pct" w:w="100%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Gate: structured peer review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Per the course peer-review rubric (posted on D2L), the Part 2 synthesis (this milestone) carries a</w:t>
            </w:r>
            <w:r>
              <w:t xml:space="preserve"> </w:t>
            </w:r>
            <w:r>
              <w:rPr>
                <w:b/>
                <w:bCs/>
              </w:rPr>
              <w:t xml:space="preserve">structured,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rubric-guided peer review</w:t>
            </w:r>
            <w:r>
              <w:t xml:space="preserve"> </w:t>
            </w:r>
            <w:r>
              <w:t xml:space="preserve">(the supervised-gate play artifact carries the lighter</w:t>
            </w:r>
            <w:r>
              <w:t xml:space="preserve"> </w:t>
            </w:r>
            <w:r>
              <w:t xml:space="preserve">mid-stream review). Reviewer feedback feeds your revise cycle; it does not assign</w:t>
            </w:r>
            <w:r>
              <w:t xml:space="preserve"> </w:t>
            </w:r>
            <w:r>
              <w:t xml:space="preserve">the Satisfactory/Not-Yet judgment. Not Satisfactory until the review is completed.</w:t>
            </w:r>
          </w:p>
        </w:tc>
      </w:tr>
    </w:tbl>
    <w:bookmarkEnd w:id="28"/>
    <w:bookmarkStart w:id="29" w:name="looking-back"/>
    <w:p>
      <w:pPr>
        <w:pStyle w:val="Heading2"/>
      </w:pPr>
      <w:r>
        <w:t xml:space="preserve">Looking back</w:t>
      </w:r>
    </w:p>
    <w:p>
      <w:pPr>
        <w:pStyle w:val="FirstParagraph"/>
      </w:pPr>
      <w:r>
        <w:t xml:space="preserve">P1 asked</w:t>
      </w:r>
      <w:r>
        <w:t xml:space="preserve"> </w:t>
      </w:r>
      <w:r>
        <w:rPr>
          <w:i/>
          <w:iCs/>
        </w:rPr>
        <w:t xml:space="preserve">how much?</w:t>
      </w:r>
      <w:r>
        <w:t xml:space="preserve"> </w:t>
      </w:r>
      <w:r>
        <w:t xml:space="preserve">and answered with an estimate and its uncertainty. P2 asked</w:t>
      </w:r>
      <w:r>
        <w:t xml:space="preserve"> </w:t>
      </w:r>
      <w:r>
        <w:rPr>
          <w:i/>
          <w:iCs/>
        </w:rPr>
        <w:t xml:space="preserve">which kind?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what structure?</w:t>
      </w:r>
      <w:r>
        <w:t xml:space="preserve">, and answered with boundaries and with</w:t>
      </w:r>
      <w:r>
        <w:t xml:space="preserve"> </w:t>
      </w:r>
      <w:r>
        <w:t xml:space="preserve">clusters. Same patients, three questions, one toolkit you built from scratch.</w:t>
      </w:r>
    </w:p>
    <w:bookmarkEnd w:id="29"/>
    <w:sectPr>
      <w:pgSz w:h="15840" w:w="12240"/>
      <w:pgMar w:bottom="1440" w:left="1440" w:right="1440" w:top="144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2"/>
  </w:num>
  <w:num w:numId="1002">
    <w:abstractNumId w:val="992"/>
  </w:num>
  <w:num w:numId="1003">
    <w:abstractNumId w:val="992"/>
  </w:num>
  <w:num w:numId="1004">
    <w:abstractNumId w:val="992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/>
      <w:sz w:val="21"/>
    </w:rPr>
  </w:style>
  <w:style w:styleId="BodyText" w:type="paragraph">
    <w:name w:val="Body Text"/>
    <w:basedOn w:val="Normal"/>
    <w:link w:val="BodyTextChar"/>
    <w:qFormat/>
    <w:pPr>
      <w:spacing w:after="180" w:before="180"/>
    </w:pPr>
    <w:rPr>
      <w:rFonts w:ascii="Arial" w:hAnsi="Arial"/>
      <w:sz w:val="21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/>
      <w:sz w:val="21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Arial" w:asciiTheme="majorHAnsi" w:cstheme="majorBidi" w:eastAsiaTheme="majorEastAsia" w:hAnsi="Arial" w:hAnsiTheme="majorHAnsi"/>
      <w:b/>
      <w:color w:val="1B4F72"/>
      <w:spacing w:val="-10"/>
      <w:kern w:val="28"/>
      <w:sz w:val="44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Arial" w:cstheme="majorBidi" w:eastAsiaTheme="majorEastAsia" w:hAnsi="Arial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Arial" w:asciiTheme="majorHAnsi" w:cstheme="majorBidi" w:eastAsiaTheme="majorEastAsia" w:hAnsi="Arial" w:hAnsiTheme="majorHAnsi"/>
      <w:b/>
      <w:color w:val="1B4F72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Arial" w:asciiTheme="majorHAnsi" w:cstheme="majorBidi" w:eastAsiaTheme="majorEastAsia" w:hAnsi="Arial" w:hAnsiTheme="majorHAnsi"/>
      <w:b/>
      <w:color w:val="1B4F72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Arial" w:cstheme="majorBidi" w:eastAsiaTheme="majorEastAsia" w:hAnsi="Arial"/>
      <w:b/>
      <w:color w:val="205A80"/>
      <w:sz w:val="23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Arial" w:cstheme="majorBidi" w:eastAsiaTheme="majorEastAsia" w:hAnsi="Arial"/>
      <w:b/>
      <w:i/>
      <w:iCs/>
      <w:color w:val="205A80"/>
      <w:sz w:val="22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/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Milestone 2.5: Synthesis: One Cohort, A Whole Semester</dc:title>
  <dc:creator/>
  <cp:keywords/>
  <dcterms:created xsi:type="dcterms:W3CDTF">2026-08-13T16:22:09Z</dcterms:created>
  <dcterms:modified xsi:type="dcterms:W3CDTF">2026-08-13T16:22:09Z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subtitle">
    <vt:lpwstr>INFO 521 · Machine Learning Foundations · project milestone brief · From Inference to Discovery · Synthesis</vt:lpwstr>
  </property>
  <property fmtid="{D5CDD505-2E9C-101B-9397-08002B2CF9AE}" pid="8" name="toc-title">
    <vt:lpwstr>Table of contents</vt:lpwstr>
  </property>
</Properties>
</file>